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158750</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173355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2" w:lineRule="exact"/>
        <w:rPr>
          <w:sz w:val="24"/>
          <w:szCs w:val="24"/>
          <w:color w:val="auto"/>
        </w:rPr>
      </w:pPr>
    </w:p>
    <w:tbl>
      <w:tblPr>
        <w:tblLayout w:type="fixed"/>
        <w:tblInd w:w="3860" w:type="dxa"/>
        <w:tblCellMar>
          <w:top w:w="0" w:type="dxa"/>
          <w:left w:w="0" w:type="dxa"/>
          <w:bottom w:w="0" w:type="dxa"/>
          <w:right w:w="0" w:type="dxa"/>
        </w:tblCellMar>
      </w:tblPr>
      <w:tr>
        <w:trPr>
          <w:trHeight w:val="212"/>
        </w:trPr>
        <w:tc>
          <w:tcPr>
            <w:tcW w:w="262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For transition period from</w:t>
            </w: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83"/>
        </w:trPr>
        <w:tc>
          <w:tcPr>
            <w:tcW w:w="352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Commission File Number 001-39687</w:t>
            </w:r>
          </w:p>
        </w:tc>
      </w:tr>
      <w:tr>
        <w:trPr>
          <w:trHeight w:val="195"/>
        </w:trPr>
        <w:tc>
          <w:tcPr>
            <w:tcW w:w="2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bl>
    <w:p>
      <w:pPr>
        <w:spacing w:after="0" w:line="290" w:lineRule="exact"/>
        <w:rPr>
          <w:sz w:val="24"/>
          <w:szCs w:val="24"/>
          <w:color w:val="auto"/>
        </w:rPr>
      </w:pPr>
    </w:p>
    <w:tbl>
      <w:tblPr>
        <w:tblLayout w:type="fixed"/>
        <w:tblInd w:w="1700" w:type="dxa"/>
        <w:tblCellMar>
          <w:top w:w="0" w:type="dxa"/>
          <w:left w:w="0" w:type="dxa"/>
          <w:bottom w:w="0" w:type="dxa"/>
          <w:right w:w="0" w:type="dxa"/>
        </w:tblCellMar>
      </w:tblPr>
      <w:tr>
        <w:trPr>
          <w:trHeight w:val="429"/>
        </w:trPr>
        <w:tc>
          <w:tcPr>
            <w:tcW w:w="2160" w:type="dxa"/>
            <w:vAlign w:val="bottom"/>
          </w:tcPr>
          <w:p>
            <w:pPr>
              <w:spacing w:after="0"/>
              <w:rPr>
                <w:sz w:val="24"/>
                <w:szCs w:val="24"/>
                <w:color w:val="auto"/>
              </w:rPr>
            </w:pPr>
          </w:p>
        </w:tc>
        <w:tc>
          <w:tcPr>
            <w:tcW w:w="5440" w:type="dxa"/>
            <w:vAlign w:val="bottom"/>
            <w:gridSpan w:val="2"/>
          </w:tcPr>
          <w:p>
            <w:pPr>
              <w:jc w:val="center"/>
              <w:ind w:right="1830"/>
              <w:spacing w:after="0"/>
              <w:rPr>
                <w:sz w:val="20"/>
                <w:szCs w:val="20"/>
                <w:color w:val="auto"/>
              </w:rPr>
            </w:pPr>
            <w:r>
              <w:rPr>
                <w:rFonts w:ascii="Times New Roman" w:cs="Times New Roman" w:eastAsia="Times New Roman" w:hAnsi="Times New Roman"/>
                <w:sz w:val="32"/>
                <w:szCs w:val="32"/>
                <w:b w:val="1"/>
                <w:bCs w:val="1"/>
                <w:color w:val="auto"/>
              </w:rPr>
              <w:t>CompoSecure, Inc.</w:t>
            </w:r>
          </w:p>
        </w:tc>
      </w:tr>
      <w:tr>
        <w:trPr>
          <w:trHeight w:val="203"/>
        </w:trPr>
        <w:tc>
          <w:tcPr>
            <w:tcW w:w="2160" w:type="dxa"/>
            <w:vAlign w:val="bottom"/>
          </w:tcPr>
          <w:p>
            <w:pPr>
              <w:spacing w:after="0"/>
              <w:rPr>
                <w:sz w:val="17"/>
                <w:szCs w:val="17"/>
                <w:color w:val="auto"/>
              </w:rPr>
            </w:pPr>
          </w:p>
        </w:tc>
        <w:tc>
          <w:tcPr>
            <w:tcW w:w="5440" w:type="dxa"/>
            <w:vAlign w:val="bottom"/>
            <w:gridSpan w:val="2"/>
          </w:tcPr>
          <w:p>
            <w:pPr>
              <w:jc w:val="center"/>
              <w:ind w:right="181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66"/>
        </w:trPr>
        <w:tc>
          <w:tcPr>
            <w:tcW w:w="2160" w:type="dxa"/>
            <w:vAlign w:val="bottom"/>
          </w:tcPr>
          <w:p>
            <w:pPr>
              <w:spacing w:after="0"/>
              <w:rPr>
                <w:sz w:val="23"/>
                <w:szCs w:val="23"/>
                <w:color w:val="auto"/>
              </w:rPr>
            </w:pPr>
          </w:p>
        </w:tc>
        <w:tc>
          <w:tcPr>
            <w:tcW w:w="3520" w:type="dxa"/>
            <w:vAlign w:val="bottom"/>
            <w:tcBorders>
              <w:bottom w:val="single" w:sz="8" w:color="auto"/>
            </w:tcBorders>
          </w:tcPr>
          <w:p>
            <w:pPr>
              <w:spacing w:after="0"/>
              <w:rPr>
                <w:sz w:val="23"/>
                <w:szCs w:val="23"/>
                <w:color w:val="auto"/>
              </w:rPr>
            </w:pPr>
          </w:p>
        </w:tc>
        <w:tc>
          <w:tcPr>
            <w:tcW w:w="1920" w:type="dxa"/>
            <w:vAlign w:val="bottom"/>
          </w:tcPr>
          <w:p>
            <w:pPr>
              <w:spacing w:after="0"/>
              <w:rPr>
                <w:sz w:val="23"/>
                <w:szCs w:val="23"/>
                <w:color w:val="auto"/>
              </w:rPr>
            </w:pPr>
          </w:p>
        </w:tc>
      </w:tr>
      <w:tr>
        <w:trPr>
          <w:trHeight w:val="507"/>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gridSpan w:val="2"/>
          </w:tcPr>
          <w:p>
            <w:pPr>
              <w:jc w:val="center"/>
              <w:ind w:left="3661"/>
              <w:spacing w:after="0"/>
              <w:rPr>
                <w:sz w:val="20"/>
                <w:szCs w:val="20"/>
                <w:color w:val="auto"/>
              </w:rPr>
            </w:pPr>
            <w:r>
              <w:rPr>
                <w:rFonts w:ascii="Times New Roman" w:cs="Times New Roman" w:eastAsia="Times New Roman" w:hAnsi="Times New Roman"/>
                <w:sz w:val="18"/>
                <w:szCs w:val="18"/>
                <w:b w:val="1"/>
                <w:bCs w:val="1"/>
                <w:color w:val="auto"/>
              </w:rPr>
              <w:t>85-2749902</w:t>
            </w:r>
          </w:p>
        </w:tc>
      </w:tr>
      <w:tr>
        <w:trPr>
          <w:trHeight w:val="30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tcPr>
          <w:p>
            <w:pPr>
              <w:spacing w:after="0"/>
              <w:rPr>
                <w:sz w:val="24"/>
                <w:szCs w:val="24"/>
                <w:color w:val="auto"/>
              </w:rPr>
            </w:pPr>
          </w:p>
        </w:tc>
        <w:tc>
          <w:tcPr>
            <w:tcW w:w="1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20" w:type="dxa"/>
            <w:vAlign w:val="bottom"/>
          </w:tcPr>
          <w:p>
            <w:pPr>
              <w:spacing w:after="0"/>
              <w:rPr>
                <w:sz w:val="20"/>
                <w:szCs w:val="20"/>
                <w:color w:val="auto"/>
              </w:rPr>
            </w:pPr>
          </w:p>
        </w:tc>
        <w:tc>
          <w:tcPr>
            <w:tcW w:w="19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64"/>
        </w:trPr>
        <w:tc>
          <w:tcPr>
            <w:tcW w:w="2160" w:type="dxa"/>
            <w:vAlign w:val="bottom"/>
          </w:tcPr>
          <w:p>
            <w:pPr>
              <w:spacing w:after="0"/>
              <w:rPr>
                <w:sz w:val="24"/>
                <w:szCs w:val="24"/>
                <w:color w:val="auto"/>
              </w:rPr>
            </w:pPr>
          </w:p>
        </w:tc>
        <w:tc>
          <w:tcPr>
            <w:tcW w:w="544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309 Pierce St.</w:t>
            </w:r>
          </w:p>
        </w:tc>
      </w:tr>
      <w:tr>
        <w:trPr>
          <w:trHeight w:val="230"/>
        </w:trPr>
        <w:tc>
          <w:tcPr>
            <w:tcW w:w="2160" w:type="dxa"/>
            <w:vAlign w:val="bottom"/>
          </w:tcPr>
          <w:p>
            <w:pPr>
              <w:spacing w:after="0"/>
              <w:rPr>
                <w:sz w:val="19"/>
                <w:szCs w:val="19"/>
                <w:color w:val="auto"/>
              </w:rPr>
            </w:pPr>
          </w:p>
        </w:tc>
        <w:tc>
          <w:tcPr>
            <w:tcW w:w="5440" w:type="dxa"/>
            <w:vAlign w:val="bottom"/>
            <w:gridSpan w:val="2"/>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Somerset, NJ 08873</w:t>
            </w:r>
          </w:p>
        </w:tc>
      </w:tr>
      <w:tr>
        <w:trPr>
          <w:trHeight w:val="238"/>
        </w:trPr>
        <w:tc>
          <w:tcPr>
            <w:tcW w:w="21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(908) 518-0500</w:t>
            </w:r>
          </w:p>
        </w:tc>
        <w:tc>
          <w:tcPr>
            <w:tcW w:w="1920" w:type="dxa"/>
            <w:vAlign w:val="bottom"/>
          </w:tcPr>
          <w:p>
            <w:pPr>
              <w:spacing w:after="0"/>
              <w:rPr>
                <w:sz w:val="20"/>
                <w:szCs w:val="20"/>
                <w:color w:val="auto"/>
              </w:rPr>
            </w:pPr>
          </w:p>
        </w:tc>
      </w:tr>
    </w:tbl>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205740</wp:posOffset>
            </wp:positionV>
            <wp:extent cx="2228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3900" w:type="dxa"/>
            <w:vAlign w:val="bottom"/>
            <w:gridSpan w:val="2"/>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0"/>
        </w:trPr>
        <w:tc>
          <w:tcPr>
            <w:tcW w:w="63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9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rPr>
              <w:t>CMPO</w:t>
            </w:r>
          </w:p>
        </w:tc>
        <w:tc>
          <w:tcPr>
            <w:tcW w:w="3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The Nasdaq Global Market</w:t>
            </w:r>
          </w:p>
        </w:tc>
      </w:tr>
      <w:tr>
        <w:trPr>
          <w:trHeight w:val="229"/>
        </w:trPr>
        <w:tc>
          <w:tcPr>
            <w:tcW w:w="63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Redeemable Warrants, each whole warrant exercisable for one share of Class A Common Stock</w:t>
            </w:r>
          </w:p>
        </w:tc>
        <w:tc>
          <w:tcPr>
            <w:tcW w:w="19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color w:val="auto"/>
              </w:rPr>
              <w:t>CMPOW</w:t>
            </w:r>
          </w:p>
        </w:tc>
        <w:tc>
          <w:tcPr>
            <w:tcW w:w="3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The Nasdaq Global Market</w:t>
            </w:r>
          </w:p>
        </w:tc>
      </w:tr>
      <w:tr>
        <w:trPr>
          <w:trHeight w:val="1624"/>
        </w:trPr>
        <w:tc>
          <w:tcPr>
            <w:tcW w:w="2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67" w:lineRule="exact"/>
        <w:rPr>
          <w:sz w:val="20"/>
          <w:szCs w:val="20"/>
          <w:color w:val="auto"/>
        </w:rPr>
      </w:pPr>
    </w:p>
    <w:p>
      <w:pPr>
        <w:jc w:val="both"/>
        <w:ind w:firstLine="364"/>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3" w:lineRule="exact"/>
        <w:rPr>
          <w:sz w:val="20"/>
          <w:szCs w:val="20"/>
          <w:color w:val="auto"/>
        </w:rPr>
      </w:pPr>
    </w:p>
    <w:p>
      <w:pPr>
        <w:jc w:val="both"/>
        <w:ind w:firstLine="364"/>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3" w:lineRule="exact"/>
        <w:rPr>
          <w:sz w:val="20"/>
          <w:szCs w:val="20"/>
          <w:color w:val="auto"/>
        </w:rPr>
      </w:pPr>
    </w:p>
    <w:p>
      <w:pPr>
        <w:jc w:val="both"/>
        <w:ind w:firstLine="364"/>
        <w:spacing w:after="0" w:line="30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4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6" w:lineRule="exact"/>
        <w:rPr>
          <w:sz w:val="20"/>
          <w:szCs w:val="20"/>
          <w:color w:val="auto"/>
        </w:rPr>
      </w:pPr>
    </w:p>
    <w:p>
      <w:pPr>
        <w:ind w:firstLine="364"/>
        <w:spacing w:after="0" w:line="25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42" w:lineRule="exact"/>
        <w:rPr>
          <w:sz w:val="20"/>
          <w:szCs w:val="20"/>
          <w:color w:val="auto"/>
        </w:rPr>
      </w:pPr>
    </w:p>
    <w:p>
      <w:pPr>
        <w:ind w:left="380"/>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63" w:lineRule="exact"/>
        <w:rPr>
          <w:sz w:val="20"/>
          <w:szCs w:val="20"/>
          <w:color w:val="auto"/>
        </w:rPr>
      </w:pPr>
    </w:p>
    <w:p>
      <w:pPr>
        <w:ind w:firstLine="364"/>
        <w:spacing w:after="0" w:line="329" w:lineRule="auto"/>
        <w:rPr>
          <w:sz w:val="20"/>
          <w:szCs w:val="20"/>
          <w:color w:val="auto"/>
        </w:rPr>
      </w:pPr>
      <w:r>
        <w:rPr>
          <w:rFonts w:ascii="Times New Roman" w:cs="Times New Roman" w:eastAsia="Times New Roman" w:hAnsi="Times New Roman"/>
          <w:sz w:val="18"/>
          <w:szCs w:val="18"/>
          <w:color w:val="auto"/>
        </w:rPr>
        <w:t>As of August 5, 2022, there were approximately 15,118,532 shares of the shares of the registrant's Class A common stock outstanding and 60,986,800 shares of the registrant's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t>COMPOSECURE HOLDINGS, INC.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4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gridSpan w:val="6"/>
            <w:vMerge w:val="continue"/>
          </w:tcPr>
          <w:p>
            <w:pPr>
              <w:spacing w:after="0"/>
              <w:rPr>
                <w:sz w:val="17"/>
                <w:szCs w:val="17"/>
                <w:color w:val="auto"/>
              </w:rPr>
            </w:pPr>
          </w:p>
        </w:tc>
        <w:tc>
          <w:tcPr>
            <w:tcW w:w="9460" w:type="dxa"/>
            <w:vAlign w:val="bottom"/>
            <w:gridSpan w:val="19"/>
            <w:vMerge w:val="continue"/>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 1.</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Balance Sheets (Unaudited)</w:t>
            </w:r>
          </w:p>
        </w:tc>
        <w:tc>
          <w:tcPr>
            <w:tcW w:w="6180" w:type="dxa"/>
            <w:vAlign w:val="bottom"/>
            <w:gridSpan w:val="9"/>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(Unaudited)</w:t>
            </w:r>
          </w:p>
        </w:tc>
        <w:tc>
          <w:tcPr>
            <w:tcW w:w="5460" w:type="dxa"/>
            <w:vAlign w:val="bottom"/>
            <w:gridSpan w:val="8"/>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 (Unaudited)</w:t>
            </w:r>
          </w:p>
        </w:tc>
        <w:tc>
          <w:tcPr>
            <w:tcW w:w="160" w:type="dxa"/>
            <w:vAlign w:val="bottom"/>
            <w:tcBorders>
              <w:top w:val="single" w:sz="8" w:color="0000FF"/>
            </w:tcBorders>
          </w:tcPr>
          <w:p>
            <w:pPr>
              <w:spacing w:after="0"/>
              <w:rPr>
                <w:sz w:val="22"/>
                <w:szCs w:val="22"/>
                <w:color w:val="auto"/>
              </w:rPr>
            </w:pPr>
          </w:p>
        </w:tc>
        <w:tc>
          <w:tcPr>
            <w:tcW w:w="4540" w:type="dxa"/>
            <w:vAlign w:val="bottom"/>
            <w:gridSpan w:val="2"/>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(Unaudited)</w:t>
            </w:r>
          </w:p>
        </w:tc>
        <w:tc>
          <w:tcPr>
            <w:tcW w:w="5400" w:type="dxa"/>
            <w:vAlign w:val="bottom"/>
            <w:gridSpan w:val="7"/>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5120" w:type="dxa"/>
            <w:vAlign w:val="bottom"/>
            <w:gridSpan w:val="6"/>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2.</w:t>
            </w:r>
          </w:p>
        </w:tc>
        <w:tc>
          <w:tcPr>
            <w:tcW w:w="280" w:type="dxa"/>
            <w:vAlign w:val="bottom"/>
          </w:tcPr>
          <w:p>
            <w:pPr>
              <w:spacing w:after="0"/>
              <w:rPr>
                <w:sz w:val="22"/>
                <w:szCs w:val="22"/>
                <w:color w:val="auto"/>
              </w:rPr>
            </w:pPr>
          </w:p>
        </w:tc>
        <w:tc>
          <w:tcPr>
            <w:tcW w:w="63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w:t>
            </w:r>
          </w:p>
        </w:tc>
        <w:tc>
          <w:tcPr>
            <w:tcW w:w="28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3.</w:t>
            </w:r>
          </w:p>
        </w:tc>
        <w:tc>
          <w:tcPr>
            <w:tcW w:w="280" w:type="dxa"/>
            <w:vAlign w:val="bottom"/>
          </w:tcPr>
          <w:p>
            <w:pPr>
              <w:spacing w:after="0"/>
              <w:rPr>
                <w:sz w:val="22"/>
                <w:szCs w:val="22"/>
                <w:color w:val="auto"/>
              </w:rPr>
            </w:pPr>
          </w:p>
        </w:tc>
        <w:tc>
          <w:tcPr>
            <w:tcW w:w="4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880" w:type="dxa"/>
            <w:vAlign w:val="bottom"/>
            <w:gridSpan w:val="4"/>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90"/>
              </w:rPr>
              <w:t>Item 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Controls and Procedures</w:t>
            </w:r>
          </w:p>
        </w:tc>
        <w:tc>
          <w:tcPr>
            <w:tcW w:w="7460" w:type="dxa"/>
            <w:vAlign w:val="bottom"/>
            <w:gridSpan w:val="11"/>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00" w:type="dxa"/>
            <w:vAlign w:val="bottom"/>
            <w:gridSpan w:val="2"/>
          </w:tcPr>
          <w:p>
            <w:pPr>
              <w:spacing w:after="0"/>
              <w:rPr>
                <w:sz w:val="22"/>
                <w:szCs w:val="22"/>
                <w:color w:val="auto"/>
              </w:rPr>
            </w:pPr>
          </w:p>
        </w:tc>
        <w:tc>
          <w:tcPr>
            <w:tcW w:w="14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8000" w:type="dxa"/>
            <w:vAlign w:val="bottom"/>
            <w:gridSpan w:val="15"/>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1.</w:t>
            </w:r>
          </w:p>
        </w:tc>
        <w:tc>
          <w:tcPr>
            <w:tcW w:w="280" w:type="dxa"/>
            <w:vAlign w:val="bottom"/>
          </w:tcPr>
          <w:p>
            <w:pPr>
              <w:spacing w:after="0"/>
              <w:rPr>
                <w:sz w:val="22"/>
                <w:szCs w:val="22"/>
                <w:color w:val="auto"/>
              </w:rPr>
            </w:pPr>
          </w:p>
        </w:tc>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900" w:type="dxa"/>
            <w:vAlign w:val="bottom"/>
            <w:gridSpan w:val="13"/>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6"/>
              </w:rPr>
              <w:t>Item 1A.</w:t>
            </w: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2.</w:t>
            </w: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3.</w:t>
            </w:r>
          </w:p>
        </w:tc>
        <w:tc>
          <w:tcPr>
            <w:tcW w:w="280" w:type="dxa"/>
            <w:vAlign w:val="bottom"/>
          </w:tcPr>
          <w:p>
            <w:pPr>
              <w:spacing w:after="0"/>
              <w:rPr>
                <w:sz w:val="22"/>
                <w:szCs w:val="22"/>
                <w:color w:val="auto"/>
              </w:rPr>
            </w:pPr>
          </w:p>
        </w:tc>
        <w:tc>
          <w:tcPr>
            <w:tcW w:w="42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00" w:type="dxa"/>
            <w:vAlign w:val="bottom"/>
            <w:gridSpan w:val="5"/>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top w:val="single" w:sz="8" w:color="0000FF"/>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4.</w:t>
            </w:r>
          </w:p>
        </w:tc>
        <w:tc>
          <w:tcPr>
            <w:tcW w:w="280" w:type="dxa"/>
            <w:vAlign w:val="bottom"/>
          </w:tcPr>
          <w:p>
            <w:pPr>
              <w:spacing w:after="0"/>
              <w:rPr>
                <w:sz w:val="22"/>
                <w:szCs w:val="22"/>
                <w:color w:val="auto"/>
              </w:rPr>
            </w:pPr>
          </w:p>
        </w:tc>
        <w:tc>
          <w:tcPr>
            <w:tcW w:w="17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6"/>
              </w:rPr>
              <w:t>Mine Safety Disclosures</w:t>
            </w:r>
          </w:p>
        </w:tc>
        <w:tc>
          <w:tcPr>
            <w:tcW w:w="540" w:type="dxa"/>
            <w:vAlign w:val="bottom"/>
            <w:tcBorders>
              <w:top w:val="single" w:sz="8" w:color="0000FF"/>
            </w:tcBorders>
          </w:tcPr>
          <w:p>
            <w:pPr>
              <w:spacing w:after="0"/>
              <w:rPr>
                <w:sz w:val="22"/>
                <w:szCs w:val="22"/>
                <w:color w:val="auto"/>
              </w:rPr>
            </w:pPr>
          </w:p>
        </w:tc>
        <w:tc>
          <w:tcPr>
            <w:tcW w:w="6920" w:type="dxa"/>
            <w:vAlign w:val="bottom"/>
            <w:gridSpan w:val="10"/>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90"/>
              </w:rPr>
              <w:t>Item 5.</w:t>
            </w:r>
          </w:p>
        </w:tc>
        <w:tc>
          <w:tcPr>
            <w:tcW w:w="280" w:type="dxa"/>
            <w:vAlign w:val="bottom"/>
          </w:tcPr>
          <w:p>
            <w:pPr>
              <w:spacing w:after="0"/>
              <w:rPr>
                <w:sz w:val="22"/>
                <w:szCs w:val="22"/>
                <w:color w:val="auto"/>
              </w:rPr>
            </w:pP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Other Information</w:t>
            </w:r>
          </w:p>
        </w:tc>
        <w:tc>
          <w:tcPr>
            <w:tcW w:w="7920" w:type="dxa"/>
            <w:vAlign w:val="bottom"/>
            <w:gridSpan w:val="14"/>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0"/>
              </w:rPr>
              <w:t>Item 6.</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terms defined elsewhere in this report, the following terms shall have the meanings set forth below when used in this report:</w:t>
      </w:r>
    </w:p>
    <w:p>
      <w:pPr>
        <w:spacing w:after="0" w:line="24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“Arculus Ecosystem” </w:t>
      </w:r>
      <w:r>
        <w:rPr>
          <w:rFonts w:ascii="Times New Roman" w:cs="Times New Roman" w:eastAsia="Times New Roman" w:hAnsi="Times New Roman"/>
          <w:sz w:val="18"/>
          <w:szCs w:val="18"/>
          <w:color w:val="auto"/>
        </w:rPr>
        <w:t>refers hardware, software, payments, and services for Digital Assets having a foundation in the secure Arculus Platform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providing secure storage of Digital Assets.</w:t>
      </w:r>
    </w:p>
    <w:p>
      <w:pPr>
        <w:spacing w:after="0" w:line="19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“Arculus Key™ card” </w:t>
      </w:r>
      <w:r>
        <w:rPr>
          <w:rFonts w:ascii="Times New Roman" w:cs="Times New Roman" w:eastAsia="Times New Roman" w:hAnsi="Times New Roman"/>
          <w:sz w:val="18"/>
          <w:szCs w:val="18"/>
          <w:color w:val="auto"/>
        </w:rPr>
        <w:t>refers to the Company’s initial Cold Storage hardware device configured to interface with CompoSecure’s initial Arculus Wallet™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w:t>
      </w:r>
    </w:p>
    <w:p>
      <w:pPr>
        <w:spacing w:after="0" w:line="1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“Arculus Platform” </w:t>
      </w:r>
      <w:r>
        <w:rPr>
          <w:rFonts w:ascii="Times New Roman" w:cs="Times New Roman" w:eastAsia="Times New Roman" w:hAnsi="Times New Roman"/>
          <w:sz w:val="18"/>
          <w:szCs w:val="18"/>
          <w:color w:val="auto"/>
        </w:rPr>
        <w:t>refers to the Company’s three-factor authentication security platform with broad industry applicability for use in the Digital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marketplace, including the initial Arculus Cold Storage Wallet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“Arculus Wallet™” </w:t>
      </w:r>
      <w:r>
        <w:rPr>
          <w:rFonts w:ascii="Times New Roman" w:cs="Times New Roman" w:eastAsia="Times New Roman" w:hAnsi="Times New Roman"/>
          <w:sz w:val="18"/>
          <w:szCs w:val="18"/>
          <w:color w:val="auto"/>
        </w:rPr>
        <w:t>refers to the Company’s initial Wallet App configured to interface with the Arculus Key card Cold Storage.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“Arculus Cold Storage Wallet” </w:t>
      </w:r>
      <w:r>
        <w:rPr>
          <w:rFonts w:ascii="Times New Roman" w:cs="Times New Roman" w:eastAsia="Times New Roman" w:hAnsi="Times New Roman"/>
          <w:sz w:val="18"/>
          <w:szCs w:val="18"/>
          <w:color w:val="auto"/>
        </w:rPr>
        <w:t>refers to the Arculus Key™ card Cold Storage hardware device and companion Arculus Wallet™ software application.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 </w:t>
      </w:r>
      <w:r>
        <w:rPr>
          <w:rFonts w:ascii="Times New Roman" w:cs="Times New Roman" w:eastAsia="Times New Roman" w:hAnsi="Times New Roman"/>
          <w:sz w:val="18"/>
          <w:szCs w:val="18"/>
          <w:color w:val="auto"/>
        </w:rPr>
        <w:t>refers to a software application available on a mobile or cellular telephone.</w:t>
      </w:r>
    </w:p>
    <w:p>
      <w:pPr>
        <w:spacing w:after="0" w:line="252" w:lineRule="exact"/>
        <w:rPr>
          <w:sz w:val="20"/>
          <w:szCs w:val="20"/>
          <w:color w:val="auto"/>
        </w:rPr>
      </w:pPr>
    </w:p>
    <w:p>
      <w:pPr>
        <w:ind w:right="56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Blockchain</w:t>
      </w:r>
      <w:r>
        <w:rPr>
          <w:rFonts w:ascii="Times New Roman" w:cs="Times New Roman" w:eastAsia="Times New Roman" w:hAnsi="Times New Roman"/>
          <w:sz w:val="17"/>
          <w:szCs w:val="17"/>
          <w:color w:val="auto"/>
        </w:rPr>
        <w:t>" refers generally to databases that maintain information across a network of computers in a decentralized or distributed manner, which networks often use cryptographic protocols to ensure data integrity. Blockchains often are used to issue and transfer ownership of Digital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“Business Combination” </w:t>
      </w:r>
      <w:r>
        <w:rPr>
          <w:rFonts w:ascii="Times New Roman" w:cs="Times New Roman" w:eastAsia="Times New Roman" w:hAnsi="Times New Roman"/>
          <w:sz w:val="18"/>
          <w:szCs w:val="18"/>
          <w:color w:val="auto"/>
        </w:rPr>
        <w:t>means the transactions contemplated by the Merger Agreement.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“Closing” </w:t>
      </w:r>
      <w:r>
        <w:rPr>
          <w:rFonts w:ascii="Times New Roman" w:cs="Times New Roman" w:eastAsia="Times New Roman" w:hAnsi="Times New Roman"/>
          <w:sz w:val="18"/>
          <w:szCs w:val="18"/>
          <w:color w:val="auto"/>
        </w:rPr>
        <w:t>means the closing of the Business Combination.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“Closing Date” </w:t>
      </w:r>
      <w:r>
        <w:rPr>
          <w:rFonts w:ascii="Times New Roman" w:cs="Times New Roman" w:eastAsia="Times New Roman" w:hAnsi="Times New Roman"/>
          <w:sz w:val="18"/>
          <w:szCs w:val="18"/>
          <w:color w:val="auto"/>
        </w:rPr>
        <w:t>means the date of the Closing.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Internal Revenue Code of 1986, as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“Cold Storage” </w:t>
      </w:r>
      <w:r>
        <w:rPr>
          <w:rFonts w:ascii="Times New Roman" w:cs="Times New Roman" w:eastAsia="Times New Roman" w:hAnsi="Times New Roman"/>
          <w:sz w:val="18"/>
          <w:szCs w:val="18"/>
          <w:color w:val="auto"/>
        </w:rPr>
        <w:t>is a method of holding Cryptocurrency assets in an environment that is not connected to the Internet.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means our Class A Common Stock and Class B Common Stock.</w:t>
      </w:r>
    </w:p>
    <w:p>
      <w:pPr>
        <w:spacing w:after="0" w:line="25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“Cryptocurrency” </w:t>
      </w:r>
      <w:r>
        <w:rPr>
          <w:rFonts w:ascii="Times New Roman" w:cs="Times New Roman" w:eastAsia="Times New Roman" w:hAnsi="Times New Roman"/>
          <w:sz w:val="18"/>
          <w:szCs w:val="18"/>
          <w:color w:val="auto"/>
        </w:rPr>
        <w:t>means any Digital Asset that uses cryptographic technologies to maintain its operation as a currency or decentralized location,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Bitcoin Cash and Ethereum, that is secured using Blockchain encryption technologies, and includes stablecoins and tokens.</w:t>
      </w:r>
    </w:p>
    <w:p>
      <w:pPr>
        <w:spacing w:after="0" w:line="195"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“Digital Asset” </w:t>
      </w:r>
      <w:r>
        <w:rPr>
          <w:rFonts w:ascii="Times New Roman" w:cs="Times New Roman" w:eastAsia="Times New Roman" w:hAnsi="Times New Roman"/>
          <w:sz w:val="18"/>
          <w:szCs w:val="18"/>
          <w:color w:val="auto"/>
        </w:rPr>
        <w:t>means an asset that is issued and/or transferred using distributed ledger or Blockchain technology, including, but not limited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Cryptocurrencies, and also may be referred to as “virtual currencies,” “coins” and “tokens.”</w:t>
      </w:r>
    </w:p>
    <w:p>
      <w:pPr>
        <w:spacing w:after="0" w:line="18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“Dual-Interface” </w:t>
      </w:r>
      <w:r>
        <w:rPr>
          <w:rFonts w:ascii="Times New Roman" w:cs="Times New Roman" w:eastAsia="Times New Roman" w:hAnsi="Times New Roman"/>
          <w:sz w:val="18"/>
          <w:szCs w:val="18"/>
          <w:color w:val="auto"/>
        </w:rPr>
        <w:t>(also known as “tap-to-pay”) refers to Payment Cards which contain an embedded chip that allows for both contact and contactless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functionality.</w:t>
      </w:r>
    </w:p>
    <w:p>
      <w:pPr>
        <w:spacing w:after="0" w:line="18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“EMV” </w:t>
      </w:r>
      <w:r>
        <w:rPr>
          <w:rFonts w:ascii="Times New Roman" w:cs="Times New Roman" w:eastAsia="Times New Roman" w:hAnsi="Times New Roman"/>
          <w:sz w:val="18"/>
          <w:szCs w:val="18"/>
          <w:color w:val="auto"/>
        </w:rPr>
        <w:t>(an acronym derived from the names Europay, Mastercard and Visa) is a high-security payment protocol for Payment Cards which utilizes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embedded microprocessor that, when paired with an EMV® enabled payment terminal, authenticates cardholder transactions. EMV® cards are often called “chip cards”.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“FinTech” </w:t>
      </w:r>
      <w:r>
        <w:rPr>
          <w:rFonts w:ascii="Times New Roman" w:cs="Times New Roman" w:eastAsia="Times New Roman" w:hAnsi="Times New Roman"/>
          <w:sz w:val="18"/>
          <w:szCs w:val="18"/>
          <w:color w:val="auto"/>
        </w:rPr>
        <w:t>is a word formed from the combination of “financial” and “technology” and is used to describe new technologies to deliver financial services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 businesses and consumers manage their financial activities.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“Holdings” </w:t>
      </w:r>
      <w:r>
        <w:rPr>
          <w:rFonts w:ascii="Times New Roman" w:cs="Times New Roman" w:eastAsia="Times New Roman" w:hAnsi="Times New Roman"/>
          <w:sz w:val="18"/>
          <w:szCs w:val="18"/>
          <w:color w:val="auto"/>
        </w:rPr>
        <w:t>means CompoSecure Holdings, L.L.C., a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“Hot Storage” </w:t>
      </w:r>
      <w:r>
        <w:rPr>
          <w:rFonts w:ascii="Times New Roman" w:cs="Times New Roman" w:eastAsia="Times New Roman" w:hAnsi="Times New Roman"/>
          <w:sz w:val="18"/>
          <w:szCs w:val="18"/>
          <w:color w:val="auto"/>
        </w:rPr>
        <w:t>is a method of holding Cryptocurrency assets in an environment this is connected to the Internet.</w:t>
      </w:r>
    </w:p>
    <w:p>
      <w:pPr>
        <w:spacing w:after="0" w:line="25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“Merger Agreement” </w:t>
      </w:r>
      <w:r>
        <w:rPr>
          <w:rFonts w:ascii="Times New Roman" w:cs="Times New Roman" w:eastAsia="Times New Roman" w:hAnsi="Times New Roman"/>
          <w:sz w:val="18"/>
          <w:szCs w:val="18"/>
          <w:color w:val="auto"/>
        </w:rPr>
        <w:t>means that certain Agreement and Plan of Merger, dated as of April 19, 2021, by and among Roman DBDR, Holdings, Roman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Merger Sub, LLC, a Delaware limited liability company and wholly-owned subsidiary of Roman DBDR and LLR Equity Partners IV, L.P., a Delaware limited partnership, as subsequently amended by that certain First Amendment to the Merger Agreement, dated as of May 25, 2021.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“Metal Form Factor” </w:t>
      </w:r>
      <w:r>
        <w:rPr>
          <w:rFonts w:ascii="Times New Roman" w:cs="Times New Roman" w:eastAsia="Times New Roman" w:hAnsi="Times New Roman"/>
          <w:sz w:val="18"/>
          <w:szCs w:val="18"/>
          <w:color w:val="auto"/>
        </w:rPr>
        <w:t>is the industry term used to describe Payment Cards made from or including metal in their construction.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“NFC” </w:t>
      </w:r>
      <w:r>
        <w:rPr>
          <w:rFonts w:ascii="Times New Roman" w:cs="Times New Roman" w:eastAsia="Times New Roman" w:hAnsi="Times New Roman"/>
          <w:sz w:val="18"/>
          <w:szCs w:val="18"/>
          <w:color w:val="auto"/>
        </w:rPr>
        <w:t>refers to the near-field communications protocol which enables RFID communications between Payment Cards and payment terminals.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“Payment Cards” </w:t>
      </w:r>
      <w:r>
        <w:rPr>
          <w:rFonts w:ascii="Times New Roman" w:cs="Times New Roman" w:eastAsia="Times New Roman" w:hAnsi="Times New Roman"/>
          <w:sz w:val="18"/>
          <w:szCs w:val="18"/>
          <w:color w:val="auto"/>
        </w:rPr>
        <w:t>are credit and debit cards issued on the network of one of the Payment Networks.</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“Payments Industry” </w:t>
      </w:r>
      <w:r>
        <w:rPr>
          <w:rFonts w:ascii="Times New Roman" w:cs="Times New Roman" w:eastAsia="Times New Roman" w:hAnsi="Times New Roman"/>
          <w:sz w:val="18"/>
          <w:szCs w:val="18"/>
          <w:color w:val="auto"/>
        </w:rPr>
        <w:t>refers to the overall market for payments processing, including banks and other credit and transaction card issuers, card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associations, payment processors, and other providers of services and products to facilitate currency transactions, including Cryptocurrency transactions.</w:t>
      </w:r>
    </w:p>
    <w:p>
      <w:pPr>
        <w:spacing w:after="0" w:line="18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“Payment Networks” </w:t>
      </w:r>
      <w:r>
        <w:rPr>
          <w:rFonts w:ascii="Times New Roman" w:cs="Times New Roman" w:eastAsia="Times New Roman" w:hAnsi="Times New Roman"/>
          <w:sz w:val="18"/>
          <w:szCs w:val="18"/>
          <w:color w:val="auto"/>
        </w:rPr>
        <w:t>refers to the primary credit and debit card payment networks, including the networks operated by Visa, MasterCard, American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 Discover, and China Union Pay.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“PCI” </w:t>
      </w:r>
      <w:r>
        <w:rPr>
          <w:rFonts w:ascii="Times New Roman" w:cs="Times New Roman" w:eastAsia="Times New Roman" w:hAnsi="Times New Roman"/>
          <w:sz w:val="18"/>
          <w:szCs w:val="18"/>
          <w:color w:val="auto"/>
        </w:rPr>
        <w:t>refers to the Payment Card Industry.</w:t>
      </w:r>
    </w:p>
    <w:p>
      <w:pPr>
        <w:spacing w:after="0" w:line="26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“PCI Security Standards” </w:t>
      </w:r>
      <w:r>
        <w:rPr>
          <w:rFonts w:ascii="Times New Roman" w:cs="Times New Roman" w:eastAsia="Times New Roman" w:hAnsi="Times New Roman"/>
          <w:sz w:val="18"/>
          <w:szCs w:val="18"/>
          <w:color w:val="auto"/>
        </w:rPr>
        <w:t>refer to the Payment Card Industry Physical Security Requirements and the Payment Card Industry Logical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established by the PCI Security Standards Council, which governs the secure handling of Payment Cards during manufacture, storage and shipping.</w:t>
      </w:r>
    </w:p>
    <w:p>
      <w:pPr>
        <w:spacing w:after="0" w:line="1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“Personalization” </w:t>
      </w:r>
      <w:r>
        <w:rPr>
          <w:rFonts w:ascii="Times New Roman" w:cs="Times New Roman" w:eastAsia="Times New Roman" w:hAnsi="Times New Roman"/>
          <w:sz w:val="18"/>
          <w:szCs w:val="18"/>
          <w:color w:val="auto"/>
        </w:rPr>
        <w:t>is the process of encoding, programming and embossing or laser engraving a Financial Card with the cardholder’s name,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and other information.</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“Prelams” </w:t>
      </w:r>
      <w:r>
        <w:rPr>
          <w:rFonts w:ascii="Times New Roman" w:cs="Times New Roman" w:eastAsia="Times New Roman" w:hAnsi="Times New Roman"/>
          <w:sz w:val="18"/>
          <w:szCs w:val="18"/>
          <w:color w:val="auto"/>
        </w:rPr>
        <w:t>refers to pre-laminated, sub-assemblies consisting of a composite of material layers which are partially laminated to be used as a component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multiple layers of a final Payment Card or other card construction.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“Private Keys” </w:t>
      </w:r>
      <w:r>
        <w:rPr>
          <w:rFonts w:ascii="Times New Roman" w:cs="Times New Roman" w:eastAsia="Times New Roman" w:hAnsi="Times New Roman"/>
          <w:sz w:val="18"/>
          <w:szCs w:val="18"/>
          <w:color w:val="auto"/>
        </w:rPr>
        <w:t>refers to codes needed for a user to access their Cryptocurrencies or other Digital Assets.</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“Public Warrants” </w:t>
      </w:r>
      <w:r>
        <w:rPr>
          <w:rFonts w:ascii="Times New Roman" w:cs="Times New Roman" w:eastAsia="Times New Roman" w:hAnsi="Times New Roman"/>
          <w:sz w:val="18"/>
          <w:szCs w:val="18"/>
          <w:color w:val="auto"/>
        </w:rPr>
        <w:t>refers to outstanding registered warrants issued in connection with the registrant’s initial public offering to purchase up to 11,578,000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our Class A Common Stock.</w:t>
      </w:r>
    </w:p>
    <w:p>
      <w:pPr>
        <w:spacing w:after="0" w:line="182" w:lineRule="exact"/>
        <w:rPr>
          <w:sz w:val="20"/>
          <w:szCs w:val="20"/>
          <w:color w:val="auto"/>
        </w:rPr>
      </w:pPr>
    </w:p>
    <w:p>
      <w:pPr>
        <w:ind w:right="38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“RFID” </w:t>
      </w:r>
      <w:r>
        <w:rPr>
          <w:rFonts w:ascii="Times New Roman" w:cs="Times New Roman" w:eastAsia="Times New Roman" w:hAnsi="Times New Roman"/>
          <w:sz w:val="18"/>
          <w:szCs w:val="18"/>
          <w:color w:val="auto"/>
        </w:rPr>
        <w:t>refers to radio-frequency identification which uses electronic tags placed on objects to relay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identifying information to an electronic reader through radio waves.</w:t>
      </w:r>
    </w:p>
    <w:p>
      <w:pPr>
        <w:spacing w:after="0" w:line="19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“Resale Warrants” </w:t>
      </w:r>
      <w:r>
        <w:rPr>
          <w:rFonts w:ascii="Times New Roman" w:cs="Times New Roman" w:eastAsia="Times New Roman" w:hAnsi="Times New Roman"/>
          <w:sz w:val="18"/>
          <w:szCs w:val="18"/>
          <w:color w:val="auto"/>
        </w:rPr>
        <w:t>refers to the warrants to purchase up to 10,837,400 shares of Class A Common Stock of the Company originally issued in a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in connection with the initial public offering of Roman DBDR and registered for resale pursuant to our registration statement on Form S-1 (File No. 333-262341).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“Roman Sponsor” </w:t>
      </w:r>
      <w:r>
        <w:rPr>
          <w:rFonts w:ascii="Times New Roman" w:cs="Times New Roman" w:eastAsia="Times New Roman" w:hAnsi="Times New Roman"/>
          <w:sz w:val="18"/>
          <w:szCs w:val="18"/>
          <w:color w:val="auto"/>
        </w:rPr>
        <w:t>means Roman DBDR Tech Sponsor LLC, a Delaware limited liability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“Roman DBDR” </w:t>
      </w:r>
      <w:r>
        <w:rPr>
          <w:rFonts w:ascii="Times New Roman" w:cs="Times New Roman" w:eastAsia="Times New Roman" w:hAnsi="Times New Roman"/>
          <w:sz w:val="18"/>
          <w:szCs w:val="18"/>
          <w:color w:val="auto"/>
        </w:rPr>
        <w:t>means Roman DBDR Tech Acquisition Corp, a Delaware corporation and the name of the company prior to the Business Combination</w:t>
      </w:r>
      <w:r>
        <w:rPr>
          <w:rFonts w:ascii="Times New Roman" w:cs="Times New Roman" w:eastAsia="Times New Roman" w:hAnsi="Times New Roman"/>
          <w:sz w:val="19"/>
          <w:szCs w:val="19"/>
          <w:b w:val="1"/>
          <w:bCs w:val="1"/>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U.S. Securities Exchange Commission or any successor organization.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“Stockholders” </w:t>
      </w:r>
      <w:r>
        <w:rPr>
          <w:rFonts w:ascii="Times New Roman" w:cs="Times New Roman" w:eastAsia="Times New Roman" w:hAnsi="Times New Roman"/>
          <w:sz w:val="18"/>
          <w:szCs w:val="18"/>
          <w:color w:val="auto"/>
        </w:rPr>
        <w:t>means the holders of our Class A Common Stock and Class B Common Stock.</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“Tax Receivable Amount” </w:t>
      </w:r>
      <w:r>
        <w:rPr>
          <w:rFonts w:ascii="Times New Roman" w:cs="Times New Roman" w:eastAsia="Times New Roman" w:hAnsi="Times New Roman"/>
          <w:sz w:val="18"/>
          <w:szCs w:val="18"/>
          <w:color w:val="auto"/>
        </w:rPr>
        <w:t>means the aggregate amount of all payments to be made to the holders of CompoSecure Units prior to the Closing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Tax Receivables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“Wallet” </w:t>
      </w:r>
      <w:r>
        <w:rPr>
          <w:rFonts w:ascii="Times New Roman" w:cs="Times New Roman" w:eastAsia="Times New Roman" w:hAnsi="Times New Roman"/>
          <w:sz w:val="18"/>
          <w:szCs w:val="18"/>
          <w:color w:val="auto"/>
        </w:rPr>
        <w:t>means a device or service which enables storage of, and access to, Digital Assets, such as Cryptocurrency.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means the Public Warrants and the Resale Warrants.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4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20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evolving domestic and global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Company or others;</w:t>
      </w:r>
    </w:p>
    <w:p>
      <w:pPr>
        <w:spacing w:after="0" w:line="2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the completion of the Business Combination disrupts the Company’s current plans and operations;</w:t>
      </w:r>
    </w:p>
    <w:p>
      <w:pPr>
        <w:spacing w:after="0" w:line="265" w:lineRule="exact"/>
        <w:rPr>
          <w:rFonts w:ascii="Arial" w:cs="Arial" w:eastAsia="Arial" w:hAnsi="Arial"/>
          <w:sz w:val="22"/>
          <w:szCs w:val="22"/>
          <w:color w:val="auto"/>
        </w:rPr>
      </w:pPr>
    </w:p>
    <w:p>
      <w:pPr>
        <w:ind w:left="660" w:hanging="328"/>
        <w:spacing w:after="0" w:line="256" w:lineRule="auto"/>
        <w:tabs>
          <w:tab w:leader="none" w:pos="65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to recognize the anticipated benefits of the Business Combination, which may be affected by, among other things, the ability of the Company to grow and manage growth profitably, maintain relationships with customers, compete within its industry and retain its key employees;</w:t>
      </w:r>
    </w:p>
    <w:p>
      <w:pPr>
        <w:spacing w:after="0" w:line="230" w:lineRule="exact"/>
        <w:rPr>
          <w:rFonts w:ascii="Arial" w:cs="Arial" w:eastAsia="Arial" w:hAnsi="Arial"/>
          <w:sz w:val="21"/>
          <w:szCs w:val="21"/>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costs related to the Business Combination;</w:t>
      </w:r>
    </w:p>
    <w:p>
      <w:pPr>
        <w:spacing w:after="0" w:line="26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possibility that the Company may be adversely impacted by other economic, business, and/or competitive factors;</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future exchange and interest rates; and</w:t>
      </w:r>
    </w:p>
    <w:p>
      <w:pPr>
        <w:spacing w:after="0" w:line="265"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other risks and uncertainties indicated in this report, including those under “Risk Factors” herein, and other filings that have been made or will be made with the SEC.</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 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6" w:name="page7"/>
    <w:bookmarkEnd w:id="6"/>
    <w:p>
      <w:pPr>
        <w:jc w:val="right"/>
        <w:ind w:right="3399"/>
        <w:spacing w:after="0"/>
        <w:rPr>
          <w:sz w:val="20"/>
          <w:szCs w:val="20"/>
          <w:color w:val="auto"/>
        </w:rPr>
      </w:pPr>
      <w:r>
        <w:rPr>
          <w:rFonts w:ascii="Times New Roman" w:cs="Times New Roman" w:eastAsia="Times New Roman" w:hAnsi="Times New Roman"/>
          <w:sz w:val="18"/>
          <w:szCs w:val="18"/>
          <w:b w:val="1"/>
          <w:bCs w:val="1"/>
          <w:color w:val="auto"/>
        </w:rPr>
        <w:t>Part I -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03"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0205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00" w:type="dxa"/>
            <w:vAlign w:val="bottom"/>
          </w:tcPr>
          <w:p>
            <w:pPr>
              <w:spacing w:after="0"/>
              <w:rPr>
                <w:sz w:val="19"/>
                <w:szCs w:val="19"/>
                <w:color w:val="auto"/>
              </w:rPr>
            </w:pPr>
          </w:p>
        </w:tc>
        <w:tc>
          <w:tcPr>
            <w:tcW w:w="1500" w:type="dxa"/>
            <w:vAlign w:val="bottom"/>
          </w:tcPr>
          <w:p>
            <w:pPr>
              <w:jc w:val="right"/>
              <w:ind w:right="247"/>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center"/>
              <w:ind w:right="187"/>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607"/>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0"/>
        </w:trPr>
        <w:tc>
          <w:tcPr>
            <w:tcW w:w="7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21,944</w:t>
            </w: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27,925</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25,806</w:t>
            </w: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2,596</w:t>
            </w:r>
          </w:p>
        </w:tc>
      </w:tr>
      <w:tr>
        <w:trPr>
          <w:trHeight w:val="23"/>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78,271</w:t>
            </w:r>
          </w:p>
        </w:tc>
      </w:tr>
      <w:tr>
        <w:trPr>
          <w:trHeight w:val="203"/>
        </w:trPr>
        <w:tc>
          <w:tcPr>
            <w:tcW w:w="7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22,177</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 net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25,650</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 - interest rate swap</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and 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3"/>
        </w:trPr>
        <w:tc>
          <w:tcPr>
            <w:tcW w:w="7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131,354</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7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DEFICIT</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12,500</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7,058</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13,220</w:t>
            </w:r>
          </w:p>
        </w:tc>
      </w:tr>
      <w:tr>
        <w:trPr>
          <w:trHeight w:val="206"/>
        </w:trPr>
        <w:tc>
          <w:tcPr>
            <w:tcW w:w="77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Issuance costs payable</w:t>
            </w:r>
          </w:p>
        </w:tc>
        <w:tc>
          <w:tcPr>
            <w:tcW w:w="2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23,107</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Bonus payable</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w:t>
            </w:r>
          </w:p>
        </w:tc>
      </w:tr>
      <w:tr>
        <w:trPr>
          <w:trHeight w:val="200"/>
        </w:trPr>
        <w:tc>
          <w:tcPr>
            <w:tcW w:w="7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39,676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60,516</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6"/>
        </w:trPr>
        <w:tc>
          <w:tcPr>
            <w:tcW w:w="7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deferred finance costs</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233,132</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126,897</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liability - convertible notes redemption make-whole provision</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35,271</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Line of credit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4,709</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24,500</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consideration liability</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38,427</w:t>
            </w:r>
          </w:p>
        </w:tc>
      </w:tr>
      <w:tr>
        <w:trPr>
          <w:trHeight w:val="200"/>
        </w:trPr>
        <w:tc>
          <w:tcPr>
            <w:tcW w:w="7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486,965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539,004</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2"/>
        </w:trPr>
        <w:tc>
          <w:tcPr>
            <w:tcW w:w="7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62"/>
        </w:trPr>
        <w:tc>
          <w:tcPr>
            <w:tcW w:w="7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606,818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608,311</w:t>
            </w:r>
          </w:p>
        </w:tc>
      </w:tr>
      <w:tr>
        <w:trPr>
          <w:trHeight w:val="23"/>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42"/>
        </w:trPr>
        <w:tc>
          <w:tcPr>
            <w:tcW w:w="7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w:t>
            </w:r>
          </w:p>
        </w:tc>
        <w:tc>
          <w:tcPr>
            <w:tcW w:w="2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$0.0001 par value; 250,000,000 shares authorized, 15,118,532 and 14,929,982 shares issued and outstanding</w:t>
            </w: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5"/>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June 30, 2022 and December 31, 2021, respectively</w:t>
            </w:r>
          </w:p>
        </w:tc>
        <w:tc>
          <w:tcPr>
            <w:tcW w:w="2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 $0.0001 par value; 75,000,000 shares authorized, 60,986,800 and 61,136,800 shares issued and outstanding</w:t>
            </w: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June 30, 2022 and December 31, 2021, respectively</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12,261</w:t>
            </w:r>
          </w:p>
        </w:tc>
      </w:tr>
      <w:tr>
        <w:trPr>
          <w:trHeight w:val="206"/>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7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(964,899)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(1,028,229)</w:t>
            </w:r>
          </w:p>
        </w:tc>
      </w:tr>
      <w:tr>
        <w:trPr>
          <w:trHeight w:val="19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(941,924)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(1,015,961)</w:t>
            </w:r>
          </w:p>
        </w:tc>
      </w:tr>
      <w:tr>
        <w:trPr>
          <w:trHeight w:val="24"/>
        </w:trPr>
        <w:tc>
          <w:tcPr>
            <w:tcW w:w="7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DEFICIT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131,354</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8" w:right="339" w:bottom="11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unaudited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129" w:gutter="0" w:footer="0" w:header="0"/>
          <w:type w:val="continuous"/>
        </w:sectPr>
      </w:pPr>
    </w:p>
    <w:bookmarkStart w:id="8" w:name="page9"/>
    <w:bookmarkEnd w:id="8"/>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 (Unaudited)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05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96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560" w:type="dxa"/>
            <w:vAlign w:val="bottom"/>
            <w:gridSpan w:val="4"/>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center"/>
              <w:ind w:right="238"/>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3"/>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41"/>
        </w:trPr>
        <w:tc>
          <w:tcPr>
            <w:tcW w:w="54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97,199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62,743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126,465</w:t>
            </w:r>
          </w:p>
        </w:tc>
        <w:tc>
          <w:tcPr>
            <w:tcW w:w="0" w:type="dxa"/>
            <w:vAlign w:val="bottom"/>
          </w:tcPr>
          <w:p>
            <w:pPr>
              <w:spacing w:after="0"/>
              <w:rPr>
                <w:sz w:val="1"/>
                <w:szCs w:val="1"/>
                <w:color w:val="auto"/>
              </w:rPr>
            </w:pPr>
          </w:p>
        </w:tc>
      </w:tr>
      <w:tr>
        <w:trPr>
          <w:trHeight w:val="251"/>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38,347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57,039</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Gross profit</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58,852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107,611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69,426</w:t>
            </w:r>
          </w:p>
        </w:tc>
        <w:tc>
          <w:tcPr>
            <w:tcW w:w="0" w:type="dxa"/>
            <w:vAlign w:val="bottom"/>
          </w:tcPr>
          <w:p>
            <w:pPr>
              <w:spacing w:after="0"/>
              <w:rPr>
                <w:sz w:val="1"/>
                <w:szCs w:val="1"/>
                <w:color w:val="auto"/>
              </w:rPr>
            </w:pPr>
          </w:p>
        </w:tc>
      </w:tr>
      <w:tr>
        <w:trPr>
          <w:trHeight w:val="224"/>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20,513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0" w:type="dxa"/>
            <w:vAlign w:val="bottom"/>
          </w:tcPr>
          <w:p>
            <w:pPr>
              <w:spacing w:after="0"/>
              <w:rPr>
                <w:sz w:val="1"/>
                <w:szCs w:val="1"/>
                <w:color w:val="auto"/>
              </w:rPr>
            </w:pPr>
          </w:p>
        </w:tc>
      </w:tr>
      <w:tr>
        <w:trPr>
          <w:trHeight w:val="251"/>
        </w:trPr>
        <w:tc>
          <w:tcPr>
            <w:tcW w:w="54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Selling expenses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34,419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50,630</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Revaluation of warrant liability</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19,465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Revaluation of earnout consideration liability</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14,934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 in fair value of derivative liability - convertible notes redemption</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make-whole provision</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Interest expense, net</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0" w:type="dxa"/>
            <w:vAlign w:val="bottom"/>
          </w:tcPr>
          <w:p>
            <w:pPr>
              <w:spacing w:after="0"/>
              <w:rPr>
                <w:sz w:val="1"/>
                <w:szCs w:val="1"/>
                <w:color w:val="auto"/>
              </w:rPr>
            </w:pPr>
          </w:p>
        </w:tc>
      </w:tr>
      <w:tr>
        <w:trPr>
          <w:trHeight w:val="251"/>
        </w:trPr>
        <w:tc>
          <w:tcPr>
            <w:tcW w:w="5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Total other income (expenses), net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w:t>
            </w:r>
          </w:p>
        </w:tc>
        <w:tc>
          <w:tcPr>
            <w:tcW w:w="0" w:type="dxa"/>
            <w:vAlign w:val="bottom"/>
          </w:tcPr>
          <w:p>
            <w:pPr>
              <w:spacing w:after="0"/>
              <w:rPr>
                <w:sz w:val="1"/>
                <w:szCs w:val="1"/>
                <w:color w:val="auto"/>
              </w:rPr>
            </w:pPr>
          </w:p>
        </w:tc>
      </w:tr>
      <w:tr>
        <w:trPr>
          <w:trHeight w:val="21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63,460</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21,480</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90,911</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44,702</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60,658</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21,480</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87,566</w:t>
            </w: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44,702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interests</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52,184</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75,628</w:t>
            </w:r>
          </w:p>
        </w:tc>
        <w:tc>
          <w:tcPr>
            <w:tcW w:w="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income attributable to CompoSecure, Inc.</w:t>
            </w: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44,702</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Class A common stockholders - basic</w:t>
            </w: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color w:val="auto"/>
                <w:w w:val="91"/>
              </w:rPr>
              <w:t>n/a</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213"/>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5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Class A common stockholders - diluted (1)</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1"/>
              </w:rPr>
              <w:t>n/a</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to compute net income per share attributable to Class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center"/>
              <w:ind w:right="213"/>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 common stockholders - basic (in thousands)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15,052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1"/>
              </w:rPr>
              <w:t>n/a</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used to compute net income per share attributable to Class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center"/>
              <w:ind w:right="213"/>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 common stockholders - diluted (in thousands)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32,363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right="740" w:firstLine="8"/>
        <w:spacing w:after="0" w:line="301" w:lineRule="auto"/>
        <w:tabs>
          <w:tab w:leader="none" w:pos="229" w:val="left"/>
        </w:tabs>
        <w:numPr>
          <w:ilvl w:val="0"/>
          <w:numId w:val="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Net income attributable to CompoSecure, Inc.is adjusted for net effects of stock options and exchangeable notes to calculate diluted net income attributable to CompoSecure, Inc. See note 13.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unaudited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(Unaudited)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338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7"/>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1"/>
        </w:trPr>
        <w:tc>
          <w:tcPr>
            <w:tcW w:w="47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7"/>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
        </w:trPr>
        <w:tc>
          <w:tcPr>
            <w:tcW w:w="47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40" w:type="dxa"/>
            <w:vAlign w:val="bottom"/>
            <w:tcBorders>
              <w:bottom w:val="single" w:sz="8" w:color="CCEEFF"/>
            </w:tcBorders>
            <w:shd w:val="clear" w:color="auto" w:fill="CCEEFF"/>
          </w:tcPr>
          <w:p>
            <w:pPr>
              <w:jc w:val="right"/>
              <w:ind w:right="85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44,702</w:t>
            </w:r>
          </w:p>
        </w:tc>
      </w:tr>
      <w:tr>
        <w:trPr>
          <w:trHeight w:val="204"/>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Unrealized gain on derivative - interest rate swap (net of tax)</w:t>
            </w: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w:t>
            </w: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unaudited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Stockholders' Deficit (Unaudited)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840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Non-</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78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8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80" w:type="dxa"/>
            <w:vAlign w:val="bottom"/>
          </w:tcPr>
          <w:p>
            <w:pPr>
              <w:spacing w:after="0"/>
              <w:rPr>
                <w:sz w:val="16"/>
                <w:szCs w:val="16"/>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2"/>
                <w:szCs w:val="2"/>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2"/>
                <w:szCs w:val="2"/>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2"/>
                <w:szCs w:val="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2"/>
                <w:szCs w:val="2"/>
                <w:color w:val="auto"/>
              </w:rPr>
            </w:pPr>
          </w:p>
        </w:tc>
        <w:tc>
          <w:tcPr>
            <w:tcW w:w="80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82"/>
        </w:trPr>
        <w:tc>
          <w:tcPr>
            <w:tcW w:w="2620" w:type="dxa"/>
            <w:vAlign w:val="bottom"/>
          </w:tcPr>
          <w:p>
            <w:pPr>
              <w:spacing w:after="0"/>
              <w:rPr>
                <w:sz w:val="15"/>
                <w:szCs w:val="15"/>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6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14,929,982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61,136,800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(1,028,229)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(1,015,961)</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608,311</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costs related to Business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combination</w:t>
            </w: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22,167</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 pursuant to</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plans</w:t>
            </w: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on derivative - interest rate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swap, net of tax</w:t>
            </w: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 of redeemable non-controlling</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22,167</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(22,167)</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 to redemption value</w:t>
            </w: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88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2022</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14,954,982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61,136,800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12,541</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3,869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(1,001,321)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(984,904)</w:t>
            </w:r>
          </w:p>
        </w:tc>
        <w:tc>
          <w:tcPr>
            <w:tcW w:w="100" w:type="dxa"/>
            <w:vAlign w:val="bottom"/>
            <w:tcBorders>
              <w:right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608,311</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52,184</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 pursuant to</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163,550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equity-based plans</w:t>
            </w: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 on derivative - interest rate</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swap, net of tax</w:t>
            </w: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receivable agreement liability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 of redeemable non-controlling</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53,677</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(53,677)</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 to redemption value</w:t>
            </w: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88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15,118,532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60,986,800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17,610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5,357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(964,899)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(941,924)</w:t>
            </w:r>
          </w:p>
        </w:tc>
        <w:tc>
          <w:tcPr>
            <w:tcW w:w="100" w:type="dxa"/>
            <w:vAlign w:val="bottom"/>
            <w:tcBorders>
              <w:right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606,818</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
        </w:trPr>
        <w:tc>
          <w:tcPr>
            <w:tcW w:w="26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Non-</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78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68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6"/>
                <w:szCs w:val="16"/>
                <w:color w:val="auto"/>
              </w:rPr>
            </w:pPr>
          </w:p>
        </w:tc>
        <w:tc>
          <w:tcPr>
            <w:tcW w:w="9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80" w:type="dxa"/>
            <w:vAlign w:val="bottom"/>
          </w:tcPr>
          <w:p>
            <w:pPr>
              <w:spacing w:after="0"/>
              <w:rPr>
                <w:sz w:val="16"/>
                <w:szCs w:val="16"/>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0" w:type="dxa"/>
            <w:vAlign w:val="bottom"/>
          </w:tcPr>
          <w:p>
            <w:pPr>
              <w:spacing w:after="0"/>
              <w:rPr>
                <w:sz w:val="1"/>
                <w:szCs w:val="1"/>
                <w:color w:val="auto"/>
              </w:rPr>
            </w:pPr>
          </w:p>
        </w:tc>
      </w:tr>
      <w:tr>
        <w:trPr>
          <w:trHeight w:val="28"/>
        </w:trPr>
        <w:tc>
          <w:tcPr>
            <w:tcW w:w="2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auto"/>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61,136,800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(198,707)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(192,553)</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23,222</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2021</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61,136,800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6,589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(178,761)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(172,166)</w:t>
            </w:r>
          </w:p>
        </w:tc>
        <w:tc>
          <w:tcPr>
            <w:tcW w:w="100" w:type="dxa"/>
            <w:vAlign w:val="bottom"/>
            <w:tcBorders>
              <w:right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21,480</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7"/>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2021</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61,136,800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6,932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(168,607)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(161,669)</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unaudited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 (Unaudited)</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034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87,566</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44,702</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24"/>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deferred finance costs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 in fair value of earnout consideration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Revaluation of warrant liability</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tax expense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(20,542)</w:t>
            </w:r>
          </w:p>
        </w:tc>
      </w:tr>
      <w:tr>
        <w:trPr>
          <w:trHeight w:val="224"/>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r>
      <w:tr>
        <w:trPr>
          <w:trHeight w:val="223"/>
        </w:trPr>
        <w:tc>
          <w:tcPr>
            <w:tcW w:w="82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51,391</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27,207</w:t>
            </w:r>
          </w:p>
        </w:tc>
      </w:tr>
      <w:tr>
        <w:trPr>
          <w:trHeight w:val="33"/>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8"/>
        </w:trPr>
        <w:tc>
          <w:tcPr>
            <w:tcW w:w="8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r>
      <w:tr>
        <w:trPr>
          <w:trHeight w:val="21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r>
      <w:tr>
        <w:trPr>
          <w:trHeight w:val="33"/>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 of line of credit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Payment of term loan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r>
      <w:tr>
        <w:trPr>
          <w:trHeight w:val="224"/>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Distributions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Payment of issuance costs related to business combination</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(56,440)</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(31,603)</w:t>
            </w:r>
          </w:p>
        </w:tc>
      </w:tr>
      <w:tr>
        <w:trPr>
          <w:trHeight w:val="33"/>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2"/>
        </w:trPr>
        <w:tc>
          <w:tcPr>
            <w:tcW w:w="8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(5,647)</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8"/>
        </w:trPr>
        <w:tc>
          <w:tcPr>
            <w:tcW w:w="82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13,422</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62"/>
        </w:trPr>
        <w:tc>
          <w:tcPr>
            <w:tcW w:w="82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r>
      <w:tr>
        <w:trPr>
          <w:trHeight w:val="24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13,391</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7,775</w:t>
            </w:r>
          </w:p>
        </w:tc>
      </w:tr>
      <w:tr>
        <w:trPr>
          <w:trHeight w:val="24"/>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Supplementary disclosure of cash flow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 expense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r>
      <w:tr>
        <w:trPr>
          <w:trHeight w:val="3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asset - interest rate swap</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The accompanying notes are an integral part of these unaudited consolidated financial statements.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ORGANIZATION AND BUSINESS OPERATIONS</w:t>
      </w:r>
    </w:p>
    <w:p>
      <w:pPr>
        <w:spacing w:after="0" w:line="12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CompoSecure, Inc. (“CompoSecure” or the “Company”) is a manufacturer and designer of complex metal, composite and proprietary financial transaction cards. The Company started operations in 2000 and provides products and services primarily to global financial institutions, plastic card manufacturers, government agencies, system integrators, and security specialists. The Company is located in Somerset, New Jersey.</w:t>
      </w:r>
    </w:p>
    <w:p>
      <w:pPr>
        <w:spacing w:after="0" w:line="189"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The Company is a leading provider of premium financial payment cards and Cryptocurrency and Digital Asset storage and security solutions. For two decades, through its combination of large-scale, advanced manufacturing capabilities and deep technological expertise, the Company has driven key Payments Industry innovations in materials science, Metal Form Factor design, dual interface functionality, and security. The distinct value proposition of the Company’s products has resulted in widespread adoption by major banks, financial institutions and leading FinTech innovators to support their acquisition and retention of consumer and business card customers. The Company maintains trusted, highly-embedded and long-term customer relationships with an expanding set of global issuers.</w:t>
      </w:r>
    </w:p>
    <w:p>
      <w:pPr>
        <w:spacing w:after="0" w:line="22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December 27, 2021 (the "Closing Date"), Roman DBDR Tech Acquisition Corp ("Roman DBDR") consummated the merger pursuant to the Merger Agreement, dated April 19, 2021 (the "Merger Agreement"), by and among Roman DBDR, Roman Parent Merger Sub, LLC, a wholly-owned subsidiary of Roman DBDR incorporated in the State of Delaware ("Merger Sub"), and CompoSecure Holdings, L.L.C., a Delaware limited liability company ("Holdings"). Pursuant to the terms of the Merger Agreement, a business combination between the Company and Holdings was affected through the merger of Merger Sub with and into Holdings, with Holdings surviving as the surviving company and as a wholly-owned subsidiary of Roman DBDR (the "Business Combination"). Pursuant to the Business Combination, the merger was accounted for as a reverse recapitalization in accordance with accounting principles generally accepted in the U.S. ("U.S. GAAP"). On the Closing Date, and in connection with the closing of the Business Combination, Roman DBDR changed its name to CompoSecure, Inc. Holdings was deemed the accounting acquirer in the Business Combination based on an analysis of the criteria outlined in Accounting Standards Codification ("ASC") 805.</w:t>
      </w:r>
    </w:p>
    <w:p>
      <w:pPr>
        <w:spacing w:after="0" w:line="184" w:lineRule="exact"/>
        <w:rPr>
          <w:sz w:val="20"/>
          <w:szCs w:val="20"/>
          <w:color w:val="auto"/>
        </w:rPr>
      </w:pPr>
    </w:p>
    <w:p>
      <w:pPr>
        <w:ind w:right="634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conformity U.S. GAAP and pursuant to the rules and regulations of the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majority owned subsidiary. All intercompany 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all periods presented, unless otherwise noted.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significant accounting policies are detailed in our Annual Report on Form 10-K for the year ended December 31, 2021 filed with the SEC.</w:t>
      </w:r>
    </w:p>
    <w:p>
      <w:pPr>
        <w:spacing w:after="0" w:line="25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and treated as the equivalent of Holdings issuing stock for the net assets of Roman DBDR, accompanied by a recapitalization. The net assets of Roman DBDR were stated at historical cost, with no goodwill or other intangible assets recorded. While Roman DBDR was the legal acquirer in the Business Combination, because Holdings was deemed the accounting acquirer, the historical financial statements of Holdings became the historical financial statements of the combined company, upon the consummation of the Business Combination. As a result, the financial statements included in this report reflect (i) the historical operating results of Holdings prior to the Business Combination; (ii) the combined results of the Company and Holdings following the closing of the Business Combination; (iii) the assets and liabilities of Holdings at their historical cost; and (iv) the Company’s equity structure for all periods presented. In accordance with guidance applicable to these circumstances, the equity structure has been restated in all comparative periods up to the Closing Date, to reflect the number of shares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Company's common stock, $0.0001 par value per share issued to Holdings' equity holders in connection with the recapitalization transaction. As such, the shares and corresponding capital amounts and earnings per share related to Holdings' common stock prior to the Business Combination have been retroactively restated as shares reflecting the exchange ratio established in the Business Combination Agreement.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Interim Financial Statements</w:t>
      </w:r>
    </w:p>
    <w:p>
      <w:pPr>
        <w:spacing w:after="0" w:line="24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and Article 10 of Regulation S-X of the SEC for interim financial information. and should be read in conjunction with the Company’s Annual Report on Form 10-K for the year ended December 31, 2021. The financial statements presented in this Quarterly Report on Form 10-Q are unaudited; however, in the opinion of management, the Financial Statements reflect all adjustments, consisting solely of normal, recurring adjustments, necessary for the fair presentation of the financial statements for the periods presented. The results disclosed in the Consolidated Statements of Operations for the three-month period and six-month period ended June 30, 2022 are not necessarily indicative of the results to be expected for the full year.</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21"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The global outbreak of the COVID-19 pandemic continues to rapidly evolve. The Company has taken a number of measures to monitor and mitigate the effects of COVID-19, such as safety and health measures for the employees and securing the supply of materials that are essential to the Company’s production process. At this stage, the impact on the Company’s business and results has not been significant. However, the ultimate impact of the pandemic on our operations is unknown and will depend on future developments, which are highly uncertain and cannot be predicated with confidence, including the ultimate geographic spread of the disease, the duration of the outbreak, travel restrictions, required social distancing and any additional preventative and protective actions that governments, or the Company, may direct, which could result in an extended period of continued business disruption, reduced customer, collaborator, or supplier traffic and reduced operations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which are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estimates of the inputs used to calculate the tax receivable agreement liability.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revenue in accordance with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instances when a customer pays consideration, or an entity has a right to an amount of consideration that is unconditional (e.g. receivable), before the entity transfers a good or service to the customer. The Company did not have any contract assets or liabilities as of June 30, 2022 or December 31, 2021.</w:t>
      </w:r>
    </w:p>
    <w:p>
      <w:pPr>
        <w:spacing w:after="0" w:line="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invoices its customers at the time at which control is transferred, with payment terms ranging between 15 and 60 days depending on each individual contract. As the payment is due within 90 days of the invoice, a significant financing component is not included within the contracts.</w:t>
      </w:r>
    </w:p>
    <w:p>
      <w:pPr>
        <w:spacing w:after="0" w:line="5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measured in an amount that reflects the consideration the Company expects to receive in exchange for those products or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net of variable consideration such as discounts, rebates, and returns.</w:t>
      </w:r>
    </w:p>
    <w:p>
      <w:pPr>
        <w:spacing w:after="0" w:line="9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72"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 is managed and operated as one business as the entire business is managed by a single management team that reports to the Chief Executive Officer and President. The Company's chief operating decision-maker is its Chief Executive Officer and President, who makes resource allocation decisions and assesses performance based on financial information presented on an aggregate basis. The Company does not operate separate lines of business with respect to any of its products and does not prepare discrete financial information to allocate resources to separate products or by location. Accordingly, the Company views its business as one reportable operating segment.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Effective April 1, 2022, the Company changed its accounting policy to calculate the basic and diluted earnings per share as well as determined that</w:t>
      </w:r>
    </w:p>
    <w:p>
      <w:pPr>
        <w:spacing w:after="0" w:line="48"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it would push down the changes in fair value of the mark-to-market liabilities related to the Company's warrants and earnout consideration liability to its operating subsidiary, Holdings, resulting in a change to the net income attributable to the controlling interest and non-controlling interest. 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of the equity awards, exchange of the Class B units and exchangeable notes ("securities") only if the effect is not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prospectively adopted this accounting policy described above to allocate its net income and to calculate its basic and dilutive earnings per share. The Company has provided the appropriate disclosures as required in ASC 250-10. See note 13.</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Pronouncements – Adopted</w:t>
      </w:r>
    </w:p>
    <w:p>
      <w:pPr>
        <w:spacing w:after="0" w:line="24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and subsequently amended by ASU 2019-04 and ASU 2019-05 which introduces a forward-looking approach, based on expected losses, to estimate credit losses on certain types of financial instruments, including trade receivables. This new standard amends the current guidance on the impairment of financial instruments. The ASU adds to U.S. GAAP an impairment model known as current expected credit loss (CECL) model that is based on expected losses rather than incurred losses. Under the new guidance, an entity will recognize as an allowance its estimate of expected credit losses. Expected credit losses are determined on the basis of how long a receivable has been outstanding (e.g., under 30 days, 31–60 days) as each customer has its own specific term. This method is used to estimate the allowance for bad debts on trade receivables. A trade receivable is considered past due when its past due one day over its specific payment term. The Company determines the write-offs of the allowance on a customer by customer approach. The Company has not experienced any significant write-offs in the past. The ASU is effective for the Company for fiscal years beginning after December 15, 2022, and interim periods within those fiscal years with early adoption permitted. The Company adopted this guidance effective January 1, 2022. The adoption of this guidance did not have a material impact on the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 Not Yet Adopted</w:t>
      </w:r>
    </w:p>
    <w:p>
      <w:pPr>
        <w:spacing w:after="0" w:line="270" w:lineRule="exact"/>
        <w:rPr>
          <w:sz w:val="20"/>
          <w:szCs w:val="20"/>
          <w:color w:val="auto"/>
        </w:rPr>
      </w:pPr>
    </w:p>
    <w:p>
      <w:pPr>
        <w:ind w:firstLine="198"/>
        <w:spacing w:after="0" w:line="258" w:lineRule="auto"/>
        <w:rPr>
          <w:sz w:val="20"/>
          <w:szCs w:val="20"/>
          <w:color w:val="auto"/>
        </w:rPr>
      </w:pPr>
      <w:r>
        <w:rPr>
          <w:rFonts w:ascii="Times New Roman" w:cs="Times New Roman" w:eastAsia="Times New Roman" w:hAnsi="Times New Roman"/>
          <w:sz w:val="18"/>
          <w:szCs w:val="18"/>
          <w:color w:val="auto"/>
        </w:rPr>
        <w:t>In March 2022, the FASB issued ASU 2022-02, which eliminates the accounting guidance on troubled debt restructurings (TDRs) for creditors in ASC 310-402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 and restructurings for borrowers experiencing financial difficulty. The amendments in ASU 2020-04 are effective for years beginning after December 15, 2022 for entities that have adopted CECL. The Company is evaluating the impact of this ASU on the Company's financial statements.</w:t>
      </w:r>
    </w:p>
    <w:p>
      <w:pPr>
        <w:spacing w:after="0" w:line="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("ASU 2020-04"). ASU 2020-04 provides optional guidance for a limited period of time to ease potential accounting impact associated with transitioning away from reference rates that are expected to be discontinued, such as the London Interbank Offered Rate ("LIBOR"). The amendments in this ASU apply only to contracts, hedging relationships, and other transactions that reference London Interbank Offered Rate ("LIBOR") or another reference rate expected to be discontinued. The amendments in ASU 2020-04 can be adopted as of March 12, 2020 and are effective through December 31, 2022. However, it cannot be applied to contract modifications that occur after December 31, 2022. LIBOR was expected to be phased out at the end 2021. We do not currently have any contracts that have been changed to a new reference rate, but we will continue to evaluate our contracts and the effects of this standard on our consolidated financial statements prior to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24"/>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major classes of inventories were as follows: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38"/>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20" w:type="dxa"/>
            <w:vAlign w:val="bottom"/>
          </w:tcPr>
          <w:p>
            <w:pPr>
              <w:spacing w:after="0"/>
              <w:rPr>
                <w:sz w:val="24"/>
                <w:szCs w:val="24"/>
                <w:color w:val="auto"/>
              </w:rPr>
            </w:pPr>
          </w:p>
        </w:tc>
        <w:tc>
          <w:tcPr>
            <w:tcW w:w="1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61"/>
        </w:trPr>
        <w:tc>
          <w:tcPr>
            <w:tcW w:w="70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r>
      <w:tr>
        <w:trPr>
          <w:trHeight w:val="263"/>
        </w:trPr>
        <w:tc>
          <w:tcPr>
            <w:tcW w:w="7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29,577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27,474</w:t>
            </w:r>
          </w:p>
        </w:tc>
      </w:tr>
      <w:tr>
        <w:trPr>
          <w:trHeight w:val="243"/>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21"/>
                <w:szCs w:val="21"/>
                <w:color w:val="auto"/>
              </w:rPr>
            </w:pPr>
          </w:p>
        </w:tc>
        <w:tc>
          <w:tcPr>
            <w:tcW w:w="1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582</w:t>
            </w:r>
          </w:p>
        </w:tc>
      </w:tr>
      <w:tr>
        <w:trPr>
          <w:trHeight w:val="40"/>
        </w:trPr>
        <w:tc>
          <w:tcPr>
            <w:tcW w:w="7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63"/>
        </w:trPr>
        <w:tc>
          <w:tcPr>
            <w:tcW w:w="7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reserve</w:t>
            </w:r>
          </w:p>
        </w:tc>
        <w:tc>
          <w:tcPr>
            <w:tcW w:w="300" w:type="dxa"/>
            <w:vAlign w:val="bottom"/>
          </w:tcPr>
          <w:p>
            <w:pPr>
              <w:spacing w:after="0"/>
              <w:rPr>
                <w:sz w:val="21"/>
                <w:szCs w:val="21"/>
                <w:color w:val="auto"/>
              </w:rPr>
            </w:pP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(3,531)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(2,613)</w:t>
            </w:r>
          </w:p>
        </w:tc>
      </w:tr>
      <w:tr>
        <w:trPr>
          <w:trHeight w:val="40"/>
        </w:trPr>
        <w:tc>
          <w:tcPr>
            <w:tcW w:w="7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302"/>
        </w:trPr>
        <w:tc>
          <w:tcPr>
            <w:tcW w:w="70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28,743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25,806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reviews inventory for slow-moving or obsolete amounts based on expected product sales volume and provides reserves against the carrying amount of inventory as appropriate.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50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00" w:type="dxa"/>
            <w:vAlign w:val="bottom"/>
          </w:tcPr>
          <w:p>
            <w:pPr>
              <w:spacing w:after="0"/>
              <w:rPr>
                <w:sz w:val="24"/>
                <w:szCs w:val="24"/>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7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w w:val="99"/>
              </w:rPr>
              <w:t>5 - 10 years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61,109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59,437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760" w:type="dxa"/>
            <w:vAlign w:val="bottom"/>
          </w:tcPr>
          <w:p>
            <w:pPr>
              <w:spacing w:after="0"/>
              <w:rPr>
                <w:sz w:val="21"/>
                <w:szCs w:val="21"/>
                <w:color w:val="auto"/>
              </w:rPr>
            </w:pPr>
          </w:p>
        </w:tc>
        <w:tc>
          <w:tcPr>
            <w:tcW w:w="1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3 - 5 years</w:t>
            </w:r>
          </w:p>
        </w:tc>
        <w:tc>
          <w:tcPr>
            <w:tcW w:w="5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7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rPr>
              <w:t>3 - 5 years</w:t>
            </w:r>
          </w:p>
        </w:tc>
        <w:tc>
          <w:tcPr>
            <w:tcW w:w="5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25"/>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Shorter of lease term or</w:t>
            </w:r>
          </w:p>
        </w:tc>
        <w:tc>
          <w:tcPr>
            <w:tcW w:w="500" w:type="dxa"/>
            <w:vAlign w:val="bottom"/>
          </w:tcPr>
          <w:p>
            <w:pPr>
              <w:spacing w:after="0"/>
              <w:rPr>
                <w:sz w:val="19"/>
                <w:szCs w:val="19"/>
                <w:color w:val="auto"/>
              </w:rPr>
            </w:pPr>
          </w:p>
        </w:tc>
        <w:tc>
          <w:tcPr>
            <w:tcW w:w="15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11,687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11,358</w:t>
            </w:r>
          </w:p>
        </w:tc>
        <w:tc>
          <w:tcPr>
            <w:tcW w:w="0" w:type="dxa"/>
            <w:vAlign w:val="bottom"/>
          </w:tcPr>
          <w:p>
            <w:pPr>
              <w:spacing w:after="0"/>
              <w:rPr>
                <w:sz w:val="1"/>
                <w:szCs w:val="1"/>
                <w:color w:val="auto"/>
              </w:rPr>
            </w:pPr>
          </w:p>
        </w:tc>
      </w:tr>
      <w:tr>
        <w:trPr>
          <w:trHeight w:val="126"/>
        </w:trPr>
        <w:tc>
          <w:tcPr>
            <w:tcW w:w="4680" w:type="dxa"/>
            <w:vAlign w:val="bottom"/>
          </w:tcPr>
          <w:p>
            <w:pPr>
              <w:spacing w:after="0"/>
              <w:rPr>
                <w:sz w:val="10"/>
                <w:szCs w:val="10"/>
                <w:color w:val="auto"/>
              </w:rPr>
            </w:pPr>
          </w:p>
        </w:tc>
        <w:tc>
          <w:tcPr>
            <w:tcW w:w="2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estimated useful life</w:t>
            </w:r>
          </w:p>
        </w:tc>
        <w:tc>
          <w:tcPr>
            <w:tcW w:w="50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7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8"/>
                <w:szCs w:val="18"/>
                <w:color w:val="auto"/>
              </w:rPr>
              <w:t>5 years</w:t>
            </w:r>
          </w:p>
        </w:tc>
        <w:tc>
          <w:tcPr>
            <w:tcW w:w="5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60" w:type="dxa"/>
            <w:vAlign w:val="bottom"/>
          </w:tcPr>
          <w:p>
            <w:pPr>
              <w:spacing w:after="0"/>
              <w:rPr>
                <w:sz w:val="21"/>
                <w:szCs w:val="21"/>
                <w:color w:val="auto"/>
              </w:rPr>
            </w:pPr>
          </w:p>
        </w:tc>
        <w:tc>
          <w:tcPr>
            <w:tcW w:w="16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rPr>
              <w:t>1 - 3 years</w:t>
            </w:r>
          </w:p>
        </w:tc>
        <w:tc>
          <w:tcPr>
            <w:tcW w:w="500" w:type="dxa"/>
            <w:vAlign w:val="bottom"/>
          </w:tcPr>
          <w:p>
            <w:pPr>
              <w:spacing w:after="0"/>
              <w:rPr>
                <w:sz w:val="21"/>
                <w:szCs w:val="21"/>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7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80,316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76,813</w:t>
            </w: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(59,202)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(54,636)</w:t>
            </w:r>
          </w:p>
        </w:tc>
        <w:tc>
          <w:tcPr>
            <w:tcW w:w="0" w:type="dxa"/>
            <w:vAlign w:val="bottom"/>
          </w:tcPr>
          <w:p>
            <w:pPr>
              <w:spacing w:after="0"/>
              <w:rPr>
                <w:sz w:val="1"/>
                <w:szCs w:val="1"/>
                <w:color w:val="auto"/>
              </w:rPr>
            </w:pPr>
          </w:p>
        </w:tc>
      </w:tr>
      <w:tr>
        <w:trPr>
          <w:trHeight w:val="271"/>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21,114</w:t>
            </w:r>
          </w:p>
        </w:tc>
        <w:tc>
          <w:tcPr>
            <w:tcW w:w="8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22,177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on property and equipment was $2,218 and $2,588 for the three months ended June 30, 2022 and 2021, respectively. Depreciation and amortization expense on property and equipment was $4,567 and $5,173 for the six months ended June 30, 2022 and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Exchangeable Senior Notes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April 19, 2021, concurrent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$130,000 that are exchangeable into shares of Class A common stock at a conversion price of $11.50 per share, subject to the terms and conditions of an Indenture entered by the Company and its wholly owned subsidiary, Holdings, and the trustee under the Indenture. The Exchangeable Notes bear interest at a rate of 7% per year, payable semiannually in arrears on each June 15 and December 15, commencing on June 15, 2022, to holders of record at the close of business on the preceding June 1 and December 1 (whether or not such day is a Business Day), respectively. The Exchangeable Notes mature in five years on December 27, 2026. The Company will settle any exchange of the Exchangeable Notes in shares of Class A common stock, with cash</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payable in lieu of any fractional shares. In connection with the issuance of the Exchangeable Notes, the Company entered into a Registration Rights Agreement, pursuant to which the Notes Investors received certain registration rights with respect to the Class A common stock.</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After the three-year anniversary of the Closing Date, the Exchangeable Notes will be redeemable at any time and from time to time by the Company, in whole or in part, (i) if the Last Reported Sale Price of the Class A common stock exceeds 130% of the exchange price as defined in Indenture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so long as a registration statement registering the resale of all Exchange Shares is effective and available for use by holders of</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Exchangeable Notes during the entirety of the period from and including the date notice of redemption is given to and including the date of redemption. The notice period for any redemption will be no less than 30 scheduled trading days. The redemption price in any such redemption shall be equal to (a) 100% of the principal amount of the Exchangeable Notes to be redeemed, plus (b) accrued and unpaid interest to, but excluding, the redemption date. The redemption price is payable in cash.</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Per the terms of the Indenture, holders of Exchangeable Notes in connection with any such redemption will receive a make-whole payment equal to the aggregate dollar value of all interest payable from the date the Company delivers notice of such redemption through the maturity of the Exchangeable Notes. The redemption Make-Whole Amount is payable, at the Company’s option, in cash or through an increase in the exchange rate then applicable to the Exchangeable Notes by an amount equal to (i) the redemption Make-Whole Amount divided by (ii) the five day Volume Weighed Average Price ("VWAP") with regard to the Class A common stock during the five trading period beginning on the trading day immediately following the notice of redemption.</w:t>
      </w:r>
    </w:p>
    <w:p>
      <w:pPr>
        <w:spacing w:after="0" w:line="3" w:lineRule="exact"/>
        <w:rPr>
          <w:sz w:val="20"/>
          <w:szCs w:val="20"/>
          <w:color w:val="auto"/>
        </w:rPr>
      </w:pPr>
    </w:p>
    <w:p>
      <w:pPr>
        <w:jc w:val="both"/>
        <w:ind w:right="60" w:firstLine="648"/>
        <w:spacing w:after="0" w:line="255" w:lineRule="auto"/>
        <w:rPr>
          <w:sz w:val="20"/>
          <w:szCs w:val="20"/>
          <w:color w:val="auto"/>
        </w:rPr>
      </w:pPr>
      <w:r>
        <w:rPr>
          <w:rFonts w:ascii="Times New Roman" w:cs="Times New Roman" w:eastAsia="Times New Roman" w:hAnsi="Times New Roman"/>
          <w:sz w:val="18"/>
          <w:szCs w:val="18"/>
          <w:color w:val="auto"/>
        </w:rPr>
        <w:t>Holders of Exchangeable Notes may exchange their notes in whole or in part, at any time or from time to time, for shares of the Company’s Class A common stock, par value $0.0001 per share up, to a maximum exchange rate of 99.9999 shares per $1,000 principal amount after adjustments as defined in the indenture.</w:t>
      </w:r>
    </w:p>
    <w:p>
      <w:pPr>
        <w:spacing w:after="0" w:line="213"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Exchangeable Notes contain customary anti-dilution adjustments, taking into account the agreed terms in the Indenture. To avoid doubt, among other customary adjustments, this includes anti-dilution protections for dividends and distributions of the Company's capital stock, assets and indebtedness. Per the terms of the Indenture, the following are the anti-dilution adjustments of the Exchange Rate:</w:t>
      </w:r>
    </w:p>
    <w:p>
      <w:pPr>
        <w:spacing w:after="0" w:line="203" w:lineRule="exact"/>
        <w:rPr>
          <w:sz w:val="20"/>
          <w:szCs w:val="20"/>
          <w:color w:val="auto"/>
        </w:rPr>
      </w:pPr>
    </w:p>
    <w:p>
      <w:pPr>
        <w:ind w:left="660" w:hanging="328"/>
        <w:spacing w:after="0" w:line="282"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exclusively issues shares of common stock as a dividend or distribution on shares of the common stock, or if the Company effects a share split or share combination;</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issues to all or substantially all holders of the common stock any rights, options or warrants (other than pursuant to a stockholders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cash dividend or distribution is made to all or substantially all holders of the common stock;</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of its Subsidiaries make a payment in respect of a tender or exchange offer for the common Stock, to the extent that the cash and value of any other consideration included in the payment per share of the common stock exceeds the average of the last reported sale prices of the common stock over the 10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trading day period commencing on, and including, the trading day next succeeding the last date on which tenders or exchanges may be made pursuant to such tender or exchange offer.</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exchange rate will in no event be adjusted down pursuant to the provisions described above, except to the extent a tender or exchange offer is announced but not consummated.</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subject to certain conditions, the Exchange Rate will be adjusted per the adjustment table included in the Indenture. If a fundamental change occurs at any time prior to the maturity date, each holder shall have the right, at such holder’s option, to require the Company to repurchase for cash all of such holder’s Exchangeable Notes at a repurchase price equal to 100% of the principal amount of the Exchangeable Notes to be repurchased, plus accrued and unpaid interest thereon. There is no make-whole payment associated with a fundamental change redemption.</w:t>
      </w:r>
    </w:p>
    <w:p>
      <w:pPr>
        <w:spacing w:after="0" w:line="210"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18"/>
          <w:szCs w:val="18"/>
          <w:color w:val="auto"/>
        </w:rPr>
        <w:t>Holders of Exchangeable Notes will be entitled to the resale registration rights under the resale Registration Rights Agreement. If a Registration default occurs, additional interest will accrue, equal to 0.25% in the first 90 days and 0.50% after the 91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day after the Registration Default (which includes that the Registration Statement has not been filed, or deemed effective or ceases to be effective).</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Indenture contains customary terms and covenants and events of default. Upon an event of default as defined in the Indenture, the trustee or the holders of at least 25% in aggregate principal amount of the Exchangeable Notes may declare 100% of the principal of, and accrued and unpaid interest on, all the Exchangeable Notes to be due and payable immediately, and upon any such declaration, the same shall become and shall automatically be immediately due and payable. Upon an event of default in the payment of interest, the Company may elect the sole remedy to be the payment of additional interest of 0.25% for the first 90 days after the occurrence of such an event of default and 0.50% for day s 91-180 after the occurrence of such an event of default.</w:t>
      </w:r>
    </w:p>
    <w:p>
      <w:pPr>
        <w:spacing w:after="0" w:line="21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assessed all of the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it is a derivative. The fair value of this derivative was determined based on the difference between the fair value of the Exchangeable Notes with the redemption with a make-whole provision feature and the fair value of the Exchangeable Notes without the redemption with a make-whole provision feature. The Company employed a Lattice model to determine the fair value of the derivative upon issuance of the Exchangeable Notes and recorded this amount as derivative liability with an offsetting amount as a debt discount as a reduction to the carrying value of the Exchangeable Notes on the Closing Date, or December 27, 2021. The optional redemption with a make-whole provision feature is measured at fair value on a quarterly basis and the change in the fair value for the period is recorded on the consolidated statements of operations. The Company performed a valuation of the derivative liability for the quarter ended June 30, 2022 and determined that the fair value of the derivative liability was $613 at June 30, 2022 representing a change in fair value of $187 and $61 for the three and six months ended June 30, 2022, respectively, The change in fair value is recognized in the consolidated statement of operations.</w:t>
      </w:r>
    </w:p>
    <w:p>
      <w:pPr>
        <w:spacing w:after="0" w:line="21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expected term of the Exchangeable Notes was equal for the period through December 27, 2026 as this represents the point at which the Exchangeable Notes will mature unless earlier converted in accordance with their terms prior to such date. For the quarter ended June 30, 2022, the Company recognized $2,366 of interest expense related to the Exchangeable Notes at the effective interest rate of 7.4%. For the six-months ended June 30, 2022, the Company recognized $4,720 of interest expense related to the Exchangeable Notes at the effective interest rate of 7.4%. The fair value of the Company’s Exchangeable Notes approximate the carrying value of the debt.</w:t>
      </w:r>
    </w:p>
    <w:p>
      <w:pPr>
        <w:spacing w:after="0" w:line="21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Exchangeable Notes, the Company incurred approximately $2,600 of debt issuance costs, which primarily consisted of underwriting fees, and allocated these costs to the liability component and recorded as a reduction in the carrying amount of the debt liability on the balance sheet. The portion allocated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0"/>
        <w:spacing w:after="0" w:line="407" w:lineRule="auto"/>
        <w:rPr>
          <w:sz w:val="20"/>
          <w:szCs w:val="20"/>
          <w:color w:val="auto"/>
        </w:rPr>
      </w:pPr>
      <w:r>
        <w:rPr>
          <w:rFonts w:ascii="Times New Roman" w:cs="Times New Roman" w:eastAsia="Times New Roman" w:hAnsi="Times New Roman"/>
          <w:sz w:val="18"/>
          <w:szCs w:val="18"/>
          <w:color w:val="auto"/>
        </w:rPr>
        <w:t xml:space="preserve">Exchangeable Notes is amortized to interest expense over the expected term of the Exchangeable Notes using the effective interest method. </w:t>
      </w:r>
      <w:r>
        <w:rPr>
          <w:rFonts w:ascii="Times New Roman" w:cs="Times New Roman" w:eastAsia="Times New Roman" w:hAnsi="Times New Roman"/>
          <w:sz w:val="18"/>
          <w:szCs w:val="18"/>
          <w:b w:val="1"/>
          <w:bCs w:val="1"/>
          <w:color w:val="auto"/>
        </w:rPr>
        <w:t>Term Loan</w:t>
      </w:r>
    </w:p>
    <w:p>
      <w:pPr>
        <w:spacing w:after="0" w:line="8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On July 26, 2016, the Company entered into a $120,000 credit facility with JP Morgan Chase (“JPMC”) acting as the lending agent (“2016 Credit Facility”).</w:t>
      </w:r>
    </w:p>
    <w:p>
      <w:pPr>
        <w:spacing w:after="0" w:line="189" w:lineRule="exact"/>
        <w:rPr>
          <w:sz w:val="20"/>
          <w:szCs w:val="20"/>
          <w:color w:val="auto"/>
        </w:rPr>
      </w:pPr>
    </w:p>
    <w:p>
      <w:pPr>
        <w:ind w:left="20" w:right="100" w:firstLine="648"/>
        <w:spacing w:after="0" w:line="312" w:lineRule="auto"/>
        <w:rPr>
          <w:sz w:val="20"/>
          <w:szCs w:val="20"/>
          <w:color w:val="auto"/>
        </w:rPr>
      </w:pPr>
      <w:r>
        <w:rPr>
          <w:rFonts w:ascii="Times New Roman" w:cs="Times New Roman" w:eastAsia="Times New Roman" w:hAnsi="Times New Roman"/>
          <w:sz w:val="17"/>
          <w:szCs w:val="17"/>
          <w:color w:val="auto"/>
        </w:rPr>
        <w:t>In July 2019, the Company amended its 2016 Credit Facility with JPMC, increasing the maximum aggregate amount available under the revolver to $60,000 and the amount of the term loan to $140,000. In addition, the maturity dates of both the revolver and term loan were amended to July 2, 2022.</w:t>
      </w:r>
    </w:p>
    <w:p>
      <w:pPr>
        <w:spacing w:after="0" w:line="3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2020, the Company entered into a new agreement with JPMC to refinance its July 2019 credit facility, increasing the maximum aggregate amount available under the term loan to $240,000 bringing total credit facility to $300,000. In addition, the maturity date of both the revolver and term loan was amended to November 5, 2023. This amendment was accounted for as a modification and approximately $3,200 of additional costs incurred in connection with the modification were capitalized as debt issuance costs.</w:t>
      </w:r>
    </w:p>
    <w:p>
      <w:pPr>
        <w:spacing w:after="0" w:line="7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new agreement with JPMC to refinance its then existing November 2020 credit facility, increasing the maximum aggregate amount available under the term loan to $250,000 bringing total credit facility to $310,000. In addition, the maturity dates of both the revolver and term loan were amended to December 16, 2025. This amendment was accounted for as a modification and approximately $1,800 of additional costs incurred in connection with the modification were capitalized as debt issuance costs.</w:t>
      </w:r>
    </w:p>
    <w:p>
      <w:pPr>
        <w:spacing w:after="0" w:line="7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Interest on the Revolver and Term Loan are based on the outstanding principal amount during the interest period multiplied by the fluctuating bank prime rate plus the applicable margin of 2.00% or for portions of the debt converted to Euro Loans the quoted LIBOR rate plus the applicable margin of 3.00%. At June 30, 2022 and 2021, the effective interest rate on the Revolver and Term Loan was 3.65% and 4.36% per year, respectively. Interest is payable monthly in arrears or upon maturity of the Euro loans that can run 30, 90, 120, 180 day time periods. The Company must pay quarterly an annual commitment fee of 0.40% on the unused portion of the $60 million Revolver.</w:t>
      </w:r>
    </w:p>
    <w:p>
      <w:pPr>
        <w:spacing w:after="0" w:line="7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credit facility is secured by substantially all of the assets of the Company. The Company recognized $3,000 and $2,891 of interest expense related to the Revolver and the Term Loan for the quarter ended June 30, 2022 and 2021, respectively. The Company recognized $6,170 and $5,928 of interest expense related to the Revolver and the Term Loan for the six months ended June 30, 2022 and 2021, respectively.</w:t>
      </w:r>
    </w:p>
    <w:p>
      <w:pPr>
        <w:spacing w:after="0" w:line="6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terms of the credit facilities contain certain financial covenants including a minimum interest coverage ratio, a maximum total debt to EBITDA ratio and a minimum fixed charge coverage ratio. The Company made an excess cash flow payment of $13,753 related to the credit facilities in the quarter ended June 30, 2022 per the terms of the facilities. At June 30, 2022 and December 31, 2021, the Company was in compliance with all financial covenants.</w:t>
      </w:r>
    </w:p>
    <w:p>
      <w:pPr>
        <w:spacing w:after="0" w:line="72" w:lineRule="exact"/>
        <w:rPr>
          <w:sz w:val="20"/>
          <w:szCs w:val="20"/>
          <w:color w:val="auto"/>
        </w:rPr>
      </w:pPr>
    </w:p>
    <w:p>
      <w:pPr>
        <w:ind w:right="140" w:firstLine="648"/>
        <w:spacing w:after="0" w:line="297" w:lineRule="auto"/>
        <w:rPr>
          <w:sz w:val="20"/>
          <w:szCs w:val="20"/>
          <w:color w:val="auto"/>
        </w:rPr>
      </w:pPr>
      <w:r>
        <w:rPr>
          <w:rFonts w:ascii="Times New Roman" w:cs="Times New Roman" w:eastAsia="Times New Roman" w:hAnsi="Times New Roman"/>
          <w:sz w:val="18"/>
          <w:szCs w:val="18"/>
          <w:color w:val="auto"/>
        </w:rPr>
        <w:t>As of June 30, 2022 and December 31, 2021, there were $25,000 and $15,000 balances outstanding on the Revolver. At June 30, 2022, there was $35,000 of availability for borrowing under the Revolver.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balances payable under all borrowing facilities are as follows:</w:t>
            </w: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69"/>
        </w:trPr>
        <w:tc>
          <w:tcPr>
            <w:tcW w:w="70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6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0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36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363,122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r>
      <w:tr>
        <w:trPr>
          <w:trHeight w:val="243"/>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 of term loan (scheduled payments)</w:t>
            </w:r>
          </w:p>
        </w:tc>
        <w:tc>
          <w:tcPr>
            <w:tcW w:w="1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40"/>
        </w:trPr>
        <w:tc>
          <w:tcPr>
            <w:tcW w:w="70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83"/>
        </w:trPr>
        <w:tc>
          <w:tcPr>
            <w:tcW w:w="7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deferred financing costs, net</w:t>
            </w:r>
          </w:p>
        </w:tc>
        <w:tc>
          <w:tcPr>
            <w:tcW w:w="13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r>
      <w:tr>
        <w:trPr>
          <w:trHeight w:val="237"/>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1360" w:type="dxa"/>
            <w:vAlign w:val="bottom"/>
            <w:tcBorders>
              <w:top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351,906</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360,029</w:t>
            </w:r>
          </w:p>
        </w:tc>
      </w:tr>
      <w:tr>
        <w:trPr>
          <w:trHeight w:val="40"/>
        </w:trPr>
        <w:tc>
          <w:tcPr>
            <w:tcW w:w="706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liability - redemption with make-whole provision</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40"/>
        </w:trPr>
        <w:tc>
          <w:tcPr>
            <w:tcW w:w="706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maturity of all the borrowings facilities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142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w:t>
            </w:r>
          </w:p>
        </w:tc>
      </w:tr>
      <w:tr>
        <w:trPr>
          <w:trHeight w:val="40"/>
        </w:trPr>
        <w:tc>
          <w:tcPr>
            <w:tcW w:w="78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64"/>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76"/>
        </w:trPr>
        <w:tc>
          <w:tcPr>
            <w:tcW w:w="7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2025</w:t>
            </w:r>
          </w:p>
        </w:tc>
        <w:tc>
          <w:tcPr>
            <w:tcW w:w="14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1"/>
        </w:trPr>
        <w:tc>
          <w:tcPr>
            <w:tcW w:w="7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2026</w:t>
            </w:r>
          </w:p>
        </w:tc>
        <w:tc>
          <w:tcPr>
            <w:tcW w:w="14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42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363,122</w:t>
            </w:r>
          </w:p>
        </w:tc>
      </w:tr>
      <w:tr>
        <w:trPr>
          <w:trHeight w:val="41"/>
        </w:trPr>
        <w:tc>
          <w:tcPr>
            <w:tcW w:w="784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20"/>
        </w:trPr>
        <w:tc>
          <w:tcPr>
            <w:tcW w:w="78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 w:right="80" w:firstLine="648"/>
        <w:spacing w:after="0" w:line="271" w:lineRule="auto"/>
        <w:rPr>
          <w:sz w:val="20"/>
          <w:szCs w:val="20"/>
          <w:color w:val="auto"/>
        </w:rPr>
      </w:pPr>
      <w:r>
        <w:rPr>
          <w:rFonts w:ascii="Times New Roman" w:cs="Times New Roman" w:eastAsia="Times New Roman" w:hAnsi="Times New Roman"/>
          <w:sz w:val="17"/>
          <w:szCs w:val="17"/>
          <w:color w:val="auto"/>
        </w:rPr>
        <w:t>The Company is exposed to interest rate risk on variable interest rate debt obligations. To manage interest rate risk, the Company had entered into an interest rate swap agreement on November 5, 2020 to hedge forecasted interest rate payments on its variable rate debt. In January 2022, the Company cancelled the November 2020 swap agreement and entered into a new interest rate swap agreement. The Company recognized $400 gain upon the settlement of the November 2020 interest rate swap agreement. At June 30, 2022, the Company’s interest rate swap contract outstanding had a notional amount of $125,000 maturing in December 2025. The Company has designated the interest rate swap agreement as a cash flow hedge for accounting purposes, that was determined to be effective. The Company determined the fair value of the interest rate swap to be zero at the inception of the agreement and $5,590 at June 30, 2022.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will be recognized at each reporting period in the Company’s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amended the guidance in former ASC Topic 840, Leases. The Company adopted the new lease guidance effective January 1, 2021 using the modified retrospective transition approach , applying the new standard to all of its leases existing at the date of initial application which is the effective date of adoption. Consequently, financial information was not updated and the disclosures required under the new standard were not provided for dates and periods before January 1, 2021. The Company elected the package of practical expedients which permits to not reassess (1) whether any expired or existing contracts are or contain leases, (2) the lease classification for any expired or existing leases, and (3) any initial direct costs for any existing leases as of the effective date. The Company did not elect the hindsight practical expedient which permits entities to use hindsight in determining the lease term and assessing impairment. The adoption of the lease standard did not change the Company’s previously reported consolidated statements of operations and did not result in a cumulative catch-up adjustment to opening equity. The adoption of the new guidance resulted in the recognition of ROU assets of $6,298 and lease liabilities of $6,875. The difference between the ROU assets and the lease liabilities were primarily due to unamortized lease incentive and deferred rent related to the Company’s operating leases at December 31, 2020.</w:t>
      </w:r>
    </w:p>
    <w:p>
      <w:pPr>
        <w:spacing w:after="0" w:line="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interest rate implicit in lease contracts is typically not readily determinable. As such, the Company utilized its incremental borrowing rate (“IBR”), which is the rate incurred to borrow on a collateralized basis over a similar term an amount equal to the lease payments in a similar economic environment. In calculating the present value of the lease payments, the Company elected to utilize its incremental borrowing rate based on the remaining lease terms as of the January 1, 2021 adoption date. The Company utilized a synthetic credit rating model including fundamental analysis per S&amp;P Global Market Intelligence. The Company then utilized the Bloomberg BVAL Pricing Source to determine the option-adjusted spread and added the United States Treasury Constant Maturity for the applicable terms to determine the term structure of the IBR. Based on these calculations, the Company determined applicable discount rates for various points along the yield curve as of January 1, 2021. As a reasonableness check for the yield curve, the Company considered its revolving credit agreement amendment on November 5, 2020, which extended the term of the agreement through November 5, 2023. The base interest rate on the loan was calculated as LIBOR plus 300 bps which approximates 3.4%. This rate was generally consistent with the yield curve derived, thus the Company determined that the yield curve was appropriate for determining the discount rates for its leases. The Company then interpolated the discount rates in the yield curve to determine the discount rate for each of its existing leases at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future minimum lease payments over the lease term at the commencement date. The operating lease ROU asset also includes any lease payments made and excludes lease incentives incurred, if any. The Company’s lease terms may include options to extend the lease when it is reasonably certain that we will exercise that option. Our leases have remaining lease terms of 1 year to 7 years, some of which include options to extend the lease term for up to 3 years.</w:t>
      </w:r>
    </w:p>
    <w:p>
      <w:pPr>
        <w:spacing w:after="0" w:line="7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 has elected the practical expedient to combine lease and non-lease components as a single component. The lease expense is recognized over the expected term on a straight-line basis. Operating leases are recognized on the balance sheet as right-of-use assets, current operating lease liabilities and non-current operating lease liabilities.</w:t>
      </w:r>
    </w:p>
    <w:p>
      <w:pPr>
        <w:spacing w:after="0" w:line="6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new standard also provides practical expedients and certain exemptions for an entity’s ongoing accounting. The Company has elected the short-term lease recognition exemption for all leases that qualify. This means, for those leases where the initial lease term is one year or less or for which the ROU asset at inception is deemed immaterial, the Company will not recognize ROU assets or lease liabilities. Those leases are expensed on a straight line basis over the term of the lease.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through its wholly-owned subsidiary Holdings, leases certain office space and manufacturing space under arrangements currently classified as operating leases under ASC 842. The Company recognizes lease expense for these leases on a straight-line basis over the lease terms. Most leases include one or more options to renew, with renewal options ranging from 1 to 5 years. The exercise of lease renewal options is at the Company’s sole discretion.</w:t>
      </w:r>
    </w:p>
    <w:p>
      <w:pPr>
        <w:spacing w:after="0" w:line="7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Effective April 1, 2012, the Company entered into a 10-year lease for its office and manufacturing facilities in Somerset, New Jersey terminating in 2022. The lease contains escalating rental payments, exclusive of required payments for increases in real estate taxes and operating costs over base period amounts. The agreement provides for a five year renewal option. The lease provides for monthly payments of rent during the lease term. These payments consist of base rent, and additional rent covering customary items such as charges for utilities, taxes, operating expenses, and other facility fees and charges. The base rent is currently approximately $324 per year, which reflects an annual 3% escalation factor. The Company exercised its renewal option in December 2020.</w:t>
      </w:r>
    </w:p>
    <w:p>
      <w:pPr>
        <w:spacing w:after="0" w:line="7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Effective August 1, 2014, the Company entered into a 4-year lease for additional office and manufacturing space in Somerset, New Jersey terminating on July 31, 2018. The lease contains escalating rental payments. The Company has the option to extend the term for two periods of two years each. The Company amended its lease agreement to exercise both renewal options with the last one exercised in 2020, for additional three years expiring on August 31, 2023. The base rent is currently approximately $106 per year, which reflects an annual 3% escalation factor.</w:t>
      </w:r>
    </w:p>
    <w:p>
      <w:pPr>
        <w:spacing w:after="0" w:line="7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Effective June 16, 2016, the Company entered into a 10-year lease for a new facility. The lease contains escalating rental payments and terminates on September 30, 2026. The agreement also provides for a renewal option at a fixed rate. The base rent is currently approximately $825 per year, which reflects an annual 3% escalation factor.</w:t>
      </w:r>
    </w:p>
    <w:p>
      <w:pPr>
        <w:spacing w:after="0" w:line="68" w:lineRule="exact"/>
        <w:rPr>
          <w:sz w:val="20"/>
          <w:szCs w:val="20"/>
          <w:color w:val="auto"/>
        </w:rPr>
      </w:pPr>
    </w:p>
    <w:p>
      <w:pPr>
        <w:ind w:right="300" w:firstLine="648"/>
        <w:spacing w:after="0" w:line="277" w:lineRule="auto"/>
        <w:rPr>
          <w:sz w:val="20"/>
          <w:szCs w:val="20"/>
          <w:color w:val="auto"/>
        </w:rPr>
      </w:pPr>
      <w:r>
        <w:rPr>
          <w:rFonts w:ascii="Times New Roman" w:cs="Times New Roman" w:eastAsia="Times New Roman" w:hAnsi="Times New Roman"/>
          <w:sz w:val="17"/>
          <w:szCs w:val="17"/>
          <w:color w:val="auto"/>
        </w:rPr>
        <w:t>Effective May 1, 2022, the Company entered into a 7-year lease for a new facility primarily for warehouse operations in Somerset, New Jersey terminating in 2029. The lease contains escalating rental payments, exclusive of required payments for increases in real estate taxes and operating costs over base period amounts. The agreement provides for two five year renewal options. The lease provides for monthly payments of rent during the lease term. These payments consist of base rent, management fee and additional rent covering customary items such as charges for utilities, taxes, operating expenses, and other facility fees and charges. The base rent is currently approximately $629 per year, which reflects an annual 3.8% escalation factor.</w:t>
      </w:r>
    </w:p>
    <w:p>
      <w:pPr>
        <w:spacing w:after="0" w:line="60"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The Company’s leases have remaining lease terms of 1 to 7 years. The Company does not include any renewal options in lease terms when calculating lease liabilities as the Company is not reasonably certain that it will exercise these options. Two of the leases include the early termination option in the lease term, however, it was not included in the lease terms when calculating the lease liability since the Company determined that it is reasonably certain it will not terminate the leases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for the operating leases was 5.5 years at June 30, 2022. The weighted-average discount rate was 3.87% at June 30,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w w:val="99"/>
              </w:rPr>
              <w:t>ROU assets and lease liabilities related to the operating leases are as follows:</w:t>
            </w: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3920" w:type="dxa"/>
            <w:vAlign w:val="bottom"/>
          </w:tcPr>
          <w:p>
            <w:pPr>
              <w:spacing w:after="0"/>
              <w:rPr>
                <w:sz w:val="24"/>
                <w:szCs w:val="24"/>
                <w:color w:val="auto"/>
              </w:rPr>
            </w:pPr>
          </w:p>
        </w:tc>
        <w:tc>
          <w:tcPr>
            <w:tcW w:w="22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800" w:type="dxa"/>
            <w:vAlign w:val="bottom"/>
          </w:tcPr>
          <w:p>
            <w:pPr>
              <w:spacing w:after="0"/>
              <w:rPr>
                <w:sz w:val="24"/>
                <w:szCs w:val="24"/>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41"/>
        </w:trPr>
        <w:tc>
          <w:tcPr>
            <w:tcW w:w="3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Right of use assets</w:t>
            </w:r>
          </w:p>
        </w:tc>
        <w:tc>
          <w:tcPr>
            <w:tcW w:w="84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9,286</w:t>
            </w:r>
          </w:p>
        </w:tc>
        <w:tc>
          <w:tcPr>
            <w:tcW w:w="5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1,664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40"/>
        </w:trPr>
        <w:tc>
          <w:tcPr>
            <w:tcW w:w="3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8,257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r>
      <w:tr>
        <w:trPr>
          <w:trHeight w:val="508"/>
        </w:trPr>
        <w:tc>
          <w:tcPr>
            <w:tcW w:w="1124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Company has lease agreements that contain both lease and non-lease components. The Company accounts for lease components together with</w:t>
            </w:r>
          </w:p>
        </w:tc>
      </w:tr>
      <w:tr>
        <w:trPr>
          <w:trHeight w:val="234"/>
        </w:trPr>
        <w:tc>
          <w:tcPr>
            <w:tcW w:w="8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non-lease components (e.g., common-area maintenance). The components of lease costs were as follows:</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72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20" w:type="dxa"/>
            <w:vAlign w:val="bottom"/>
          </w:tcPr>
          <w:p>
            <w:pPr>
              <w:spacing w:after="0"/>
              <w:rPr>
                <w:sz w:val="23"/>
                <w:szCs w:val="23"/>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1"/>
        </w:trPr>
        <w:tc>
          <w:tcPr>
            <w:tcW w:w="3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3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
        </w:trPr>
        <w:tc>
          <w:tcPr>
            <w:tcW w:w="39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41"/>
        </w:trPr>
        <w:tc>
          <w:tcPr>
            <w:tcW w:w="39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322"/>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1,063</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0"/>
        </w:trPr>
        <w:tc>
          <w:tcPr>
            <w:tcW w:w="4100" w:type="dxa"/>
            <w:vAlign w:val="bottom"/>
            <w:tcBorders>
              <w:top w:val="single" w:sz="8" w:color="CCEEFF"/>
            </w:tcBorders>
            <w:gridSpan w:val="2"/>
          </w:tcPr>
          <w:p>
            <w:pPr>
              <w:spacing w:after="0" w:line="20" w:lineRule="exact"/>
              <w:rPr>
                <w:sz w:val="1"/>
                <w:szCs w:val="1"/>
                <w:color w:val="auto"/>
              </w:rPr>
            </w:pPr>
          </w:p>
        </w:tc>
        <w:tc>
          <w:tcPr>
            <w:tcW w:w="200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r>
        <w:trPr>
          <w:trHeight w:val="730"/>
        </w:trPr>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Future minimum commitments under all non-cancelable operating leases are as follows: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3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6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the six months ended June 30, 2022)</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40"/>
        </w:trPr>
        <w:tc>
          <w:tcPr>
            <w:tcW w:w="3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40"/>
        </w:trPr>
        <w:tc>
          <w:tcPr>
            <w:tcW w:w="3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40"/>
        </w:trPr>
        <w:tc>
          <w:tcPr>
            <w:tcW w:w="39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57"/>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40"/>
        </w:trPr>
        <w:tc>
          <w:tcPr>
            <w:tcW w:w="39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302"/>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our operating leases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tcPr>
          <w:p>
            <w:pPr>
              <w:spacing w:after="0"/>
              <w:rPr>
                <w:sz w:val="19"/>
                <w:szCs w:val="19"/>
                <w:color w:val="auto"/>
              </w:rPr>
            </w:pPr>
          </w:p>
        </w:tc>
        <w:tc>
          <w:tcPr>
            <w:tcW w:w="2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w:t>
            </w:r>
          </w:p>
        </w:tc>
      </w:tr>
      <w:tr>
        <w:trPr>
          <w:trHeight w:val="238"/>
        </w:trPr>
        <w:tc>
          <w:tcPr>
            <w:tcW w:w="7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30, 2021</w:t>
            </w:r>
          </w:p>
        </w:tc>
      </w:tr>
      <w:tr>
        <w:trPr>
          <w:trHeight w:val="27"/>
        </w:trPr>
        <w:tc>
          <w:tcPr>
            <w:tcW w:w="7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 information:</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40"/>
        </w:trPr>
        <w:tc>
          <w:tcPr>
            <w:tcW w:w="7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64"/>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29" w:lineRule="exact"/>
        <w:rPr>
          <w:sz w:val="20"/>
          <w:szCs w:val="20"/>
          <w:color w:val="auto"/>
        </w:rPr>
      </w:pPr>
    </w:p>
    <w:p>
      <w:pPr>
        <w:ind w:right="9180" w:firstLine="8"/>
        <w:spacing w:after="0" w:line="412"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STRUCTURE Shares Authorized</w:t>
      </w:r>
    </w:p>
    <w:p>
      <w:pPr>
        <w:spacing w:after="0" w:line="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authorized a total of 250,000,000 shares for issuance designated as Class A common stock, 75,000,000 designated as Class B common stock and 10,000,000 shares designated as preferred stock. As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June 30, 2022, there were 15,118,532 shares of Class A Common Stock issued and outstanding, 60,986,800 shares of Class B Common Stock issued and outstanding and no shares of Preferred Stock issued and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5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As of June 30, 2022, the Company had 10,837,400 private warrants outstanding. Each private warrant entitles the registered holder to purchase one share of Class A common stock at a price of $11.50 per share, subject to adjustment, at any time commencing 30 days after the completion of the Business Combination. The exercise price and number of common shares issuable upon exercise of the private warrants may be adjusted in certain circumstances including in the event of a share dividend, or recapitalization, reorganization, merger or consolidation. However, the private warrants will not be adjusted for issuance of common stock at a price below its exercise price.</w:t>
      </w:r>
    </w:p>
    <w:p>
      <w:pPr>
        <w:spacing w:after="0" w:line="21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the Company had 11,578,000 public warrants outstanding. Each public warrant entitles the registered holder to purchase one share of the Company’s Class A Common Stock at a price of $11.50 per share, subject to adjustment, at any time commencing 30 days after the completion of the Business Combination. Pursuant to the warrant agreement, a warrant holder may exercise its warrants only for a whole number of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Non-controlling interests represent direct interests held in Holdings other than by the Company immediately after the Business Combination. The non-controlling interests in the Company are represented by Class B Units, or such other equity securities in the Company as the Board may establish in accordance with the terms hereof. Since the non-controlling interests are redeemable for cash at the option of the Company subject to the terms and conditions, they have been classified as temporary equity on the consolidated balance sheet in accordance with ASC 480. Income tax benefit or expense is applied to the income attributable to the controlling interest as the income attributable to the non-controlling interest is pass-through income. The non-controlling interest has been adjusted to redemption value as of June 30, 2022 in accordance with ASC 480-10. This measurement adjustment results in a corresponding adjustment to shareholders’ deficit through adjustments to additional paid-in capital and retained earnings. The redemption value of the Class B Units was $606,818 on June 30, 2022. The redemption value was calculated by multiplying the 60,986,800 Class B Units outstanding at June 30, 2022 by the $9.95 trading price of our Class A common stock on December 27, 2021.</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share-based compensation expense included in general and administrative expenses within the consolidated statements of operations:</w:t>
      </w:r>
    </w:p>
    <w:p>
      <w:pPr>
        <w:spacing w:after="0" w:line="239" w:lineRule="exact"/>
        <w:rPr>
          <w:sz w:val="20"/>
          <w:szCs w:val="20"/>
          <w:color w:val="auto"/>
        </w:rPr>
      </w:pPr>
    </w:p>
    <w:p>
      <w:pPr>
        <w:ind w:left="4680"/>
        <w:spacing w:after="0"/>
        <w:tabs>
          <w:tab w:leader="none" w:pos="8400" w:val="left"/>
        </w:tabs>
        <w:rPr>
          <w:sz w:val="20"/>
          <w:szCs w:val="20"/>
          <w:color w:val="auto"/>
        </w:rPr>
      </w:pPr>
      <w:r>
        <w:rPr>
          <w:rFonts w:ascii="Times New Roman" w:cs="Times New Roman" w:eastAsia="Times New Roman" w:hAnsi="Times New Roman"/>
          <w:sz w:val="18"/>
          <w:szCs w:val="18"/>
          <w:b w:val="1"/>
          <w:bCs w:val="1"/>
          <w:color w:val="auto"/>
        </w:rPr>
        <w:t>Three Months Ended June 30,</w:t>
      </w:r>
      <w:r>
        <w:rPr>
          <w:sz w:val="20"/>
          <w:szCs w:val="20"/>
          <w:color w:val="auto"/>
        </w:rPr>
        <w:tab/>
      </w:r>
      <w:r>
        <w:rPr>
          <w:rFonts w:ascii="Times New Roman" w:cs="Times New Roman" w:eastAsia="Times New Roman" w:hAnsi="Times New Roman"/>
          <w:sz w:val="17"/>
          <w:szCs w:val="17"/>
          <w:b w:val="1"/>
          <w:bCs w:val="1"/>
          <w:color w:val="auto"/>
        </w:rPr>
        <w:t>Six Months Ended June 30,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080" w:type="dxa"/>
            <w:vAlign w:val="bottom"/>
            <w:tcBorders>
              <w:top w:val="single" w:sz="8" w:color="CCEEFF"/>
              <w:bottom w:val="single" w:sz="8" w:color="CCEEFF"/>
            </w:tcBorders>
            <w:shd w:val="clear" w:color="auto" w:fill="CCEEFF"/>
          </w:tcPr>
          <w:p>
            <w:pPr>
              <w:spacing w:after="0"/>
              <w:rPr>
                <w:sz w:val="24"/>
                <w:szCs w:val="24"/>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20"/>
                <w:szCs w:val="20"/>
                <w:b w:val="1"/>
                <w:bCs w:val="1"/>
                <w:color w:val="auto"/>
              </w:rPr>
              <w:t>2021</w:t>
            </w: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20"/>
                <w:szCs w:val="20"/>
                <w:b w:val="1"/>
                <w:bCs w:val="1"/>
                <w:color w:val="auto"/>
              </w:rPr>
              <w:t>2022</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shd w:val="clear" w:color="auto" w:fill="CCEEFF"/>
          </w:tcPr>
          <w:p>
            <w:pPr>
              <w:jc w:val="right"/>
              <w:ind w:right="548"/>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37"/>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 expense</w:t>
            </w:r>
          </w:p>
        </w:tc>
        <w:tc>
          <w:tcPr>
            <w:tcW w:w="1140" w:type="dxa"/>
            <w:vAlign w:val="bottom"/>
            <w:tcBorders>
              <w:top w:val="single" w:sz="8" w:color="auto"/>
            </w:tcBorders>
          </w:tcPr>
          <w:p>
            <w:pPr>
              <w:jc w:val="right"/>
              <w:ind w:right="94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00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40"/>
        </w:trPr>
        <w:tc>
          <w:tcPr>
            <w:tcW w:w="4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 expense</w:t>
            </w: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units</w:t>
            </w: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40"/>
        </w:trPr>
        <w:tc>
          <w:tcPr>
            <w:tcW w:w="40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302"/>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tcBorders>
              <w:bottom w:val="single" w:sz="8" w:color="CCEEFF"/>
            </w:tcBorders>
            <w:shd w:val="clear" w:color="auto" w:fill="CCEEFF"/>
          </w:tcPr>
          <w:p>
            <w:pPr>
              <w:jc w:val="right"/>
              <w:ind w:right="94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00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stock compensation activity under the Holdings' equity plan, which was assumed by the Company, for the six months period ended June 30, 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Exercise Price Per</w:t>
            </w:r>
          </w:p>
        </w:tc>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240" w:type="dxa"/>
            <w:vAlign w:val="bottom"/>
          </w:tcPr>
          <w:p>
            <w:pPr>
              <w:spacing w:after="0"/>
              <w:rPr>
                <w:sz w:val="19"/>
                <w:szCs w:val="19"/>
                <w:color w:val="auto"/>
              </w:rPr>
            </w:pP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9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4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5,409,771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5,409,771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5,409,771</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5,133,541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 Stock Unit Activity</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5,554,133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5,507,929</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Earnouts</w:t>
            </w: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657,160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2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8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657,160</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Units</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Upon consummation of the Business Combination on December 27, 2021, all of the incentive units, whether vested or unvested, outstanding immediately prior to the merger that were not settled as part of the transaction, were assumed by the Company and converted into class B common stock. The incentive units converted into class B common stock outstanding were 1,236,027 as of June 30, 2022.</w:t>
      </w:r>
    </w:p>
    <w:p>
      <w:pPr>
        <w:spacing w:after="0" w:line="6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Unrecognized compensation cost for unvested stock options, restricted stock awards, incentive units and performance stock units as of June 30, 2022 totaled $36,448, and is expected to be recognized over a weighted average period of approximately 3.3 years.</w:t>
      </w:r>
    </w:p>
    <w:p>
      <w:pPr>
        <w:spacing w:after="0" w:line="158" w:lineRule="exact"/>
        <w:rPr>
          <w:sz w:val="20"/>
          <w:szCs w:val="20"/>
          <w:color w:val="auto"/>
        </w:rPr>
      </w:pPr>
    </w:p>
    <w:p>
      <w:pPr>
        <w:jc w:val="both"/>
        <w:ind w:right="9180" w:firstLine="8"/>
        <w:spacing w:after="0" w:line="377"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 Defined Contribution Plan</w:t>
      </w:r>
    </w:p>
    <w:p>
      <w:pPr>
        <w:spacing w:after="0" w:line="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401(k) profit sharing plan for all full-time employees who have attained the age of 21 and completed 90 days of service. The Company matches 100% of the first 1% and then 50% of the next 5% of employee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contributions. Retirement plan expense for the three months ended June 30, 2022 and 2021 was approximately $409 and $231, respectively. Retirement plan expense for the six months ended June 30, 2022 and 2021 was approximately $837 and $534,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had a self-administered deferred compensation plan that accrues a liability for the benefit of certain employees equal to 0.25% of the year-over-year change in Earnings Before Interest Depreciation “EBITDA” that began in 2014. The Company made an initial contribution of $150 with additional contributions of $0 for the six months ended June 30, 2022 and 2021. The total liability was $242 at June 30, 2022 and December 31, 2021 and was recorded in liabilities on the consolidated balance sheet. Contributions to the Plan vest over a seven year period according to the following vesting schedule: Year 1 – 0.0%, Year 2 – 5.0%, Year 3 – 15.0%, Year 4 – 20.0%, Year 5 – 30.0%, Year 6 – 50.0%, Year 7 – 100%. Since plan inception $1,413 has vested.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determines fair value in accordance with ASC 820 which established a hierarchy for the inputs used to measure the fair value of financial assets and liabilities based on the source of the input, which generally range from quoted prices for identical instruments in a principal trading market (i.e. Level 1) to estimates determined using significant unobservable inputs (i.e. Level 3). The fair value hierarchy prioritizes the inputs, which refer to assumptions that market participants would use in pricing an asset or liability, based upon the highest and best use, into three levels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standard describes three levels of inputs that may be used to measure fair value::</w:t>
      </w:r>
    </w:p>
    <w:p>
      <w:pPr>
        <w:spacing w:after="0" w:line="24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Unadjusted quoted prices in active markets for identical assets or liabilities at the measurement date.</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unadjusted quoted prices in active markets for identical assets or liabilities such as:</w:t>
      </w:r>
    </w:p>
    <w:p>
      <w:pPr>
        <w:spacing w:after="0" w:line="9"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rFonts w:ascii="Times New Roman" w:cs="Times New Roman" w:eastAsia="Times New Roman" w:hAnsi="Times New Roman"/>
          <w:sz w:val="18"/>
          <w:szCs w:val="18"/>
          <w:color w:val="auto"/>
        </w:rPr>
      </w:pPr>
    </w:p>
    <w:p>
      <w:pPr>
        <w:ind w:left="980" w:hanging="168"/>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rFonts w:ascii="Times New Roman" w:cs="Times New Roman" w:eastAsia="Times New Roman" w:hAnsi="Times New Roman"/>
          <w:sz w:val="18"/>
          <w:szCs w:val="18"/>
          <w:color w:val="auto"/>
        </w:rPr>
      </w:pPr>
    </w:p>
    <w:p>
      <w:pPr>
        <w:ind w:left="980" w:hanging="168"/>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980" w:hanging="162"/>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w:t>
      </w:r>
    </w:p>
    <w:p>
      <w:pPr>
        <w:spacing w:after="0" w:line="9" w:lineRule="exact"/>
        <w:rPr>
          <w:rFonts w:ascii="Times New Roman" w:cs="Times New Roman" w:eastAsia="Times New Roman" w:hAnsi="Times New Roman"/>
          <w:sz w:val="18"/>
          <w:szCs w:val="18"/>
          <w:color w:val="auto"/>
        </w:rPr>
      </w:pPr>
    </w:p>
    <w:p>
      <w:pPr>
        <w:ind w:left="660" w:right="14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in which there is little or no market data available, which are significant to the fair value measurement and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develop its own assumptions.</w:t>
      </w:r>
    </w:p>
    <w:p>
      <w:pPr>
        <w:spacing w:after="0" w:line="2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consisted of the following types of instruments as of the following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0"/>
        </w:trPr>
        <w:tc>
          <w:tcPr>
            <w:tcW w:w="54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7"/>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 Carried at Fair 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 - interest rate swap</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Carried at Fair Value:</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41"/>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consideration</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19,386</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redemption with make-whole provision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41"/>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r>
      <w:tr>
        <w:trPr>
          <w:trHeight w:val="237"/>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Carried at Fair Value: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w:t>
            </w:r>
          </w:p>
        </w:tc>
      </w:tr>
      <w:tr>
        <w:trPr>
          <w:trHeight w:val="40"/>
        </w:trPr>
        <w:tc>
          <w:tcPr>
            <w:tcW w:w="5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consideration</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38,427</w:t>
            </w: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redemption with make-whole provision</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bl>
    <w:p>
      <w:pPr>
        <w:spacing w:after="0" w:line="36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Additional information is provided below about assets and liabilities remeasured at fair value on a recurring basis and for which the Company utilizes Level 3 inputs to determine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asset - interest rate swap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exposed to interest rate risk on variable interest rate debt obligations. To manage interest rate risk, the Company entered into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 agreement on January 5, 2022. At June 30, 2022, the Company’s interest rate swap contract outstanding had a notional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$125,000 maturing in December 2025. The Company has designated the interest rate swap as a cash flow hedge for accounting purposes.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the fair value of the interest rate swap to be zero at the inception of the agreement and $5,590 at June 30, 2022. The Company reflects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changes in fair value of the interest rate swap at each reporting period in other comprehensive income and a derivative asset or liability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at each reporting period in the Company’s consolidated financial statements. The fair value of interest rate swap has been classified as a Level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as its valuation requires estimation of factors that are not currently readily observable in the market. If different assumptions were used for the various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 to the valuation approach, the estimated fair value could be significantly higher or lower than the fair value determined.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the Company assumed warrant liability related to previously issued warrants in connection with Roman DBDR's initial public offering. The warrants were accounted for as liabilities in accordance with ASC 815-40 and are presented within warrant liabilities on our consolidated balance sheet. The warrant liabilities were remeasured at June 30, 2022, with changes in fair value presented within revaluation of warrant liabilities in the consolidated statement of operations.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ending balances for the warrant liabilities remeasured at fair value: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Warrant Liabilities</w:t>
            </w:r>
          </w:p>
        </w:tc>
      </w:tr>
      <w:tr>
        <w:trPr>
          <w:trHeight w:val="40"/>
        </w:trPr>
        <w:tc>
          <w:tcPr>
            <w:tcW w:w="8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57"/>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December 31, 2021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CCEEFF"/>
            </w:tcBorders>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6"/>
              </w:rPr>
              <w:t>35,271</w:t>
            </w:r>
          </w:p>
        </w:tc>
      </w:tr>
      <w:tr>
        <w:trPr>
          <w:trHeight w:val="24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320" w:type="dxa"/>
            <w:vAlign w:val="bottom"/>
          </w:tcPr>
          <w:p>
            <w:pPr>
              <w:spacing w:after="0"/>
              <w:rPr>
                <w:sz w:val="21"/>
                <w:szCs w:val="21"/>
                <w:color w:val="auto"/>
              </w:rPr>
            </w:pPr>
          </w:p>
        </w:tc>
        <w:tc>
          <w:tcPr>
            <w:tcW w:w="21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rPr>
              <w:t>(18,041)</w:t>
            </w:r>
          </w:p>
        </w:tc>
      </w:tr>
      <w:tr>
        <w:trPr>
          <w:trHeight w:val="41"/>
        </w:trPr>
        <w:tc>
          <w:tcPr>
            <w:tcW w:w="8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r>
      <w:tr>
        <w:trPr>
          <w:trHeight w:val="295"/>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June 30, 2022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6"/>
              </w:rPr>
              <w:t>17,230</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Public Warrants were valued using the quoted market price as the fair value at the end of each balance sheet date. The Private Placement Warrants were valued using the Black Scholes Option Pricing Model.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determine the fair value of the private warrants as of June 30, 2022:</w:t>
            </w: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13"/>
        </w:trPr>
        <w:tc>
          <w:tcPr>
            <w:tcW w:w="9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40"/>
        </w:trPr>
        <w:tc>
          <w:tcPr>
            <w:tcW w:w="9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57"/>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r>
      <w:tr>
        <w:trPr>
          <w:trHeight w:val="41"/>
        </w:trPr>
        <w:tc>
          <w:tcPr>
            <w:tcW w:w="9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63"/>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40"/>
        </w:trPr>
        <w:tc>
          <w:tcPr>
            <w:tcW w:w="9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63"/>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3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market value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5.20</w:t>
            </w:r>
          </w:p>
        </w:tc>
      </w:tr>
    </w:tbl>
    <w:p>
      <w:pPr>
        <w:spacing w:after="0" w:line="34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private warrants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Consideration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Holdings' equity holders have the right to receive an aggregate of up to 7,500,000 additional (i) shares of the Company's class A common stock or</w:t>
      </w:r>
    </w:p>
    <w:p>
      <w:pPr>
        <w:spacing w:after="0" w:line="27" w:lineRule="exact"/>
        <w:rPr>
          <w:sz w:val="20"/>
          <w:szCs w:val="20"/>
          <w:color w:val="auto"/>
        </w:rPr>
      </w:pPr>
    </w:p>
    <w:p>
      <w:pPr>
        <w:ind w:right="140" w:firstLine="8"/>
        <w:spacing w:after="0" w:line="252"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Units (and a corresponding number of shares of the Company's class B common stock), as applicable, in Earnout consideration based on the achievement of certain stock price thresholds. Earnout Considerations held by Holdings' holders (not including the holders under ASC 718) were determined to be derivative instruments in accordance with ASC 815 and were accounted as derivative liabilities, initially valued at fair value in accordance with ASC 815-40-30-1. The liability for Earnouts are remeasured at each reporting period at fair value, with changes in fair value recorded in earnings in accordance with ASC 815. The Company established the initial fair value for the earnouts at the closing date on December 27, 2021 using a Monte Carlo simulation model. The following table provides a reconciliation of the ending balances for the earnout consideration liabilities remeasured at fair value: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Earnout Consideration Liability</w:t>
            </w:r>
          </w:p>
        </w:tc>
      </w:tr>
      <w:tr>
        <w:trPr>
          <w:trHeight w:val="40"/>
        </w:trPr>
        <w:tc>
          <w:tcPr>
            <w:tcW w:w="7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December 31, 2021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CCEEFF"/>
            </w:tcBorders>
            <w:shd w:val="clear" w:color="auto" w:fill="CCEEFF"/>
          </w:tcPr>
          <w:p>
            <w:pPr>
              <w:jc w:val="center"/>
              <w:ind w:left="2310"/>
              <w:spacing w:after="0"/>
              <w:rPr>
                <w:sz w:val="20"/>
                <w:szCs w:val="20"/>
                <w:color w:val="auto"/>
              </w:rPr>
            </w:pPr>
            <w:r>
              <w:rPr>
                <w:rFonts w:ascii="Times New Roman" w:cs="Times New Roman" w:eastAsia="Times New Roman" w:hAnsi="Times New Roman"/>
                <w:sz w:val="18"/>
                <w:szCs w:val="18"/>
                <w:color w:val="auto"/>
                <w:w w:val="96"/>
              </w:rPr>
              <w:t>38,427</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60" w:type="dxa"/>
            <w:vAlign w:val="bottom"/>
          </w:tcPr>
          <w:p>
            <w:pPr>
              <w:spacing w:after="0"/>
              <w:rPr>
                <w:sz w:val="21"/>
                <w:szCs w:val="21"/>
                <w:color w:val="auto"/>
              </w:rPr>
            </w:pPr>
          </w:p>
        </w:tc>
        <w:tc>
          <w:tcPr>
            <w:tcW w:w="304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(19,041)</w:t>
            </w:r>
          </w:p>
        </w:tc>
      </w:tr>
      <w:tr>
        <w:trPr>
          <w:trHeight w:val="40"/>
        </w:trPr>
        <w:tc>
          <w:tcPr>
            <w:tcW w:w="7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29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at June 30, 2022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Borders>
              <w:bottom w:val="single" w:sz="8" w:color="auto"/>
            </w:tcBorders>
            <w:shd w:val="clear" w:color="auto" w:fill="CCEEFF"/>
          </w:tcPr>
          <w:p>
            <w:pPr>
              <w:jc w:val="center"/>
              <w:ind w:left="2310"/>
              <w:spacing w:after="0"/>
              <w:rPr>
                <w:sz w:val="20"/>
                <w:szCs w:val="20"/>
                <w:color w:val="auto"/>
              </w:rPr>
            </w:pPr>
            <w:r>
              <w:rPr>
                <w:rFonts w:ascii="Times New Roman" w:cs="Times New Roman" w:eastAsia="Times New Roman" w:hAnsi="Times New Roman"/>
                <w:sz w:val="18"/>
                <w:szCs w:val="18"/>
                <w:color w:val="auto"/>
                <w:w w:val="96"/>
              </w:rPr>
              <w:t>19,386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determine the fair value of the Earnout considerations as of June 30, 2022:</w:t>
            </w:r>
          </w:p>
        </w:tc>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9220" w:type="dxa"/>
            <w:vAlign w:val="bottom"/>
          </w:tcPr>
          <w:p>
            <w:pPr>
              <w:spacing w:after="0"/>
              <w:rPr>
                <w:sz w:val="23"/>
                <w:szCs w:val="23"/>
                <w:color w:val="auto"/>
              </w:rPr>
            </w:pPr>
          </w:p>
        </w:tc>
        <w:tc>
          <w:tcPr>
            <w:tcW w:w="20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40"/>
        </w:trPr>
        <w:tc>
          <w:tcPr>
            <w:tcW w:w="922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57"/>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date share price</w:t>
            </w:r>
          </w:p>
        </w:tc>
        <w:tc>
          <w:tcPr>
            <w:tcW w:w="1420" w:type="dxa"/>
            <w:vAlign w:val="bottom"/>
            <w:tcBorders>
              <w:bottom w:val="single" w:sz="8" w:color="CCEEFF"/>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w:t>
            </w: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- 2.99%</w:t>
            </w:r>
          </w:p>
        </w:tc>
      </w:tr>
      <w:tr>
        <w:trPr>
          <w:trHeight w:val="41"/>
        </w:trPr>
        <w:tc>
          <w:tcPr>
            <w:tcW w:w="9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- 82.5%</w:t>
            </w:r>
          </w:p>
        </w:tc>
      </w:tr>
      <w:tr>
        <w:trPr>
          <w:trHeight w:val="24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41"/>
        </w:trPr>
        <w:tc>
          <w:tcPr>
            <w:tcW w:w="9220" w:type="dxa"/>
            <w:vAlign w:val="bottom"/>
          </w:tcPr>
          <w:p>
            <w:pPr>
              <w:spacing w:after="0"/>
              <w:rPr>
                <w:sz w:val="3"/>
                <w:szCs w:val="3"/>
                <w:color w:val="auto"/>
              </w:rPr>
            </w:pPr>
          </w:p>
        </w:tc>
        <w:tc>
          <w:tcPr>
            <w:tcW w:w="2020" w:type="dxa"/>
            <w:vAlign w:val="bottom"/>
            <w:gridSpan w:val="2"/>
          </w:tcPr>
          <w:p>
            <w:pPr>
              <w:spacing w:after="0"/>
              <w:rPr>
                <w:sz w:val="3"/>
                <w:szCs w:val="3"/>
                <w:color w:val="auto"/>
              </w:rPr>
            </w:pPr>
          </w:p>
        </w:tc>
      </w:tr>
      <w:tr>
        <w:trPr>
          <w:trHeight w:val="24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2.5 - 3.5 years</w:t>
            </w:r>
          </w:p>
        </w:tc>
      </w:tr>
      <w:tr>
        <w:trPr>
          <w:trHeight w:val="40"/>
        </w:trPr>
        <w:tc>
          <w:tcPr>
            <w:tcW w:w="92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bl>
    <w:p>
      <w:pPr>
        <w:spacing w:after="0" w:line="306"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The fair value of Earnouts has been classified as a Level 3 liability as its valuation requires substantial judgment and estimation of factors that are not currently readily observable in the market. If different assumptions were used for the various inputs to the valuation approach, the estimated fair value could be significantly higher or lower than the fair value determined.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GEOGRAPHIC INFORMATION AND CONCENTRATIONS</w:t>
      </w:r>
    </w:p>
    <w:p>
      <w:pPr>
        <w:spacing w:after="0" w:line="121" w:lineRule="exact"/>
        <w:rPr>
          <w:sz w:val="20"/>
          <w:szCs w:val="20"/>
          <w:color w:val="auto"/>
        </w:rPr>
      </w:pPr>
    </w:p>
    <w:p>
      <w:pPr>
        <w:ind w:right="280" w:firstLine="648"/>
        <w:spacing w:after="0" w:line="279" w:lineRule="auto"/>
        <w:rPr>
          <w:sz w:val="20"/>
          <w:szCs w:val="20"/>
          <w:color w:val="auto"/>
        </w:rPr>
      </w:pPr>
      <w:r>
        <w:rPr>
          <w:rFonts w:ascii="Times New Roman" w:cs="Times New Roman" w:eastAsia="Times New Roman" w:hAnsi="Times New Roman"/>
          <w:sz w:val="18"/>
          <w:szCs w:val="18"/>
          <w:color w:val="auto"/>
        </w:rPr>
        <w:t>The Company headquarters and substantially all of its operations, including its long-lived assets, are located in the United States. Geographical sales information based on the location of the customer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1"/>
        </w:trPr>
        <w:tc>
          <w:tcPr>
            <w:tcW w:w="40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7"/>
        </w:trPr>
        <w:tc>
          <w:tcPr>
            <w:tcW w:w="40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
        </w:trPr>
        <w:tc>
          <w:tcPr>
            <w:tcW w:w="40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3"/>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region:</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132,493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102,726</w:t>
            </w:r>
          </w:p>
        </w:tc>
      </w:tr>
      <w:tr>
        <w:trPr>
          <w:trHeight w:val="40"/>
        </w:trPr>
        <w:tc>
          <w:tcPr>
            <w:tcW w:w="4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83"/>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w:t>
            </w: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97,199</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62,743</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181,382</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126,465</w:t>
            </w:r>
          </w:p>
        </w:tc>
      </w:tr>
      <w:tr>
        <w:trPr>
          <w:trHeight w:val="40"/>
        </w:trPr>
        <w:tc>
          <w:tcPr>
            <w:tcW w:w="40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Company’s principal direct customers as of June 30, 2022 consist primarily of leading international, foreign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spacing w:after="0" w:line="6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Three customers individually accounted for more than 10% of the Company’s revenue or 78%, combined, of total revenue for the three months ended June 30, 2022. Three customers individually accounted for more than 10% of the Company’s revenue or 80.6%, combined, of total revenue for the three months ended June 30, 2021.Three customers individually accounted for more than 10% of the Company’s revenue or 80.4%, combined, of total revenue for the six months ended June 30, 2022. Two customers individually accounted for more than 10% of the Company’s revenue or 73.0%, combined, of total revenue for the six months ended June 30, 2021. Four customers individually accounted for more than 10% of the Company’s accounts receivable or approximately 82% and two customers individually accounted for more than 10% or 66% of total accounts receivable as of June 30, 2022 and December 31, 2021, respectively.</w:t>
      </w:r>
    </w:p>
    <w:p>
      <w:pPr>
        <w:spacing w:after="0" w:line="8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No individual vendor accounted for more than 10% of purchases of supplies for the six months ended June 30, 2022. The Company primarily relied on three vendors that individually accounted for more than 10% of purchases of supplies for the six months ended June 30, 2021 or approximately 59% of total purchases for the six months ended June 30,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6"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Company recorded income tax provisions of $2,802 and $3,345 for the three and six months ended June 30, 2022, respectively. No provisions or benefits were made for federal or state income taxes for the three months and the six months ended June 30, 2021 as prior to the Business Combination completed on December 27, 2021, the Company was not subject to income taxes due to the then equity structure of the Company and was subject to pass through income taxes. Federal, state and local income tax returns for years prior to 2018 are no longer subject to examination by tax authorities.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calculating the provision for income taxes on an interim basis, the Company uses an estimate of the annual effective tax rate based upon currently known facts and circumstances and applies that rate to its year-to-date earnings or losses. The Company’s effective tax rate is based on expected income and statutory tax rates and takes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 The Company's interim effective tax rate, inclusive of any discrete items, was 4.42% and 3.68% for the three and six months ended June 30, 2022, respectively. </w:t>
      </w:r>
      <w:r>
        <w:rPr>
          <w:rFonts w:ascii="Times New Roman" w:cs="Times New Roman" w:eastAsia="Times New Roman" w:hAnsi="Times New Roman"/>
          <w:sz w:val="19"/>
          <w:szCs w:val="19"/>
          <w:color w:val="auto"/>
        </w:rPr>
        <w:t>T</w:t>
      </w:r>
      <w:r>
        <w:rPr>
          <w:rFonts w:ascii="Times New Roman" w:cs="Times New Roman" w:eastAsia="Times New Roman" w:hAnsi="Times New Roman"/>
          <w:sz w:val="18"/>
          <w:szCs w:val="18"/>
          <w:color w:val="auto"/>
        </w:rPr>
        <w:t>he Company’s effective income tax rate differs from the U.S. statutory rate primarily due to the non-controlling interest adjustment as the income attributable to the non-controlling interest is pass-through income.</w:t>
      </w:r>
    </w:p>
    <w:p>
      <w:pPr>
        <w:spacing w:after="0" w:line="21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continues to evaluate the realizability of its deferred tax assets on a quarterly basis and will adjust such amounts in light of changing facts and circumstances including, but not limited to, future projections of taxable income, tax legislation, rulings by relevant tax authorities, and the progress of ongoing tax audits. Any changes to the valuation allowance or deferred tax assets and liabilities in the future would impact the Company's income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computation of net income used to compute basic and diluted net earnings per share of Class A common stock for the three months and six months ended June 30, 2022. No earnings per share are presented for the periods ended June 30, 2021 as only the Class B common shares would have been outstanding in historical periods pursuant to the reverse recapitalization and the Class B common shares do not participate in the Company's income or loss and are therefore not participating securities.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5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18"/>
                <w:szCs w:val="18"/>
                <w:color w:val="auto"/>
              </w:rPr>
            </w:pPr>
          </w:p>
        </w:tc>
        <w:tc>
          <w:tcPr>
            <w:tcW w:w="15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33"/>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w:t>
            </w: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60,658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87,566</w:t>
            </w:r>
          </w:p>
        </w:tc>
      </w:tr>
      <w:tr>
        <w:trPr>
          <w:trHeight w:val="33"/>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(75,628)</w:t>
            </w:r>
          </w:p>
        </w:tc>
      </w:tr>
      <w:tr>
        <w:trPr>
          <w:trHeight w:val="21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 Stockholders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8,474</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11,938</w:t>
            </w:r>
          </w:p>
        </w:tc>
      </w:tr>
      <w:tr>
        <w:trPr>
          <w:trHeight w:val="33"/>
        </w:trPr>
        <w:tc>
          <w:tcPr>
            <w:tcW w:w="7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 adjustment due to net effect of stock options and exchangeable notes to net income</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12,267</w:t>
            </w:r>
          </w:p>
        </w:tc>
      </w:tr>
      <w:tr>
        <w:trPr>
          <w:trHeight w:val="21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Class A Common Stockholders after adjustment</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16,710</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24,205</w:t>
            </w:r>
          </w:p>
        </w:tc>
      </w:tr>
      <w:tr>
        <w:trPr>
          <w:trHeight w:val="33"/>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used in computing net income per share -</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3"/>
        </w:trPr>
        <w:tc>
          <w:tcPr>
            <w:tcW w:w="7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15,051,732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14,992,612</w:t>
            </w: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 net effect of dilutive stock options and exchangeable notes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17,311,560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17,348,682</w:t>
            </w:r>
          </w:p>
        </w:tc>
      </w:tr>
      <w:tr>
        <w:trPr>
          <w:trHeight w:val="33"/>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used in computing net income per share—diluted</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32,363,292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32,341,294</w:t>
            </w:r>
          </w:p>
        </w:tc>
      </w:tr>
      <w:tr>
        <w:trPr>
          <w:trHeight w:val="217"/>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share—basic</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0.80</w:t>
            </w:r>
          </w:p>
        </w:tc>
      </w:tr>
      <w:tr>
        <w:trPr>
          <w:trHeight w:val="33"/>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share—diluted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r>
      <w:tr>
        <w:trPr>
          <w:trHeight w:val="20"/>
        </w:trPr>
        <w:tc>
          <w:tcPr>
            <w:tcW w:w="7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30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convertible debt to calculate diluted earnings per share in accordance with ASU 2020-06.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amounts were not included in the calculation of net earnings per diluted share because their effects were anti-dilutive: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8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440" w:type="dxa"/>
            <w:vAlign w:val="bottom"/>
          </w:tcPr>
          <w:p>
            <w:pPr>
              <w:spacing w:after="0"/>
              <w:rPr>
                <w:sz w:val="17"/>
                <w:szCs w:val="17"/>
                <w:color w:val="auto"/>
              </w:rPr>
            </w:pPr>
          </w:p>
        </w:tc>
      </w:tr>
      <w:tr>
        <w:trPr>
          <w:trHeight w:val="203"/>
        </w:trPr>
        <w:tc>
          <w:tcPr>
            <w:tcW w:w="828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82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8"/>
                <w:szCs w:val="18"/>
                <w:color w:val="auto"/>
              </w:rPr>
            </w:pPr>
          </w:p>
        </w:tc>
        <w:tc>
          <w:tcPr>
            <w:tcW w:w="144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3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Potentially dilutive securities:</w:t>
            </w: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22,415,400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22,415,400</w:t>
            </w:r>
          </w:p>
        </w:tc>
      </w:tr>
      <w:tr>
        <w:trPr>
          <w:trHeight w:val="40"/>
        </w:trPr>
        <w:tc>
          <w:tcPr>
            <w:tcW w:w="8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6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shares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60,986,800</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60,986,800</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consideration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w:t>
            </w:r>
          </w:p>
        </w:tc>
      </w:tr>
      <w:tr>
        <w:trPr>
          <w:trHeight w:val="40"/>
        </w:trPr>
        <w:tc>
          <w:tcPr>
            <w:tcW w:w="8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common shares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3,897,048</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3,597,048</w:t>
            </w:r>
          </w:p>
        </w:tc>
      </w:tr>
      <w:tr>
        <w:trPr>
          <w:trHeight w:val="41"/>
        </w:trPr>
        <w:tc>
          <w:tcPr>
            <w:tcW w:w="82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Policy for net income per share:</w:t>
      </w:r>
    </w:p>
    <w:p>
      <w:pPr>
        <w:spacing w:after="0" w:line="24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Effective April 1, 2022, the Company changed its accounting policy to calculate the basic and diluted earnings per share as well as determined that it would push down the changes in fair value of the mark-to-market liabilities that related to the Company's warrants and earnout consideration liability to its operating subsidiary, Holdings, resulting in a change to the net income attributable to the controlling and non-controlling interest.</w:t>
      </w:r>
    </w:p>
    <w:p>
      <w:pPr>
        <w:spacing w:after="0" w:line="19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The Company observed diversity in practice due to lack of specific guidance in ASC 810 related to earnings per share due to the Company's Up-C structure. The method adopted effective April 1, 2022 is voluntary and more appropriately represents the economics of the net income allocation upon the conversion of the potential dilutive instruments due to the fact that the issuance of Class A Common Stock would result with a corresponding issuance of a Class A Common Unit in Holdings. Further, for similar reasons, pushing down the changes in fair value of the mark-to-market liabilities to Holdings, and therefore allocating the changes between the controlling and non-controlling interest would provide more appropriate information to the users of the financial statements. The Company determined that, accordingly, this change would more appropriately reflect the allocation of the consolidated Company’s net assets between the controlling and non-controlling interest, and the respective basic and dilutive earnings per share presented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the impact of the change in accounting policy for the six months and the three months ended June 30,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Six-month period</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Six-month period</w:t>
            </w: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ended June 30, 2022</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 2022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Items:</w:t>
            </w: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 No-allocation</w:t>
            </w:r>
          </w:p>
        </w:tc>
        <w:tc>
          <w:tcPr>
            <w:tcW w:w="260" w:type="dxa"/>
            <w:vAlign w:val="bottom"/>
          </w:tcPr>
          <w:p>
            <w:pPr>
              <w:spacing w:after="0"/>
              <w:rPr>
                <w:sz w:val="19"/>
                <w:szCs w:val="19"/>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19"/>
                <w:szCs w:val="19"/>
                <w:color w:val="auto"/>
              </w:rPr>
            </w:pPr>
          </w:p>
        </w:tc>
        <w:tc>
          <w:tcPr>
            <w:tcW w:w="15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0" w:type="dxa"/>
            <w:vAlign w:val="bottom"/>
          </w:tcPr>
          <w:p>
            <w:pPr>
              <w:spacing w:after="0"/>
              <w:rPr>
                <w:sz w:val="1"/>
                <w:szCs w:val="1"/>
                <w:color w:val="auto"/>
              </w:rPr>
            </w:pPr>
          </w:p>
        </w:tc>
      </w:tr>
      <w:tr>
        <w:trPr>
          <w:trHeight w:val="238"/>
        </w:trPr>
        <w:tc>
          <w:tcPr>
            <w:tcW w:w="5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6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87,566</w:t>
            </w:r>
          </w:p>
        </w:tc>
        <w:tc>
          <w:tcPr>
            <w:tcW w:w="0" w:type="dxa"/>
            <w:vAlign w:val="bottom"/>
          </w:tcPr>
          <w:p>
            <w:pPr>
              <w:spacing w:after="0"/>
              <w:rPr>
                <w:sz w:val="1"/>
                <w:szCs w:val="1"/>
                <w:color w:val="auto"/>
              </w:rPr>
            </w:pPr>
          </w:p>
        </w:tc>
      </w:tr>
      <w:tr>
        <w:trPr>
          <w:trHeight w:val="40"/>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CompoSecure, Inc.</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75,628</w:t>
            </w:r>
          </w:p>
        </w:tc>
        <w:tc>
          <w:tcPr>
            <w:tcW w:w="0" w:type="dxa"/>
            <w:vAlign w:val="bottom"/>
          </w:tcPr>
          <w:p>
            <w:pPr>
              <w:spacing w:after="0"/>
              <w:rPr>
                <w:sz w:val="1"/>
                <w:szCs w:val="1"/>
                <w:color w:val="auto"/>
              </w:rPr>
            </w:pPr>
          </w:p>
        </w:tc>
      </w:tr>
      <w:tr>
        <w:trPr>
          <w:trHeight w:val="41"/>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Class A common stockholders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Class A common stockholders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545"/>
        </w:trPr>
        <w:tc>
          <w:tcPr>
            <w:tcW w:w="5940" w:type="dxa"/>
            <w:vAlign w:val="bottom"/>
          </w:tcPr>
          <w:p>
            <w:pPr>
              <w:spacing w:after="0"/>
              <w:rPr>
                <w:sz w:val="24"/>
                <w:szCs w:val="24"/>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Three-month period</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Three-month period</w:t>
            </w: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ended June 30, 2022</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 2022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Items:</w:t>
            </w: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 No-allocation</w:t>
            </w:r>
          </w:p>
        </w:tc>
        <w:tc>
          <w:tcPr>
            <w:tcW w:w="260" w:type="dxa"/>
            <w:vAlign w:val="bottom"/>
          </w:tcPr>
          <w:p>
            <w:pPr>
              <w:spacing w:after="0"/>
              <w:rPr>
                <w:sz w:val="19"/>
                <w:szCs w:val="19"/>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19"/>
                <w:szCs w:val="19"/>
                <w:color w:val="auto"/>
              </w:rPr>
            </w:pPr>
          </w:p>
        </w:tc>
        <w:tc>
          <w:tcPr>
            <w:tcW w:w="15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0" w:type="dxa"/>
            <w:vAlign w:val="bottom"/>
          </w:tcPr>
          <w:p>
            <w:pPr>
              <w:spacing w:after="0"/>
              <w:rPr>
                <w:sz w:val="1"/>
                <w:szCs w:val="1"/>
                <w:color w:val="auto"/>
              </w:rPr>
            </w:pPr>
          </w:p>
        </w:tc>
      </w:tr>
      <w:tr>
        <w:trPr>
          <w:trHeight w:val="238"/>
        </w:trPr>
        <w:tc>
          <w:tcPr>
            <w:tcW w:w="5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6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60,658</w:t>
            </w:r>
          </w:p>
        </w:tc>
        <w:tc>
          <w:tcPr>
            <w:tcW w:w="0" w:type="dxa"/>
            <w:vAlign w:val="bottom"/>
          </w:tcPr>
          <w:p>
            <w:pPr>
              <w:spacing w:after="0"/>
              <w:rPr>
                <w:sz w:val="1"/>
                <w:szCs w:val="1"/>
                <w:color w:val="auto"/>
              </w:rPr>
            </w:pPr>
          </w:p>
        </w:tc>
      </w:tr>
      <w:tr>
        <w:trPr>
          <w:trHeight w:val="40"/>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CompoSecure, Inc.</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52,184</w:t>
            </w:r>
          </w:p>
        </w:tc>
        <w:tc>
          <w:tcPr>
            <w:tcW w:w="0" w:type="dxa"/>
            <w:vAlign w:val="bottom"/>
          </w:tcPr>
          <w:p>
            <w:pPr>
              <w:spacing w:after="0"/>
              <w:rPr>
                <w:sz w:val="1"/>
                <w:szCs w:val="1"/>
                <w:color w:val="auto"/>
              </w:rPr>
            </w:pPr>
          </w:p>
        </w:tc>
      </w:tr>
      <w:tr>
        <w:trPr>
          <w:trHeight w:val="40"/>
        </w:trPr>
        <w:tc>
          <w:tcPr>
            <w:tcW w:w="5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Class A common stockholders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Class A common stockholders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788"/>
        </w:trPr>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Items:</w:t>
            </w:r>
          </w:p>
        </w:tc>
        <w:tc>
          <w:tcPr>
            <w:tcW w:w="18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 No-allocation</w:t>
            </w:r>
          </w:p>
        </w:tc>
        <w:tc>
          <w:tcPr>
            <w:tcW w:w="260" w:type="dxa"/>
            <w:vAlign w:val="bottom"/>
          </w:tcPr>
          <w:p>
            <w:pPr>
              <w:spacing w:after="0"/>
              <w:rPr>
                <w:sz w:val="19"/>
                <w:szCs w:val="19"/>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19"/>
                <w:szCs w:val="19"/>
                <w:color w:val="auto"/>
              </w:rPr>
            </w:pPr>
          </w:p>
        </w:tc>
        <w:tc>
          <w:tcPr>
            <w:tcW w:w="15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0" w:type="dxa"/>
            <w:vAlign w:val="bottom"/>
          </w:tcPr>
          <w:p>
            <w:pPr>
              <w:spacing w:after="0"/>
              <w:rPr>
                <w:sz w:val="1"/>
                <w:szCs w:val="1"/>
                <w:color w:val="auto"/>
              </w:rPr>
            </w:pPr>
          </w:p>
        </w:tc>
      </w:tr>
      <w:tr>
        <w:trPr>
          <w:trHeight w:val="238"/>
        </w:trPr>
        <w:tc>
          <w:tcPr>
            <w:tcW w:w="5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26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(964,899)</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Deferred tax asset was adjusted cumulatively in the period ended June 30, 2022 due to the change in accounting policy. The Company determined that the effect on deferred tax assets and provision for income taxes for the periods ended March 31, 2022 and December 31, 2021 were immaterial and therefore were not adjusted retrospectively.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summary of the impact of the change in accounting policy for the prior periods as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Three-month period</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Three-month period</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 March 31, 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ended March 31, 2022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Items: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Under re-allocation</w:t>
            </w:r>
          </w:p>
        </w:tc>
        <w:tc>
          <w:tcPr>
            <w:tcW w:w="0" w:type="dxa"/>
            <w:vAlign w:val="bottom"/>
          </w:tcPr>
          <w:p>
            <w:pPr>
              <w:spacing w:after="0"/>
              <w:rPr>
                <w:sz w:val="1"/>
                <w:szCs w:val="1"/>
                <w:color w:val="auto"/>
              </w:rPr>
            </w:pPr>
          </w:p>
        </w:tc>
      </w:tr>
      <w:tr>
        <w:trPr>
          <w:trHeight w:val="238"/>
        </w:trPr>
        <w:tc>
          <w:tcPr>
            <w:tcW w:w="56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Class A common stockholders - basic</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51"/>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Class A common stockholders - diluted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CompoSecure, Inc.</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51"/>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22,167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0" w:type="dxa"/>
            <w:vAlign w:val="bottom"/>
          </w:tcPr>
          <w:p>
            <w:pPr>
              <w:spacing w:after="0"/>
              <w:rPr>
                <w:sz w:val="1"/>
                <w:szCs w:val="1"/>
                <w:color w:val="auto"/>
              </w:rPr>
            </w:pPr>
          </w:p>
        </w:tc>
      </w:tr>
      <w:tr>
        <w:trPr>
          <w:trHeight w:val="861"/>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31, 2021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31, 2021</w:t>
            </w:r>
          </w:p>
        </w:tc>
        <w:tc>
          <w:tcPr>
            <w:tcW w:w="0" w:type="dxa"/>
            <w:vAlign w:val="bottom"/>
          </w:tcPr>
          <w:p>
            <w:pPr>
              <w:spacing w:after="0"/>
              <w:rPr>
                <w:sz w:val="1"/>
                <w:szCs w:val="1"/>
                <w:color w:val="auto"/>
              </w:rPr>
            </w:pPr>
          </w:p>
        </w:tc>
      </w:tr>
      <w:tr>
        <w:trPr>
          <w:trHeight w:val="40"/>
        </w:trPr>
        <w:tc>
          <w:tcPr>
            <w:tcW w:w="5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Under re-allocation</w:t>
            </w:r>
          </w:p>
        </w:tc>
        <w:tc>
          <w:tcPr>
            <w:tcW w:w="0" w:type="dxa"/>
            <w:vAlign w:val="bottom"/>
          </w:tcPr>
          <w:p>
            <w:pPr>
              <w:spacing w:after="0"/>
              <w:rPr>
                <w:sz w:val="1"/>
                <w:szCs w:val="1"/>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Items: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method</w:t>
            </w:r>
          </w:p>
        </w:tc>
        <w:tc>
          <w:tcPr>
            <w:tcW w:w="0" w:type="dxa"/>
            <w:vAlign w:val="bottom"/>
          </w:tcPr>
          <w:p>
            <w:pPr>
              <w:spacing w:after="0"/>
              <w:rPr>
                <w:sz w:val="1"/>
                <w:szCs w:val="1"/>
                <w:color w:val="auto"/>
              </w:rPr>
            </w:pPr>
          </w:p>
        </w:tc>
      </w:tr>
      <w:tr>
        <w:trPr>
          <w:trHeight w:val="41"/>
        </w:trPr>
        <w:tc>
          <w:tcPr>
            <w:tcW w:w="56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Class A common stockholders - basic (1)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51"/>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attributable to Class A common stockholders - diluted (1)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21"/>
                <w:szCs w:val="21"/>
                <w:color w:val="auto"/>
              </w:rPr>
            </w:pP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33"/>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CompoSecure, Inc. (2)</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50"/>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80,260</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right="400"/>
        <w:spacing w:after="0" w:line="30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1) The amounts for the year ended December 31, 2021 represent basic and diluted net income per share of Class A common stock for the prorated period from December 27, 2021 through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December 31, 2021, the period following the Business Combination described in Note 1.</w:t>
      </w:r>
    </w:p>
    <w:p>
      <w:pPr>
        <w:spacing w:after="0" w:line="185" w:lineRule="exact"/>
        <w:rPr>
          <w:sz w:val="20"/>
          <w:szCs w:val="20"/>
          <w:color w:val="auto"/>
        </w:rPr>
      </w:pPr>
    </w:p>
    <w:p>
      <w:pPr>
        <w:ind w:right="160" w:firstLine="8"/>
        <w:spacing w:after="0" w:line="283" w:lineRule="auto"/>
        <w:tabs>
          <w:tab w:leader="none" w:pos="204"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Net income attributable to CompoSecure, Inc. for the year ended December 31, 2021 was equal to net income for the period subsequent to the Business Combination for the prorated period from December 27, 2021 through December 31, 2021. Net income attributable to non-controlling for the year ended December 31, 2021 is equal to net income for the period from January 1, 2021 through December 31, 2021.</w:t>
      </w:r>
    </w:p>
    <w:p>
      <w:pPr>
        <w:spacing w:after="0" w:line="162" w:lineRule="exact"/>
        <w:rPr>
          <w:sz w:val="20"/>
          <w:szCs w:val="20"/>
          <w:color w:val="auto"/>
        </w:rPr>
      </w:pPr>
    </w:p>
    <w:p>
      <w:pPr>
        <w:ind w:right="7520" w:firstLine="8"/>
        <w:spacing w:after="0" w:line="378" w:lineRule="auto"/>
        <w:tabs>
          <w:tab w:leader="none" w:pos="27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Leases</w:t>
      </w: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space and manufacturing space under arrangements currently classified as leases under ASC 842. See Note 6 for future minimum commitments under all non-cancelable operating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While the outcome of existing disputes and claims is uncertain, the Company does not expect that the resolution of existing disputes and claims would have a material adverse effect on its consolidated financial position or liquidity or the Company’s consolidated results of operations and cash flows. Litigation costs are expensed as incurred.</w:t>
      </w:r>
    </w:p>
    <w:p>
      <w:pPr>
        <w:spacing w:after="0" w:line="21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February 2021, the Company received from a third party a notice of dispute with respect to whether commissions are due and owing on product sales to certain of the Company’s customers which, if successful, could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5"/>
          <w:szCs w:val="25"/>
          <w:b w:val="1"/>
          <w:bCs w:val="1"/>
          <w:color w:val="auto"/>
        </w:rPr>
        <w:t>COMPOSECURE,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 - Unaudited</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in thousands" -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payments ranging from $4,000 to $14,000, plus costs and expenses, together with additional commission payments on future sales, if any, to such customers. The Company does not believe these commissions are owed, and intends to vigorously oppose this claim, which may include legal proceedings. The Company has not accrued any amount as a component of accrued expense related to the notice of dispute as of June 30, 2022</w:t>
      </w:r>
      <w:r>
        <w:rPr>
          <w:rFonts w:ascii="Times New Roman" w:cs="Times New Roman" w:eastAsia="Times New Roman" w:hAnsi="Times New Roman"/>
          <w:sz w:val="18"/>
          <w:szCs w:val="18"/>
          <w:b w:val="1"/>
          <w:b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2015, the Company entered into a sales representation agreement with a third party, partially owned by an individual who is a Class B shareholder of Holdings and who was then a member of Holdings' Board of Managers. In 2016, the Company commenced litigation against such third party seeking a judicial determination that the sales representation agreement was void and unenforceable, among other claims. In February 2018, the trial court ruled against Holdings in the litigation, concluding that the sales representation agreement was valid and enforceable. Holdings appealed the ruling, however, the ruling was upheld. As a result of the ruling, Holdings was instructed to pay the commissions in accordance with the terms of the sales representation agreement, interest related to the commissions, and legal fees on behalf of the third party. Expenses relating to this agreement for the three months ended June 30, 2022 and 2021 amounted to $3,277 and $3,113, respectively, and amounted to $6,079 and $5,924, for the six months ended June 30, 2022 and 2021, respectively. The expenses were recorded as a component of selling, general and administrative expenses. In October 2019, Holdings terminated the sales representation agreement. Customers in place prior to the termination of the agreement are subject to the arrangement and are eligible for future commissions, which are payable and are being accrued and paid in accordance with the terms of the sales representation agreement. Amounts accrued as a component of accrued expenses as of June 30, 2022 and December 31, 2021 related to this agreement were $5,151 and $3,402, respectively. In February 2021, the Company received from such third party a notice of dispute with respect to whether commissions are due and owing on product sales to certain of the Company’s customers. See Note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consolidated financial condition and results of operations should be read in conjunction with the Company's audited consolidated financial statements and related notes thereto included in the annual report on Form 10-K for the year ended December 31, 2021 filed with the SEC.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provides its clients newly innovative and highly differentiated financial payment products in order to support and increase their customer acquisition, customer retention and organic customer spend. The Company’s clients consist primarily of leading international and domestic banks and other payment card issuers primarily within the United States (“U.S.”), Europe, Asia, Latin America, Canada, and the Middle East. The Company is a world-class platform for next generation payment technology, security, and Digital Asset solutions. For two decades, through its combination of large-scale, advanced manufacturing capabilities and deep technological expertise, the Company has driven key Payments Industry innovations in materials science, Metal Form Factor design, dual interface functionality, and security. The distinct value proposition of the Company’s products have resulted in widespread adoption by major banks, financial institutions and leading FinTech innovators to support their acquisition and retention of consumer and business card customers. The Company maintains trusted, highly-embedded and long-term customer relationships with an expanding set of global issuers. These same fundamental strengths have now enabled the Company to enter the digital asset revolution through the launch of its Arculus platform, which commenced in the third quarter of 2021 with the Arculus Key card and companion Arculus Wallet mobile application.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Pandemic</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response to the COVID-19 pandemic, during 2020 and continuing in 2021 and 2022, the Company established policies and protocols to address safety considerations. The Company is in frequent dialogue with key stakeholders to assess health and safety conditions across all of its facilities and to have robust procedures in place to protect the well-being of its employees, such as controls for building access, strict physical distancing measures and enhanced cleaning processes. The Company’s systems and infrastructure have continued to support its business operations. The Company has maintained regular and active communication across senior management, and has ongoing dialogues with its vendors to ensure they continue to meet the Company’s criteria for business continuity. While the Company has managed to avoid significant supply chain issues due to COVID-19, managing supply chain continues to be important in 2022.</w:t>
      </w:r>
    </w:p>
    <w:p>
      <w:pPr>
        <w:spacing w:after="0" w:line="202"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The resurgence in the spread of COVID-19 toward the end of 2020 and into 2022 has created greater uncertainty regarding the economic outlook for the near term, even as vaccines were distributed on a large scale in an effort to control the pandemic. While governments and central banks continued to be aggressive in providing fiscal and monetary stimulus, the global economic recovery remains fragile. The extent to which the COVID-19 pandemic will continue to affect the Company’s business, financial condition, liquidity and the Company’s operating results will depend on future developments, which are highly uncertain and cannot be predicted.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 - Globally and in the Digital Asset Marketplace</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U.S. and international markets and, in particular, the rapidly evolving Digital Assets industry, are experiencing uncertain and volatile economic conditions, including from the impacts of the COVID-19 pandemic, Russian aggression in Ukraine,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Arculus platform offers a broad range of security and authentication solutions and enables our consumer Cold Storage Wallet for Digital Assets, which is the Arculus Key card paired with the Arculus Wallet. Recently, some Digital Asset exchanges have been freezing or limiting consumer withdrawals and some have filed for bankruptcy protection, driving consumer need for enhanced protection of their Digital Assets. We believe consumers can achieve enhanced protection by controlling their private keys with a Cold Storage Wallet, such as the Arculus Wallet. At the same time, this market cycle has created uncertainty in timing for our anticipated Arculus ramp up, as some of our partners and targets have been impacted. Therefore, we are taking a measured approach to better target the timing of our investments to support near-term and long-term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are used by makers of plastic payment and other cards). Net sales include the effect of discounts and allowances which consist primarily of volume-based rebates.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The Company’s cost of sales includes the direct and indirect costs related to manufacturing products and providing related services. Product costs include the cost of raw materials and supplies, including various metals, EMV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gross profit represents its net sales less cost of sales, and its gross margin represents gross profit as a percentage of its net sales.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The Company’s operating expenses primarily comprised selling, general, and administrative expenses, which generally consist of personnel-related expenses for its corporate, executive, finance, information technology, and other administrative functions, and expenses for outside professional services, including legal, audit and accounting services, as well as expenses for facilities, depreciation, amortization, travel, sales and marketing.</w:t>
      </w:r>
    </w:p>
    <w:p>
      <w:pPr>
        <w:spacing w:after="0" w:line="15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expects its operating expenses to increase as a result of operating as a public company, including compliance with the rules and regulations of the SEC, legal, audit, additional insurance expenses, investor relations activities, and other administrative and professional services.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and Operating Margin</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Income from operations consists of the Company’s gross profit less its operating expenses. Operating margin is income from the Company’s operations as a percentage of its net sales.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consists primarily of the Company’s interest expense net of interest income.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consists of the Company’s income from operations, less other expenses and income tax provision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Factors Affecting the Company’s Operating Results</w:t>
      </w:r>
    </w:p>
    <w:p>
      <w:pPr>
        <w:spacing w:after="0" w:line="20"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Please see the factors discussed in this Quarterly Report on Form 10-Q, including those discussed in the sections entitled “Risk Factors” and “Cautionary Note Regarding Forward-Looking Statements” for additional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2022 vs three months ended June 30, 2021</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results of operations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0" w:type="dxa"/>
            <w:vAlign w:val="bottom"/>
          </w:tcPr>
          <w:p>
            <w:pPr>
              <w:spacing w:after="0"/>
              <w:rPr>
                <w:sz w:val="20"/>
                <w:szCs w:val="20"/>
                <w:color w:val="auto"/>
              </w:rPr>
            </w:pPr>
          </w:p>
        </w:tc>
      </w:tr>
      <w:tr>
        <w:trPr>
          <w:trHeight w:val="40"/>
        </w:trPr>
        <w:tc>
          <w:tcPr>
            <w:tcW w:w="57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5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0"/>
        </w:trPr>
        <w:tc>
          <w:tcPr>
            <w:tcW w:w="57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5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
        </w:trPr>
        <w:tc>
          <w:tcPr>
            <w:tcW w:w="5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34,456</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39%</w:t>
            </w:r>
          </w:p>
        </w:tc>
      </w:tr>
      <w:tr>
        <w:trPr>
          <w:trHeight w:val="40"/>
        </w:trPr>
        <w:tc>
          <w:tcPr>
            <w:tcW w:w="57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23,742</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128%</w:t>
            </w:r>
          </w:p>
        </w:tc>
      </w:tr>
      <w:tr>
        <w:trPr>
          <w:trHeight w:val="41"/>
        </w:trPr>
        <w:tc>
          <w:tcPr>
            <w:tcW w:w="57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31,932</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(1,105)%</w:t>
            </w:r>
          </w:p>
        </w:tc>
      </w:tr>
      <w:tr>
        <w:trPr>
          <w:trHeight w:val="40"/>
        </w:trPr>
        <w:tc>
          <w:tcPr>
            <w:tcW w:w="57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5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41,980</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195%</w:t>
            </w:r>
          </w:p>
        </w:tc>
      </w:tr>
      <w:tr>
        <w:trPr>
          <w:trHeight w:val="243"/>
        </w:trPr>
        <w:tc>
          <w:tcPr>
            <w:tcW w:w="5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57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39,178</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182%</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52,184</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40"/>
        </w:trPr>
        <w:tc>
          <w:tcPr>
            <w:tcW w:w="57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96"/>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CompoSecure, Inc</w:t>
            </w:r>
          </w:p>
        </w:tc>
        <w:tc>
          <w:tcPr>
            <w:tcW w:w="4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r>
      <w:tr>
        <w:trPr>
          <w:trHeight w:val="40"/>
        </w:trPr>
        <w:tc>
          <w:tcPr>
            <w:tcW w:w="4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
        </w:trPr>
        <w:tc>
          <w:tcPr>
            <w:tcW w:w="49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459"/>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78"/>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700" w:type="dxa"/>
            <w:vAlign w:val="bottom"/>
          </w:tcPr>
          <w:p>
            <w:pPr>
              <w:spacing w:after="0"/>
              <w:rPr>
                <w:sz w:val="24"/>
                <w:szCs w:val="24"/>
                <w:color w:val="auto"/>
              </w:rPr>
            </w:pPr>
          </w:p>
        </w:tc>
      </w:tr>
      <w:tr>
        <w:trPr>
          <w:trHeight w:val="40"/>
        </w:trPr>
        <w:tc>
          <w:tcPr>
            <w:tcW w:w="49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0"/>
        </w:trPr>
        <w:tc>
          <w:tcPr>
            <w:tcW w:w="49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6"/>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00" w:type="dxa"/>
            <w:vAlign w:val="bottom"/>
          </w:tcPr>
          <w:p>
            <w:pPr>
              <w:spacing w:after="0"/>
              <w:rPr>
                <w:sz w:val="20"/>
                <w:szCs w:val="20"/>
                <w:color w:val="auto"/>
              </w:rPr>
            </w:pPr>
          </w:p>
        </w:tc>
      </w:tr>
      <w:tr>
        <w:trPr>
          <w:trHeight w:val="40"/>
        </w:trPr>
        <w:tc>
          <w:tcPr>
            <w:tcW w:w="4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region</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23,254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40"/>
        </w:trPr>
        <w:tc>
          <w:tcPr>
            <w:tcW w:w="4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gridSpan w:val="3"/>
          </w:tcPr>
          <w:p>
            <w:pPr>
              <w:spacing w:after="0"/>
              <w:rPr>
                <w:sz w:val="3"/>
                <w:szCs w:val="3"/>
                <w:color w:val="auto"/>
              </w:rPr>
            </w:pPr>
          </w:p>
        </w:tc>
        <w:tc>
          <w:tcPr>
            <w:tcW w:w="1700" w:type="dxa"/>
            <w:vAlign w:val="bottom"/>
          </w:tcPr>
          <w:p>
            <w:pPr>
              <w:spacing w:after="0"/>
              <w:rPr>
                <w:sz w:val="3"/>
                <w:szCs w:val="3"/>
                <w:color w:val="auto"/>
              </w:rPr>
            </w:pPr>
          </w:p>
        </w:tc>
      </w:tr>
      <w:tr>
        <w:trPr>
          <w:trHeight w:val="284"/>
        </w:trPr>
        <w:tc>
          <w:tcPr>
            <w:tcW w:w="4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11,203</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7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97,199</w:t>
            </w:r>
          </w:p>
        </w:tc>
        <w:tc>
          <w:tcPr>
            <w:tcW w:w="80" w:type="dxa"/>
            <w:vAlign w:val="bottom"/>
          </w:tcPr>
          <w:p>
            <w:pPr>
              <w:spacing w:after="0"/>
              <w:rPr>
                <w:sz w:val="23"/>
                <w:szCs w:val="23"/>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62,743</w:t>
            </w:r>
          </w:p>
        </w:tc>
        <w:tc>
          <w:tcPr>
            <w:tcW w:w="100" w:type="dxa"/>
            <w:vAlign w:val="bottom"/>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34,456</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r>
    </w:tbl>
    <w:p>
      <w:pPr>
        <w:spacing w:after="0" w:line="2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Company’s net sales for the quarter ended June 30, 2022 increased $34.5 million, or 55%, to $97.2 million compared to $62.7 million for the quarter ended June 30, 2021. The increase in net sales was due to a 50% increase in domestic sales and a 71% increase in international sales. This was due to continued growing demand for the Company's products throughout the quarter ended June 30, 2022 as we continue to emerge from the adverse impact from the COVID-19 pandemic compared to the quarter ended June 30, 2021. The increase in international sales was primarily due to our efforts to grow our international distributor channels and increased demand in the FinTech market.</w:t>
      </w:r>
    </w:p>
    <w:p>
      <w:pPr>
        <w:spacing w:after="0" w:line="73"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Domestic</w:t>
      </w:r>
      <w:r>
        <w:rPr>
          <w:rFonts w:ascii="Times New Roman" w:cs="Times New Roman" w:eastAsia="Times New Roman" w:hAnsi="Times New Roman"/>
          <w:sz w:val="18"/>
          <w:szCs w:val="18"/>
          <w:color w:val="auto"/>
        </w:rPr>
        <w:t>: The Company’s domestic net sales for the quarter ended June 30, 2022 increased $23.3 million, or 50%, to $70.1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$46.9 million for the quarter ended June 30, 2021. This was primarily due to continued</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37" w:name="page38"/>
    <w:bookmarkEnd w:id="37"/>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higher demand for the Company's products that began primarily in the second half of the year ended December 31, 2021. This was primarily due to higher customer acquisition by the Company’s clients as they continue to emerge from the adverse impact from the COVID-19 pandemic compared to the quarter ended June 30, 2021.</w:t>
      </w:r>
    </w:p>
    <w:p>
      <w:pPr>
        <w:spacing w:after="0" w:line="66"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The Company’s international net sales for the quarter ended June 30, 2022 increased $11.2 million, or 71%, to $27.1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$15.9 million for the quarter ended June 30, 2021. This was primarily driven by our efforts to grow our international distributor channels and the increase in demand in the FinTech market.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following table presents the Company’s net sales for the three months ended June 30, 2022 compared to March 31,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500" w:type="dxa"/>
            <w:vAlign w:val="bottom"/>
          </w:tcPr>
          <w:p>
            <w:pPr>
              <w:spacing w:after="0"/>
              <w:rPr>
                <w:sz w:val="20"/>
                <w:szCs w:val="20"/>
                <w:color w:val="auto"/>
              </w:rPr>
            </w:pPr>
          </w:p>
        </w:tc>
      </w:tr>
      <w:tr>
        <w:trPr>
          <w:trHeight w:val="41"/>
        </w:trPr>
        <w:tc>
          <w:tcPr>
            <w:tcW w:w="4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37"/>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340" w:type="dxa"/>
            <w:vAlign w:val="bottom"/>
          </w:tcPr>
          <w:p>
            <w:pPr>
              <w:spacing w:after="0"/>
              <w:rPr>
                <w:sz w:val="20"/>
                <w:szCs w:val="20"/>
                <w:color w:val="auto"/>
              </w:rPr>
            </w:pPr>
          </w:p>
        </w:tc>
        <w:tc>
          <w:tcPr>
            <w:tcW w:w="17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40" w:type="dxa"/>
            <w:vAlign w:val="bottom"/>
          </w:tcPr>
          <w:p>
            <w:pPr>
              <w:spacing w:after="0"/>
              <w:rPr>
                <w:sz w:val="20"/>
                <w:szCs w:val="20"/>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0"/>
        </w:trPr>
        <w:tc>
          <w:tcPr>
            <w:tcW w:w="4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37"/>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0"/>
        </w:trPr>
        <w:tc>
          <w:tcPr>
            <w:tcW w:w="4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97,199</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84,813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12,386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40"/>
        </w:trPr>
        <w:tc>
          <w:tcPr>
            <w:tcW w:w="4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Company’s gross profit for the quarter ended June 30, 2022 increased $23.7 million, or 68%, to $58.9 million compared to $35.1 million for the quarter ended June 30, 2021. The gross profit margin percentage increased from 56% to 61%, an improvement of approximately 8% . The gross margin improvement in the quarter ended June 30, 2022 resulted primarily from favorable product mix and improvement in production yields which was primarily driven by improvements in manufacturing processes compared to the quarter ended June 30,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operating expenses for the quarter ended June 30, 2022 increased $13.7 million compared to the quarter ended June 30, 2021. This was due to increases in salaries and employee related benefits of $3.1 million, marketing and professional fee expenses of $4.2 million, increased insurance expense of $1.5 million, various sales related taxes of $0.3 million, increase in stock based compensation of $2.7 million and an overall increase in utilities, supplies and various other costs of $2.0 million due to the growth in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and Operating Margin</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June 30, 2022, the Company had income from operations of $34.4 million compared to income of $24.4 million for the quarter ended June 30, 2021. The operating margins for the quarter ended June 30, 2022 decreased to 35% compared to 39% for the quarter ended June 30, 2021. The decrease in operating margin percentage was primarily due to the noted increase in operating expenses.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Interest expense for the quarter ended June 30, 2022 increased $2.7 million, or 92%, to $5.6 million compared to $2.9 million for the quarter ended June 30, 2021. The additional interest expense resulted primarily from the issuance of convertible debt in December 2021 resulting in an increase in outstanding debt during the quarter ended June 30, 2022. The increase in interest was more than offset by an overall decrease in other expenses due to the favorable change in fair value of warrant liabilities of $19.5 million, derivative liability of $0.2 million, and a change in fair value of $14.9 million in earnout consideration liability. See Liquidity and Capital Resources below for more detail on the existing credit facility.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Net income for the quarter ended June 30, 2022 was $60.7 million, compared to net income of $21.5 million for the quarter ended June 30, 2021. The increase was primarily driven by higher sales volume, a more profitable sales mix, favorable change in fair value of warrant liabilities of $19.5 million and $14.9 million in earnout consideration liability, partially offset by increases in operating expenses as a result of the higher sales volume, and marketing costs primarily related to Arculus.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Six months ended June 30, 2022 vs Six months ended June 30, 2021</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588"/>
        </w:trPr>
        <w:tc>
          <w:tcPr>
            <w:tcW w:w="7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results of operations for the periods indicated: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11"/>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00" w:type="dxa"/>
            <w:vAlign w:val="bottom"/>
          </w:tcPr>
          <w:p>
            <w:pPr>
              <w:spacing w:after="0"/>
              <w:rPr>
                <w:sz w:val="24"/>
                <w:szCs w:val="24"/>
                <w:color w:val="auto"/>
              </w:rPr>
            </w:pPr>
          </w:p>
        </w:tc>
      </w:tr>
      <w:tr>
        <w:trPr>
          <w:trHeight w:val="40"/>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0"/>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10"/>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0" w:type="dxa"/>
            <w:vAlign w:val="bottom"/>
          </w:tcPr>
          <w:p>
            <w:pPr>
              <w:spacing w:after="0"/>
              <w:rPr>
                <w:sz w:val="20"/>
                <w:szCs w:val="20"/>
                <w:color w:val="auto"/>
              </w:rPr>
            </w:pPr>
          </w:p>
        </w:tc>
      </w:tr>
      <w:tr>
        <w:trPr>
          <w:trHeight w:val="41"/>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3"/>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181,382</w:t>
            </w:r>
          </w:p>
        </w:tc>
        <w:tc>
          <w:tcPr>
            <w:tcW w:w="260" w:type="dxa"/>
            <w:vAlign w:val="bottom"/>
            <w:tcBorders>
              <w:bottom w:val="single" w:sz="8" w:color="CCEEFF"/>
            </w:tcBorders>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126,465</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54,917</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73,771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57,039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16,732</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29%</w:t>
            </w:r>
          </w:p>
        </w:tc>
      </w:tr>
      <w:tr>
        <w:trPr>
          <w:trHeight w:val="40"/>
        </w:trPr>
        <w:tc>
          <w:tcPr>
            <w:tcW w:w="4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107,611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38,185</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43,209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24,413</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130%</w:t>
            </w:r>
          </w:p>
        </w:tc>
      </w:tr>
      <w:tr>
        <w:trPr>
          <w:trHeight w:val="41"/>
        </w:trPr>
        <w:tc>
          <w:tcPr>
            <w:tcW w:w="4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64,402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13,772</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26,509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32,437</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(547)%</w:t>
            </w:r>
          </w:p>
        </w:tc>
      </w:tr>
      <w:tr>
        <w:trPr>
          <w:trHeight w:val="40"/>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83"/>
        </w:trPr>
        <w:tc>
          <w:tcPr>
            <w:tcW w:w="5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90,911</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46,209</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103%</w:t>
            </w:r>
          </w:p>
        </w:tc>
      </w:tr>
      <w:tr>
        <w:trPr>
          <w:trHeight w:val="237"/>
        </w:trPr>
        <w:tc>
          <w:tcPr>
            <w:tcW w:w="5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(3,345)</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4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77"/>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87,566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42,864</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96%</w:t>
            </w:r>
          </w:p>
        </w:tc>
      </w:tr>
      <w:tr>
        <w:trPr>
          <w:trHeight w:val="23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7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75,628</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75,628</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r>
      <w:tr>
        <w:trPr>
          <w:trHeight w:val="41"/>
        </w:trPr>
        <w:tc>
          <w:tcPr>
            <w:tcW w:w="4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r>
      <w:tr>
        <w:trPr>
          <w:trHeight w:val="257"/>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CompoSecure, Inc</w:t>
            </w:r>
          </w:p>
        </w:tc>
        <w:tc>
          <w:tcPr>
            <w:tcW w:w="7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11,938</w:t>
            </w:r>
          </w:p>
        </w:tc>
        <w:tc>
          <w:tcPr>
            <w:tcW w:w="260" w:type="dxa"/>
            <w:vAlign w:val="bottom"/>
            <w:tcBorders>
              <w:bottom w:val="single" w:sz="8" w:color="CCEEFF"/>
            </w:tcBorders>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(32,764)</w:t>
            </w:r>
          </w:p>
        </w:tc>
        <w:tc>
          <w:tcPr>
            <w:tcW w:w="14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817"/>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9"/>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0"/>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4"/>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
        </w:trPr>
        <w:tc>
          <w:tcPr>
            <w:tcW w:w="4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57"/>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7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445"/>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0" w:type="dxa"/>
            <w:vAlign w:val="bottom"/>
            <w:gridSpan w:val="1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400" w:type="dxa"/>
            <w:vAlign w:val="bottom"/>
          </w:tcPr>
          <w:p>
            <w:pPr>
              <w:spacing w:after="0"/>
              <w:rPr>
                <w:sz w:val="24"/>
                <w:szCs w:val="24"/>
                <w:color w:val="auto"/>
              </w:rPr>
            </w:pPr>
          </w:p>
        </w:tc>
      </w:tr>
      <w:tr>
        <w:trPr>
          <w:trHeight w:val="40"/>
        </w:trPr>
        <w:tc>
          <w:tcPr>
            <w:tcW w:w="49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7"/>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w w:val="96"/>
              </w:rPr>
              <w:t>$ Change</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40"/>
        </w:trPr>
        <w:tc>
          <w:tcPr>
            <w:tcW w:w="49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6"/>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6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region</w:t>
            </w:r>
          </w:p>
        </w:tc>
        <w:tc>
          <w:tcPr>
            <w:tcW w:w="7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102,725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29,768</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40"/>
        </w:trPr>
        <w:tc>
          <w:tcPr>
            <w:tcW w:w="4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gridSpan w:val="3"/>
          </w:tcPr>
          <w:p>
            <w:pPr>
              <w:spacing w:after="0"/>
              <w:rPr>
                <w:sz w:val="3"/>
                <w:szCs w:val="3"/>
                <w:color w:val="auto"/>
              </w:rPr>
            </w:pPr>
          </w:p>
        </w:tc>
        <w:tc>
          <w:tcPr>
            <w:tcW w:w="3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83"/>
        </w:trPr>
        <w:tc>
          <w:tcPr>
            <w:tcW w:w="4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25,149</w:t>
            </w:r>
          </w:p>
        </w:tc>
        <w:tc>
          <w:tcPr>
            <w:tcW w:w="3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7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181,382</w:t>
            </w:r>
          </w:p>
        </w:tc>
        <w:tc>
          <w:tcPr>
            <w:tcW w:w="40" w:type="dxa"/>
            <w:vAlign w:val="bottom"/>
            <w:tcBorders>
              <w:top w:val="single" w:sz="8" w:color="auto"/>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126,465</w:t>
            </w:r>
          </w:p>
        </w:tc>
        <w:tc>
          <w:tcPr>
            <w:tcW w:w="80" w:type="dxa"/>
            <w:vAlign w:val="bottom"/>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54,917</w:t>
            </w:r>
          </w:p>
        </w:tc>
        <w:tc>
          <w:tcPr>
            <w:tcW w:w="3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7"/>
        </w:trPr>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r>
    </w:tbl>
    <w:p>
      <w:pPr>
        <w:spacing w:after="0" w:line="2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Company’s net sales for the six month ended June 30, 2022 increased $54.9 million, or 43%, to $181.4 million compared to $126.5 million for the six month ended June 30, 2021. The increase in net sales was due to a 29% increase in domestic sales and a 106% increase in international sales. This was due to continued higher demand for the Company's products throughout six month ended June 30, 2022 as we continue to emerge from the adverse impact from the COVID-19 pandemic compared to the six month ended June 30, 2021. The increase in international sales was primarily due to our efforts to grow our international distributor channels and increased demand in the FinTech market.</w:t>
      </w:r>
    </w:p>
    <w:p>
      <w:pPr>
        <w:spacing w:after="0" w:line="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Domestic</w:t>
      </w:r>
      <w:r>
        <w:rPr>
          <w:rFonts w:ascii="Times New Roman" w:cs="Times New Roman" w:eastAsia="Times New Roman" w:hAnsi="Times New Roman"/>
          <w:sz w:val="18"/>
          <w:szCs w:val="18"/>
          <w:color w:val="auto"/>
        </w:rPr>
        <w:t>: The Company’s domestic net sales for the six month ended June 30, 2022 increased $29.8 million, or 29%, to $132.5 million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$102.7 million for the six month ended June 30, 2021. This was primarily due to continued higher demand for the Company's products that began primarily in the second half of the year ended December 31, 2021. This was primarily due to higher customer acquisition by the Company’s clients as they continue to emerge from the adverse impact from the COVID-19 pandemic compared to the six month ended June 30, 2021.</w:t>
      </w:r>
    </w:p>
    <w:p>
      <w:pPr>
        <w:spacing w:after="0" w:line="72" w:lineRule="exact"/>
        <w:rPr>
          <w:sz w:val="20"/>
          <w:szCs w:val="20"/>
          <w:color w:val="auto"/>
        </w:rPr>
      </w:pPr>
    </w:p>
    <w:p>
      <w:pPr>
        <w:jc w:val="both"/>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The Company’s international net sales for the six month ended June 30, 2022 increased $48.9 million, or 106%, to $25.1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$23.7 million for the six month ended June 30, 2021. This was primarily driven by our efforts to grow our international distributor channels and the increase in demand in the FinTech market.</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Company’s gross profit for the six month ended June 30, 2022 increased $38.2 million, or 55%, to $107.6 million compared to $69.4 million for the six month ended June 30, 2021. The gross profit margin percentage increased from 55% to 59%, an improvement of approximately 4 points. The gross margin improvement in the six month ended June 30, 2022 resulted primarily from favorable product mix and improvement in production yields which was primarily driven by improvements in manufacturing processes compared to the six month ended June 30, 2021.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operating expenses for the six month ended June 30, 2022 increased $24.4 million compared to the six month ended June 30, 2021. This was due to increases in salaries and employee related benefits of $5.0 million, marketing and professional fee expenses of $8.4 million, increased insurance expenses of $2.8 million, stock based compensation of $4.0 million, increase in taxes of $1.4 million, and an overall increase in utilities, supplies and various other costs of $3.0 million due to the growth in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 and Operating Margin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 ended June 30, 2022, the Company had income from operations of 64.4 million compared to income of $50.6 million for the six month ended June 30, 2021. The operating margins for the six month ended June 30, 2022 decreased to 36% compared to 40% for the six month ended June 30, 2021. The decrease in operating margin percentage was primarily due to the noted increase in operating expenses.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 (net)</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Interest expense for the six month ended June 30, 2022 increased $4.6 million, or 77%, to $10.5 million compared to $5.9 million for the six month ended June 30, 2021. The additional interest expense resulted primarily from the issuance of convertible debt in December 2021 resulting in an increase in outstanding debt during the six month ended June 30, 2022. Additionally, increase in interest expense was more than offset by a decrease in other expense due to the favorable change in fair value of warrant liabilities of $18.0 million, and a change in fair value of $19.1 million in earnout consideration liability. See Liquidity and Capital Resources below for more detail on the existing credit facility.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income for the six month ended June 30, 2022 was $87.6 million, compared to net income of $44.7 million for the six month ended June 30, 2021. The increase was primarily driven by higher sales volume, a more profitable sales mix, change in fair value of warrant liabilities of $18.0 million and favorable change in fair value of $19.1 million in earnout consideration liability, partially offset by increases in operating expenses as a result of the higher sales volume, and marketing costs related to Arculus.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This Form 10-Q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and non-GAAP earnings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presents the reconciliation of net income to EBITDA and Adjusted EBITDA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40"/>
        </w:trPr>
        <w:tc>
          <w:tcPr>
            <w:tcW w:w="39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7"/>
        </w:trPr>
        <w:tc>
          <w:tcPr>
            <w:tcW w:w="3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
        </w:trPr>
        <w:tc>
          <w:tcPr>
            <w:tcW w:w="39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7"/>
        </w:trPr>
        <w:tc>
          <w:tcPr>
            <w:tcW w:w="3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
        </w:trPr>
        <w:tc>
          <w:tcPr>
            <w:tcW w:w="39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21,480</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40"/>
        </w:trPr>
        <w:tc>
          <w:tcPr>
            <w:tcW w:w="3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r>
      <w:tr>
        <w:trPr>
          <w:trHeight w:val="40"/>
        </w:trPr>
        <w:tc>
          <w:tcPr>
            <w:tcW w:w="3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0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71,224</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26,958</w:t>
            </w:r>
          </w:p>
        </w:tc>
        <w:tc>
          <w:tcPr>
            <w:tcW w:w="26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105,991</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55,803</w:t>
            </w:r>
          </w:p>
        </w:tc>
      </w:tr>
      <w:tr>
        <w:trPr>
          <w:trHeight w:val="40"/>
        </w:trPr>
        <w:tc>
          <w:tcPr>
            <w:tcW w:w="3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63"/>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to market adjustments, net (1)</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(34,586)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9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9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27,301</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72,990</w:t>
            </w: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left="340" w:right="80" w:hanging="332"/>
        <w:spacing w:after="0" w:line="284" w:lineRule="auto"/>
        <w:tabs>
          <w:tab w:leader="none" w:pos="334"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the changes in fair value of warrant liability, derivative liabilities and earnout consideration liability for the three and six months ended June 30, 2022.</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41" w:name="page42"/>
    <w:bookmarkEnd w:id="41"/>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presents the non-GAAP earnings per share and reconciliation of GAAP net income to non-GAAP adjusted net income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0"/>
                <w:szCs w:val="20"/>
                <w:color w:val="auto"/>
              </w:rPr>
            </w:pPr>
          </w:p>
        </w:tc>
        <w:tc>
          <w:tcPr>
            <w:tcW w:w="346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41"/>
        </w:trPr>
        <w:tc>
          <w:tcPr>
            <w:tcW w:w="4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gridSpan w:val="6"/>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gridSpan w:val="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40"/>
        </w:trPr>
        <w:tc>
          <w:tcPr>
            <w:tcW w:w="4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87,566</w:t>
            </w:r>
          </w:p>
        </w:tc>
        <w:tc>
          <w:tcPr>
            <w:tcW w:w="8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87,566</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provision for income taxes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40"/>
        </w:trPr>
        <w:tc>
          <w:tcPr>
            <w:tcW w:w="4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90,911</w:t>
            </w:r>
          </w:p>
        </w:tc>
        <w:tc>
          <w:tcPr>
            <w:tcW w:w="5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3"/>
              </w:rPr>
              <w:t>90911</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90,911</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(1)</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(12,166)</w:t>
            </w:r>
          </w:p>
        </w:tc>
        <w:tc>
          <w:tcPr>
            <w:tcW w:w="0" w:type="dxa"/>
            <w:vAlign w:val="bottom"/>
          </w:tcPr>
          <w:p>
            <w:pPr>
              <w:spacing w:after="0"/>
              <w:rPr>
                <w:sz w:val="1"/>
                <w:szCs w:val="1"/>
                <w:color w:val="auto"/>
              </w:rPr>
            </w:pPr>
          </w:p>
        </w:tc>
      </w:tr>
      <w:tr>
        <w:trPr>
          <w:trHeight w:val="40"/>
        </w:trPr>
        <w:tc>
          <w:tcPr>
            <w:tcW w:w="4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78,745</w:t>
            </w:r>
          </w:p>
        </w:tc>
        <w:tc>
          <w:tcPr>
            <w:tcW w:w="5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78,745</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mark-to-market adjustments (2)</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(37,082)</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(37,082)</w:t>
            </w:r>
          </w:p>
        </w:tc>
        <w:tc>
          <w:tcPr>
            <w:tcW w:w="0" w:type="dxa"/>
            <w:vAlign w:val="bottom"/>
          </w:tcPr>
          <w:p>
            <w:pPr>
              <w:spacing w:after="0"/>
              <w:rPr>
                <w:sz w:val="1"/>
                <w:szCs w:val="1"/>
                <w:color w:val="auto"/>
              </w:rPr>
            </w:pPr>
          </w:p>
        </w:tc>
      </w:tr>
      <w:tr>
        <w:trPr>
          <w:trHeight w:val="41"/>
        </w:trPr>
        <w:tc>
          <w:tcPr>
            <w:tcW w:w="4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3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5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45,683</w:t>
            </w:r>
          </w:p>
        </w:tc>
        <w:tc>
          <w:tcPr>
            <w:tcW w:w="5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45,683</w:t>
            </w:r>
          </w:p>
        </w:tc>
        <w:tc>
          <w:tcPr>
            <w:tcW w:w="0" w:type="dxa"/>
            <w:vAlign w:val="bottom"/>
          </w:tcPr>
          <w:p>
            <w:pPr>
              <w:spacing w:after="0"/>
              <w:rPr>
                <w:sz w:val="1"/>
                <w:szCs w:val="1"/>
                <w:color w:val="auto"/>
              </w:rPr>
            </w:pPr>
          </w:p>
        </w:tc>
      </w:tr>
      <w:tr>
        <w:trPr>
          <w:trHeight w:val="40"/>
        </w:trPr>
        <w:tc>
          <w:tcPr>
            <w:tcW w:w="4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used in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computing net income per share, basic:</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and Class B common shares (3)</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76,105</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76,105</w:t>
            </w:r>
          </w:p>
        </w:tc>
        <w:tc>
          <w:tcPr>
            <w:tcW w:w="0" w:type="dxa"/>
            <w:vAlign w:val="bottom"/>
          </w:tcPr>
          <w:p>
            <w:pPr>
              <w:spacing w:after="0"/>
              <w:rPr>
                <w:sz w:val="1"/>
                <w:szCs w:val="1"/>
                <w:color w:val="auto"/>
              </w:rPr>
            </w:pPr>
          </w:p>
        </w:tc>
      </w:tr>
      <w:tr>
        <w:trPr>
          <w:trHeight w:val="41"/>
        </w:trPr>
        <w:tc>
          <w:tcPr>
            <w:tcW w:w="4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outstanding used in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computing net income per share, diluted:</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Warrants (Public and Private) </w:t>
            </w:r>
            <w:r>
              <w:rPr>
                <w:rFonts w:ascii="Times New Roman" w:cs="Times New Roman" w:eastAsia="Times New Roman" w:hAnsi="Times New Roman"/>
                <w:sz w:val="16"/>
                <w:szCs w:val="16"/>
                <w:color w:val="auto"/>
              </w:rPr>
              <w:t>(4)</w:t>
            </w:r>
          </w:p>
        </w:tc>
        <w:tc>
          <w:tcPr>
            <w:tcW w:w="3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restricted common shares</w:t>
            </w:r>
          </w:p>
        </w:tc>
        <w:tc>
          <w:tcPr>
            <w:tcW w:w="3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outstanding used in</w:t>
            </w: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76,039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88,445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76,105</w:t>
            </w: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88,548</w:t>
            </w:r>
          </w:p>
        </w:tc>
        <w:tc>
          <w:tcPr>
            <w:tcW w:w="0" w:type="dxa"/>
            <w:vAlign w:val="bottom"/>
          </w:tcPr>
          <w:p>
            <w:pPr>
              <w:spacing w:after="0"/>
              <w:rPr>
                <w:sz w:val="1"/>
                <w:szCs w:val="1"/>
                <w:color w:val="auto"/>
              </w:rPr>
            </w:pPr>
          </w:p>
        </w:tc>
      </w:tr>
      <w:tr>
        <w:trPr>
          <w:trHeight w:val="234"/>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computing net income per share</w:t>
            </w:r>
          </w:p>
        </w:tc>
        <w:tc>
          <w:tcPr>
            <w:tcW w:w="3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per share (5)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Calculated using the Company's blended tax rate.</w:t>
      </w:r>
    </w:p>
    <w:p>
      <w:pPr>
        <w:spacing w:after="0" w:line="25"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Includes the changes in fair value of warrant liability and earnout consideration liability.</w:t>
      </w:r>
    </w:p>
    <w:p>
      <w:pPr>
        <w:spacing w:after="0" w:line="5"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Assumes both class B shares and Class A shares participate in earnings and are outstanding at the end of the period.</w:t>
      </w:r>
    </w:p>
    <w:p>
      <w:pPr>
        <w:spacing w:after="0" w:line="8"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Assumes treasury stock method, valuation at assumed fair market value of $18.00.</w:t>
      </w:r>
    </w:p>
    <w:p>
      <w:pPr>
        <w:spacing w:after="0" w:line="15" w:lineRule="exact"/>
        <w:rPr>
          <w:rFonts w:ascii="Times New Roman" w:cs="Times New Roman" w:eastAsia="Times New Roman" w:hAnsi="Times New Roman"/>
          <w:sz w:val="16"/>
          <w:szCs w:val="16"/>
          <w:i w:val="1"/>
          <w:iCs w:val="1"/>
          <w:color w:val="auto"/>
        </w:rPr>
      </w:pPr>
    </w:p>
    <w:p>
      <w:pPr>
        <w:ind w:left="180" w:hanging="172"/>
        <w:spacing w:after="0"/>
        <w:tabs>
          <w:tab w:leader="none" w:pos="180" w:val="left"/>
        </w:tabs>
        <w:numPr>
          <w:ilvl w:val="0"/>
          <w:numId w:val="1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Company did not include the effect of convertible notes to its total shares outstanding used in diluted adjusted net income per share.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critical accounting policies are detailed in our Annual Report on Form 10-K for the year ended December 31, 2021 as filed with the SEC.</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April 1, 2022 the Company changed its accounting policy to calculate the basic and diluted earnings per share detailed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2" w:name="page43"/>
    <w:bookmarkEnd w:id="42"/>
    <w:p>
      <w:pPr>
        <w:ind w:left="660"/>
        <w:spacing w:after="0"/>
        <w:rPr>
          <w:sz w:val="20"/>
          <w:szCs w:val="20"/>
          <w:color w:val="auto"/>
        </w:rPr>
      </w:pPr>
      <w:r>
        <w:rPr>
          <w:rFonts w:ascii="Times New Roman" w:cs="Times New Roman" w:eastAsia="Times New Roman" w:hAnsi="Times New Roman"/>
          <w:sz w:val="17"/>
          <w:szCs w:val="17"/>
          <w:color w:val="auto"/>
        </w:rPr>
        <w:t>Effective April 1, 2022, the Company changed its accounting policy to calculate the basic and diluted earnings per share as well as determined that</w:t>
      </w:r>
    </w:p>
    <w:p>
      <w:pPr>
        <w:spacing w:after="0" w:line="4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it would push down the changes in fair value of the mark-to-market liabilities related to the Company's warrants and earnout consideration liability to its operating subsidiary, Holdings, resulting in a change to the net income attributable to the controlling interest and non-controlling interest. Diluted net income per share is computed by dividing the net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earnouts, exercise of equity awards, exchange of the Class B units and exchangeable notes ("securities") only if the effect is not anti-dilutive.</w:t>
      </w:r>
    </w:p>
    <w:p>
      <w:pPr>
        <w:spacing w:after="0" w:line="211" w:lineRule="exact"/>
        <w:rPr>
          <w:sz w:val="20"/>
          <w:szCs w:val="20"/>
          <w:color w:val="auto"/>
        </w:rPr>
      </w:pPr>
    </w:p>
    <w:p>
      <w:pPr>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has adopted this accounting policy to allocate its net income and to calculate its basic and dilutive earnings per share. The Company has provided the appropriate disclosures as required in ASC 250-10. See Note 13 in Notes to Consolidated Financial Statements in this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Note 2 of Notes to Financial Statements - unaudited in Item 1, “Financial Statements,” for information concerning recent accounting pronouncements since the filing of the Company’s Annual Report on Form 10-K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primary sources of liquidity are its existing cash and cash equivalents balances, cash flows from operations and borrowings on its term loan, revolving credit facility and exchangeable notes. The Company’s primary cash requirements include operating expenses, debt service payments (principal and interest), and capital expenditures (including property and equipment).</w:t>
      </w:r>
    </w:p>
    <w:p>
      <w:pPr>
        <w:spacing w:after="0" w:line="1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cash and cash equivalents of $13.4 million and debt principal outstanding of $388.1 million. As of December 31, 2021, the Company had cash and cash equivalents of $21.9 million and total debt principal outstanding of $395.0 million.</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believes that cash flows from its operations and available cash and cash equivalents are sufficient to meet its liquidity needs, including the repayment of its outstanding debt, for at least the next 12 months from the date of filing of this Form 10Q.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the Company may incur additional debt to finance such acquisitions.</w:t>
      </w:r>
    </w:p>
    <w:p>
      <w:pPr>
        <w:spacing w:after="0" w:line="21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At June 30, 2022, there was $388.1 million of total debt outstanding under the Company’s existing credit facilities which included the term loan (the “2021 Credit Facility”) and issuance of exchangeable notes. The 2021 Credit Facility comprised a term loan of $250.0 million as well as a $60.0 million revolving loan facility, of which $35.0 million was available for borrowing as of June 30, 2022. Additional amounts may be available for borrowing during the term of the revolving loan, up to the remaining full $35.0 million, as long as the Company’s maintains a net leverage ratio as stipulated in the credit facility agreement. As of June 30, 2022, the Company’s net leverage ratio met the requirement for the available borrowing as defined in the terms of the credit facility agreement. The 2021 Credit Facility will mature on December 16, 2025.</w:t>
      </w:r>
    </w:p>
    <w:p>
      <w:pPr>
        <w:spacing w:after="0" w:line="2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Interest rates for the 2021 Credit Facility are calculated as the fluctuating bank prime rate plus the applicable margin of 2.0% or, for portions of the debt converted to Euro Loans, the quoted LIBOR rate plus the applicable margin of 3.0%. The Company must also pay an annual commitment fee of</w:t>
      </w:r>
    </w:p>
    <w:p>
      <w:pPr>
        <w:ind w:right="480"/>
        <w:spacing w:after="0" w:line="260" w:lineRule="auto"/>
        <w:rPr>
          <w:sz w:val="20"/>
          <w:szCs w:val="20"/>
          <w:color w:val="auto"/>
        </w:rPr>
      </w:pPr>
      <w:r>
        <w:rPr>
          <w:rFonts w:ascii="Times New Roman" w:cs="Times New Roman" w:eastAsia="Times New Roman" w:hAnsi="Times New Roman"/>
          <w:sz w:val="18"/>
          <w:szCs w:val="18"/>
          <w:color w:val="auto"/>
        </w:rPr>
        <w:t>0.40% on the unused portion of the $60.0 million revolving loan commitment. As of June 30, 2022, the effective interest rate on the Company’s 2021 Credit Facility was 3.65%.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3" w:name="page44"/>
    <w:bookmarkEnd w:id="43"/>
    <w:p>
      <w:pPr>
        <w:ind w:right="20" w:firstLine="648"/>
        <w:spacing w:after="0" w:line="272"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17"/>
          <w:szCs w:val="17"/>
          <w:color w:val="auto"/>
        </w:rPr>
        <w:t>2021 Credit Facility contains customary covenants, including among other things, certain restrictions or limitations on indebtedness, issuance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made an excess cash flow payment of $13.8 million related to 2021 Credit Facility in the three month ended June 30, 2022, and the Company was in compliance with all covenants as of June 30, 2022. See Note 5 in Notes to Consolidated Financial Statements in this Form 10-Q.</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19, 2021, concurrently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senior notes (the “Exchangeable Notes”) issued by the Company and guaranteed by the Company's wholly owned subsidiary, Holdings in an aggregate principal amount of up to $130.0 million that are exchangeable into shares of Class A common stock at a conversion price of $11.50 per share, subject to the terms and conditions of an Indenture entered by the Company and its wholly owned subsidiary, Holdings and the trustee under the Indenture. The Exchangeable Notes will bear interest at a rate of 7% per year, payable semiannually in arrears. The Exchangeable Notes will mature in five years on December 27, 2026, and be convertible into shares of Class A common stock at a conversion price of $11.50 per share. The Company will settle any exchange of the Exchangeable Notes in shares of Class A common stock, with cash payable in lieu of any fractional shares. Additional interest may be payable as set forth in the Indenture. See Note 5 in Notes to Consolidated Financial Statements in this Form 10-Q.</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Operations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Cash provided by the Company’s operating activities for the six months ended June 30, 2022 was $51.4 million compared to cash provided by its operating activities of $27.2 million during the six months ended June 30, 2021. The increase in cash provided by operating activities of $24.2 million was primarily attributable to an increase in net income of $42.9 million, depreciation and amortization expense of $4.6 million, equity compensation expense of $4.0 million, amortization of deferred financing costs of $1.3 million and deferred tax expense of $3.1 million. This was partially offset by changes in working capital of $12.1 million and mark to market fair value net changes of $37.0 million.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Cash used in the Company’s investing activities for the six months ended June 30, 2022 was $3.5 million, primarily relating to capital expenditures compared to cash used in investing activities for the six months ended June 30, 2021 of $1.3 million.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Cash used in the Company’s financing activities for the six months ended June 30, 2022 was $56.4 million compared to cash used in the Company's financing activities for the six months ended June 30, 2021 of $31.6 million. Cash used in financing activities for the six months ended June 30, 2022, primarily related to payment of issuance costs related to the Business Combination of $23.8 million, and repayment of scheduled principal payments of term loan of $16.9 million, distributions to Holdings' equity holders of $25.7 partially offset by cash drawn under the 2021 Credit Facility of $10.0 million. Cash used for the six months ended June 30, 2021, primarily related to distributions to then equity holders and repayments of debt related to the Company’s prior Credit Facility.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summary of our minimum contractual obligations related to our material outstanding contractual commitments is included in Notes 2 and 7 of our Annual report on Form 10-K for the year ended December 31, 2021 as filed with the SEC. Our long-term contractual obligations include commitments and estimated purchase obligations entered into in the normal course of business. As of June 30, 2022, the Company had inventory-related purchase commitments totaling approximately $60.3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is party to the 2021 Credit Facility with various banks and has issued Exchangeable Notes to certain holders. For a more complete description of the Company's debt obligations, see Note 5 of Notes to Consolidated Financial Statements in the Consolidated Financial Statements of the Company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Disclosures About Market Risk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to existing cash balances and cash provided by operating activities, the Company uses variable rate debt to finance its operations. The Company is exposed to interest rate risk on these debt obligations and a related interest rate swap agreement. As of June 30, 2022, CompoSecure had $258.1 million in debt outstanding under the 2021 Credit Facility, all of which was variable rate debt and $130.0 million in long-term debt principal outstanding from the issuance of Exchangeable Notes.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performed a sensitivity analysis based on the principal amount of debt outstanding as of June 30, 2021,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On January 11, 2022, CompoSecure entered into an interest rate swap agreement to hedge forecasted interest rate payments on its variable rate debt. As of June 30, 2022, the Company had the following interest rate swap agreements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Effective Dates</w:t>
            </w:r>
          </w:p>
        </w:tc>
        <w:tc>
          <w:tcPr>
            <w:tcW w:w="160" w:type="dxa"/>
            <w:vAlign w:val="bottom"/>
          </w:tcPr>
          <w:p>
            <w:pPr>
              <w:spacing w:after="0"/>
              <w:rPr>
                <w:sz w:val="20"/>
                <w:szCs w:val="20"/>
                <w:color w:val="auto"/>
              </w:rPr>
            </w:pPr>
          </w:p>
        </w:tc>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7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Fixed Rate</w:t>
            </w:r>
          </w:p>
        </w:tc>
      </w:tr>
      <w:tr>
        <w:trPr>
          <w:trHeight w:val="40"/>
        </w:trPr>
        <w:tc>
          <w:tcPr>
            <w:tcW w:w="7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gridSpan w:val="2"/>
          </w:tcPr>
          <w:p>
            <w:pPr>
              <w:spacing w:after="0"/>
              <w:rPr>
                <w:sz w:val="3"/>
                <w:szCs w:val="3"/>
                <w:color w:val="auto"/>
              </w:rPr>
            </w:pPr>
          </w:p>
        </w:tc>
      </w:tr>
      <w:tr>
        <w:trPr>
          <w:trHeight w:val="237"/>
        </w:trPr>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8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 in thousands)</w:t>
            </w:r>
          </w:p>
        </w:tc>
      </w:tr>
      <w:tr>
        <w:trPr>
          <w:trHeight w:val="41"/>
        </w:trPr>
        <w:tc>
          <w:tcPr>
            <w:tcW w:w="7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63"/>
        </w:trPr>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January 5,</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2022 through December 5,</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125,000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r>
      <w:tr>
        <w:trPr>
          <w:trHeight w:val="24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December</w:t>
            </w:r>
          </w:p>
        </w:tc>
        <w:tc>
          <w:tcPr>
            <w:tcW w:w="19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5, 2023 through December</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125,000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bl>
    <w:p>
      <w:pPr>
        <w:spacing w:after="0" w:line="33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the interest rate swap agreement, CompoSecure receives payments based on the greater of 1-month LIBOR rate or a minimum of 1.00%.</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the interest rate swap as a cash flow hedge for accounting purposes that was determined to be effective. The Company determined the fair value of the interest rate swap to be zero at the inception of the agreement and $5,590 at June 30, 2022.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We designed our disclosure controls and procedures, as such term is defined in Rules 13a-15(e) and 15d-15(e) under the Exchange Act to provide reasonable assurance that information required to be disclosed by us in reports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disclosures.</w:t>
      </w:r>
    </w:p>
    <w:p>
      <w:pPr>
        <w:spacing w:after="0" w:line="19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our disclosure controls and procedures as of June 30, 2022. Based on this evaluation, our principal executive officer and our principal financial officer concluded that our disclosure controls and procedures as of June 30, 2022 were functioning effectively to provide reasonable assurance that the information required to be disclosed by us in reports filed under the Exchange Act is (i) recorded, processed, summarized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ind w:right="280"/>
        <w:spacing w:after="0" w:line="282" w:lineRule="auto"/>
        <w:rPr>
          <w:sz w:val="20"/>
          <w:szCs w:val="20"/>
          <w:color w:val="auto"/>
        </w:rPr>
      </w:pPr>
      <w:r>
        <w:rPr>
          <w:rFonts w:ascii="Times New Roman" w:cs="Times New Roman" w:eastAsia="Times New Roman" w:hAnsi="Times New Roman"/>
          <w:sz w:val="18"/>
          <w:szCs w:val="18"/>
          <w:color w:val="auto"/>
        </w:rPr>
        <w:t>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control system, no matter how well designed and operated, cannot provide absolute assurance that the objectives of the control system are met, and no</w:t>
      </w:r>
    </w:p>
    <w:p>
      <w:pPr>
        <w:spacing w:after="0" w:line="5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August 9, 2022, the Company was not a party to, nor were any of its properties the subject of, any material pending legal proceedings, other than ordinary routine claims incidental to the business. In March 2021, the Company received from a former independent sales representative a notice of dispute with respect to whether commissions are due and owing on product sales to certain of the Company’s customers which, if successful, could require payments ranging from $4.0 million to $14.0 million plus costs and expenses, together with additional commission payments on future sales, if any, to such customers. The Company does not believe these commissions are owed, and the parties have initiated a binding arbitration proceeding. It is possible that the Company may, in the future, be subject to other legal proceedings, lawsuits and other claims in the ordinary course of operating its business, which could have a material adverse effect on the Company’s business, operations, financial condition or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8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Business</w:t>
      </w:r>
    </w:p>
    <w:p>
      <w:pPr>
        <w:spacing w:after="0" w:line="27" w:lineRule="exact"/>
        <w:rPr>
          <w:rFonts w:ascii="Times New Roman" w:cs="Times New Roman" w:eastAsia="Times New Roman" w:hAnsi="Times New Roman"/>
          <w:sz w:val="18"/>
          <w:szCs w:val="18"/>
          <w:color w:val="auto"/>
        </w:rPr>
      </w:pPr>
    </w:p>
    <w:p>
      <w:pPr>
        <w:ind w:left="1300" w:right="280" w:hanging="320"/>
        <w:spacing w:after="0" w:line="250"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evolving domestic and global economic conditions are beyond our control and could materially adversely affect our business, operations, and results of operations.</w:t>
      </w:r>
    </w:p>
    <w:p>
      <w:pPr>
        <w:ind w:left="1300" w:right="120" w:hanging="320"/>
        <w:spacing w:after="0" w:line="250"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sustain our sales growth rate in the future.</w:t>
      </w:r>
    </w:p>
    <w:p>
      <w:pPr>
        <w:spacing w:after="0" w:line="9" w:lineRule="exact"/>
        <w:rPr>
          <w:rFonts w:ascii="Times New Roman" w:cs="Times New Roman" w:eastAsia="Times New Roman" w:hAnsi="Times New Roman"/>
          <w:sz w:val="18"/>
          <w:szCs w:val="18"/>
          <w:color w:val="auto"/>
        </w:rPr>
      </w:pPr>
    </w:p>
    <w:p>
      <w:pPr>
        <w:ind w:left="1300" w:right="340" w:hanging="320"/>
        <w:spacing w:after="0" w:line="250"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existing customers or identify and attract new customers could adversely affect our business, financial condition and results of operations.</w:t>
      </w:r>
    </w:p>
    <w:p>
      <w:pPr>
        <w:ind w:left="1300" w:right="280" w:hanging="320"/>
        <w:spacing w:after="0" w:line="250"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outages, data loss or other interruptions affecting our operations could adversely affect our business and reputation.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our primary production facility may adversely affect our business, results of operations and/or financial condition.</w:t>
      </w:r>
    </w:p>
    <w:p>
      <w:pPr>
        <w:spacing w:after="0" w:line="9" w:lineRule="exact"/>
        <w:rPr>
          <w:rFonts w:ascii="Times New Roman" w:cs="Times New Roman" w:eastAsia="Times New Roman" w:hAnsi="Times New Roman"/>
          <w:sz w:val="18"/>
          <w:szCs w:val="18"/>
          <w:color w:val="auto"/>
        </w:rPr>
      </w:pPr>
    </w:p>
    <w:p>
      <w:pPr>
        <w:ind w:left="1300" w:right="220" w:hanging="320"/>
        <w:spacing w:after="0" w:line="250"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recruit, retain and develop qualified personnel, including for areas of newer specialized technology which could adversely affect our ability to grow our business.</w:t>
      </w:r>
    </w:p>
    <w:p>
      <w:pPr>
        <w:ind w:left="1300" w:right="60" w:hanging="320"/>
        <w:spacing w:after="0" w:line="250"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our operations or supply chain could adversely affect our business and financial results.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 Digital Assets industry and may not succeed in fully commercializing the Arculus Platform.</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 Wallet storage systems, such as the Arculus Cold Storage Wallet, are subject to risks related to a loss of funds due to theft of Digital Assets, security and cybersecurity risks, system failures and other operational issues, which could cause damage to our reputation and brand.</w:t>
      </w:r>
    </w:p>
    <w:p>
      <w:pPr>
        <w:spacing w:after="0" w:line="1"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the Arculus Wallet or Digital Assets in a manner that adversely affects our business, prospects or operations.</w:t>
      </w:r>
    </w:p>
    <w:p>
      <w:pPr>
        <w:ind w:left="1300" w:right="40" w:hanging="320"/>
        <w:spacing w:after="0" w:line="260" w:lineRule="auto"/>
        <w:tabs>
          <w:tab w:leader="none" w:pos="12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partners to provide certain features of the Arculus Wallet, and any interruptions in services provided by these third parties may impair our ability to support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7" w:name="page48"/>
    <w:bookmarkEnd w:id="47"/>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quality and manufacturing process disruptions could adversely affect our business.</w:t>
      </w:r>
    </w:p>
    <w:p>
      <w:pPr>
        <w:spacing w:after="0" w:line="27" w:lineRule="exact"/>
        <w:rPr>
          <w:rFonts w:ascii="Times New Roman" w:cs="Times New Roman" w:eastAsia="Times New Roman" w:hAnsi="Times New Roman"/>
          <w:sz w:val="18"/>
          <w:szCs w:val="18"/>
          <w:color w:val="auto"/>
        </w:rPr>
      </w:pPr>
    </w:p>
    <w:p>
      <w:pPr>
        <w:ind w:left="1300" w:right="480" w:hanging="320"/>
        <w:spacing w:after="0" w:line="250" w:lineRule="auto"/>
        <w:tabs>
          <w:tab w:leader="none" w:pos="12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certain distribution partners for distribution of our products and services. A loss of distribution partners could adversely affect our business.</w:t>
      </w:r>
    </w:p>
    <w:p>
      <w:pPr>
        <w:ind w:left="1300" w:hanging="320"/>
        <w:spacing w:after="0"/>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that may result in a loss of our market share and/or a decline in profitability.</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27" w:lineRule="exact"/>
        <w:rPr>
          <w:sz w:val="20"/>
          <w:szCs w:val="20"/>
          <w:color w:val="auto"/>
        </w:rPr>
      </w:pPr>
    </w:p>
    <w:p>
      <w:pPr>
        <w:ind w:left="1300" w:right="640" w:hanging="320"/>
        <w:spacing w:after="0" w:line="250"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indebtedness, which may limit our operating flexibility and could adversely affect our business, financial condition and results of operations.</w:t>
      </w:r>
    </w:p>
    <w:p>
      <w:pPr>
        <w:ind w:left="1300" w:right="280" w:hanging="320"/>
        <w:spacing w:after="0" w:line="250"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relating to Holdings’ credit facility, the lenders could elect to accelerate payments due and terminate all commitments to extend further credit.</w:t>
      </w:r>
    </w:p>
    <w:p>
      <w:pPr>
        <w:jc w:val="both"/>
        <w:ind w:left="1300" w:right="60" w:hanging="320"/>
        <w:spacing w:after="0" w:line="250"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outstanding under Holdings’ existing credit facility has a variable rate of interest that is based on the London Interbank Offered Rate (“LIBOR”) which may have consequences for Holdings that cannot be reasonably predicted and may increase its cost of borrowing in the future.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ownership of our Securities</w:t>
      </w:r>
    </w:p>
    <w:p>
      <w:pPr>
        <w:spacing w:after="0" w:line="9" w:lineRule="exact"/>
        <w:rPr>
          <w:rFonts w:ascii="Times New Roman" w:cs="Times New Roman" w:eastAsia="Times New Roman" w:hAnsi="Times New Roman"/>
          <w:sz w:val="18"/>
          <w:szCs w:val="18"/>
          <w:color w:val="auto"/>
        </w:rPr>
      </w:pPr>
    </w:p>
    <w:p>
      <w:pPr>
        <w:ind w:left="1300" w:right="340" w:hanging="320"/>
        <w:spacing w:after="0" w:line="250"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only significant asset is our ownership of Holdings. If Holdings’ business is not profitably operated, we may be unable to pay us dividends or make distributions to enable us to pay any dividends on our common stock or satisfy our other financial obligations.</w:t>
      </w:r>
    </w:p>
    <w:p>
      <w:pPr>
        <w:ind w:left="1300" w:right="100" w:hanging="320"/>
        <w:spacing w:after="0" w:line="250"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and Delaware law may inhibit a takeover of us, which could limit the price investors might be willing to pay in the future for our common stock and could entrench management.</w:t>
      </w:r>
    </w:p>
    <w:p>
      <w:pPr>
        <w:ind w:left="1300" w:right="660" w:hanging="320"/>
        <w:spacing w:after="0" w:line="250" w:lineRule="auto"/>
        <w:tabs>
          <w:tab w:leader="none" w:pos="12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“emerging growth company,” we cannot be certain if the reduced disclosure requirements applicable to “emerging growth companies” will make our common stock less attractive to investors.</w:t>
      </w: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performance does not meet market expectations, the price of our securities may decline.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may never be in the money, and they may expire worthless.Investing in our securities involves risks.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Rapidly evolving domestic and global economic conditions are beyond our control and could materially adversely affect our business, operations, and results of operations.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U.S. and international markets and, in particular, the rapidly evolving Digital Assets industry, are experiencing uncertain and volatile economic conditions, including from the impacts of the COVID-19 pandemic, Russian aggression in Ukraine, sustained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new Arculus business. If these uncertain business, macroeconomic or political conditions continue or further decline, our business, financial condition and results of operations could be materially adversely affected.</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the measures implemented to contain the spread of the virus have had a negative impact on our business and result of operations and, if continued, could be amplified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8" w:name="page49"/>
    <w:bookmarkEnd w:id="48"/>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Global health concerns relating to the COVID-19 pandemic and related government actions taken to reduce the spread of the virus have affected the macroeconomic environment, significantly increased economic uncertainty and reduced economic activity. The pandemic has also led to governmental authorities implementing numerous measures to try to contain the virus, including travel bans and restrictions, quarantines, shelter-in-place orders, and business limitations and shutdowns. These measures and the COVID-19 pandemic have caused economic and financial disruptions that have negatively impacted, and may continue to negatively impact, our business, results of operations and financial condition. The extent to which the pandemic will continue to negatively impact our business and results of operations will depend on numerous evolving factors and future developments that we are not able to predict, including the duration and severity of the pandemic; the nature, extent and effectiveness of containment measures; the extent and duration of the effect on our customers and suppliers, the economy, unemployment, consumer confidence and consumer and business spending; and how quickly and to what extent normal economic and operating conditions resume.</w:t>
      </w:r>
    </w:p>
    <w:p>
      <w:pPr>
        <w:spacing w:after="0" w:line="21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pandemic and containment measures have caused us to modify its operations, and we may take further actions that we determine to be in the best interests of its employees, customers and business partners. If we do not respond appropriately to the pandemic, or if customers or other stakeholders do not perceive our response to be adequate, we could suffer damage to our reputation and brand, which could materially adversely affect our business.</w:t>
      </w:r>
    </w:p>
    <w:p>
      <w:pPr>
        <w:spacing w:after="0" w:line="20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the COVID-19 pandemic is prolonged, it could amplify the negative impacts on our business and results of operations, and may also heighten many of the other risks described in this “Risk Factors” section. It is also possible that any adverse effects of the pandemic and containment measures may continue once the pandemic is controlled and the containment measures are lifted. We do not yet know, nor can we predict, the full extent of how COVID-19 and the containment measures will affect our business, results of operations and financial condition, or the global economy as a whole. However, the continuing effects could have a material adverse impact on our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sales growth rate in the future.</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net revenue increased by 3% from $260.6 million in 2020 to $267.9 million in 2021, but, as an example, declined by 21% from $80.4 million during the first quarter of 2020 compared to $63.7 million during the first quarter of 2021. Accordingly, we may not continue to achieve sales growth in the future and you should not consider our sales growth in the quarter or six months ended June 30, 2022 as indicative of our future performance. Our growth rate may slow in future periods due to a number of factors, which may include slowing demand for its products, increased competition, decreasing growth of its overall market, or its inability to engage and retain customers. If we are unable to maintain consistent sales or continue its sales growth, it may be difficult for us to maintain profitability.</w:t>
      </w:r>
    </w:p>
    <w:p>
      <w:pPr>
        <w:spacing w:after="0" w:line="21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existing customers or identify and attract new customers could adversely affect our business, financial condition and results of operations.</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two largest customers are American Express and JPMorgan Chase. Together, these customers represented approximately 72% of our net revenue for the years ended December 31, 2021 and 2020.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ability to maintain relationships with our customers may be impacted by several factors beyond our control, including more attractive product offerings from our competitors,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 customers and attracting new customers, our business, financial condition and results of operations may be materially and adversely affected.</w:t>
      </w:r>
    </w:p>
    <w:p>
      <w:pPr>
        <w:spacing w:after="0" w:line="21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9" w:name="page50"/>
    <w:bookmarkEnd w:id="49"/>
    <w:p>
      <w:pPr>
        <w:ind w:firstLine="648"/>
        <w:spacing w:after="0" w:line="254" w:lineRule="auto"/>
        <w:rPr>
          <w:sz w:val="20"/>
          <w:szCs w:val="20"/>
          <w:color w:val="auto"/>
        </w:rPr>
      </w:pPr>
      <w:r>
        <w:rPr>
          <w:rFonts w:ascii="Times New Roman" w:cs="Times New Roman" w:eastAsia="Times New Roman" w:hAnsi="Times New Roman"/>
          <w:sz w:val="18"/>
          <w:szCs w:val="18"/>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2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Additionally, it is possible that unauthorized access to sensitive customer and business data may be obtained through inadequate use of security controls by our customers, suppliers or other vendors. For example, SolarWinds, an information technology company, was recently the subject of a cyberattack that created security vulnerabilities for thousands of its clients. While we are not currently aware of any impact that the SolarWinds supply chain attack had on our business, we may be subject to the risk of similar cyberattacks on our customers, suppliers and other vendors in the future and there is residual risk that we may experience a security breach arising from the SolarWinds supply chain attack.</w:t>
      </w:r>
    </w:p>
    <w:p>
      <w:pPr>
        <w:spacing w:after="0" w:line="210"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 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outages, data loss or other interruptions affecting our operations could adversely affect our business and reputation.</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at our primary production facility may adversely affect our business, results of operations and/or financial condition.</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sales.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ind w:right="140"/>
        <w:spacing w:after="0" w:line="282" w:lineRule="auto"/>
        <w:rPr>
          <w:sz w:val="20"/>
          <w:szCs w:val="20"/>
          <w:color w:val="auto"/>
        </w:rPr>
      </w:pPr>
      <w:r>
        <w:rPr>
          <w:rFonts w:ascii="Times New Roman" w:cs="Times New Roman" w:eastAsia="Times New Roman" w:hAnsi="Times New Roman"/>
          <w:sz w:val="18"/>
          <w:szCs w:val="18"/>
          <w:color w:val="auto"/>
        </w:rPr>
        <w:t>our customers to modify their Payment Card programs to use plastic cards or to seek alternative supply of metal cards. Any such production interruptions or disruptions could adversely impact our business, financial condition and results of operations.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example, government-imposed measures in response to the COVID-19 pandemic led us to temporarily limit operations at some of our facilities. As a result, our credit card production rate was negatively affected. The continuation of the COVID-19 pandemic and the containment measures instituted as a result thereof could amplify the negative impact on our credit card production and, as a result, have a material adverse effect on our business, financial condition and results of operations.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upon our ability to develop, introduce and commercialize new products, which can be a lengthy and complex process. If we are unable to introduce new products and services in a timely manner, our business could be materially adversely affected.</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In order to achieve successful technical execution of new products, we may need to undertake time-consuming and expensive research and development activities, which could negatively impact the servicing of our existing customers. We may also experience difficult market conditions that could delay or prevent the successful research and development, marketing launches and consumer deployment of such newly designed products, whereby we could incur significant additional cost and expense. In addition, competitors may develop and commercialize competing products faster and more efficiently than we are able to do so, which could further negatively impact our business.</w:t>
      </w:r>
    </w:p>
    <w:p>
      <w:pPr>
        <w:spacing w:after="0" w:line="21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 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2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disruption in our operations or supply chain could adversely affect our business and financial results.</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a company engaged in manufacturing and distribution, we are subject to the risks inherent in such activities, including disruptions or delays in supply chain or information technology, product quality control, as well as other external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51" w:name="page52"/>
    <w:bookmarkEnd w:id="51"/>
    <w:p>
      <w:pPr>
        <w:ind w:right="20"/>
        <w:spacing w:after="0" w:line="256" w:lineRule="auto"/>
        <w:rPr>
          <w:sz w:val="20"/>
          <w:szCs w:val="20"/>
          <w:color w:val="auto"/>
        </w:rPr>
      </w:pPr>
      <w:r>
        <w:rPr>
          <w:rFonts w:ascii="Times New Roman" w:cs="Times New Roman" w:eastAsia="Times New Roman" w:hAnsi="Times New Roman"/>
          <w:sz w:val="18"/>
          <w:szCs w:val="18"/>
          <w:color w:val="auto"/>
        </w:rPr>
        <w:t>factors over which we have no control. Some of the key components for our products are metals, and EMV chips, which we source from several key suppliers. We obtain our components from multiple suppliers located in the United States and abroad, on a purchase order basis. Changes in the financial or business condition of our suppliers could subject us to losses or adversely affect our ability to bring products to market. Additionally, the failure of our suppliers to comply with applicable standards and deliver goods and services in a timely 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spacing w:after="0" w:line="214"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The COVID-19 pandemic and related government measures in response to the pandemic negatively affected our suppliers, which in turn negatively affected our production and business. In addition, there is an increased demand for microchips worldwide in various industries and manufacturers of chips are experiencing shortages in supply, which could adversely effect our ability to obtain sufficient chips for our manufacturing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the Digital Asset industry and we may not succeed in commercializing the Arculus Platform.</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With our business operations historically focused on the Payment Card industry, we are a new entrant into the Digital Asset industry. The Arculus Platform was commercially launched in the third quarter of 2021. It is possible that consumers of Digital Asset storage products may not be willing to purchase or use the Arculus products, and we may not be able to establish partnerships with our existing and/or new customers to drive partner-branded versions of the Arculus Key card or other Arculus Ecosystem products or services. If we are unable to successfully establish sufficient consumer sales, commercial partnerships and/or business-to- business sales channels, that would likely have a material adverse effect on our business, financial condition and results of operations.</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we must rely on vendors and development partners for certain components of our Arculus Cold Storage Wallet products, and must source and procure NFC-enabled chips to be embedded in our Arculus Key cards, as well as other materials used in the manufacture of the Arculus Key card. The performance of our vendors and development partners, and the availability of NFC-enabled chips and other materials, is essential to the success of the Arculus Wallet and Arculus Key card. There is currently a global shortage of chips due to increased demand and interruptions of production, both resulting from the COVID-19 pandemic. If our vendors and development partners do not perform as expected, or if we are not able to source and procure sufficient quantities of NFC-enabled chips and other materials, the success of our Arculus Cold Storage Wallet and Arculus Key card could be negatively impacted, which could have a material adverse effect on our business, financial condition and results of operations. In addition, changes or delays in supply or pricing of NFC-enabled chips, or other necessary materials, could materially negatively impact the potential margins and profitability of our Arculus business.</w:t>
      </w:r>
    </w:p>
    <w:p>
      <w:pPr>
        <w:spacing w:after="0" w:line="21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Digital Asset Wallet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Blockchain-related products and services, in particular Digital Assets (including Cryptocurrencies), have the potential to be used for financial crimes or other illegal activities. Because the Blockchain platform that we are developing is novel, there are uncertainties regarding any legal and regulatory requirements for preventing Blockchain-related products and services from being put to such unlawful uses, and there are uncertainties regarding the liabilities and risks to us if we are unable to prevent such unlawful uses. Even if we comply with all laws and regulations regarding financial and Blockchain-related products and services,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Platform, including the Arculus Key card or the Arculus Wallet product could damage our reputation and such damage could be material and adverse, including to aspects of our business that are unrelated to the Arculus Platform. More generally, any negative publicity regarding unlawful uses of Blockchain technology or Digital Assets in the marketplace could materially reduce the demand for our products and services, including the Arculus Platform.</w:t>
      </w:r>
    </w:p>
    <w:p>
      <w:pPr>
        <w:spacing w:after="0" w:line="2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initial Arculus Cold Storage Wallet product is comprised of a Cold Storage device and a mobile Wallet App. A Cold Storage Wallet uses an architecture where the Private Keys needed to access Digital Assets,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spacing w:after="0" w:line="253" w:lineRule="auto"/>
        <w:rPr>
          <w:sz w:val="20"/>
          <w:szCs w:val="20"/>
          <w:color w:val="auto"/>
        </w:rPr>
      </w:pPr>
      <w:r>
        <w:rPr>
          <w:rFonts w:ascii="Times New Roman" w:cs="Times New Roman" w:eastAsia="Times New Roman" w:hAnsi="Times New Roman"/>
          <w:sz w:val="18"/>
          <w:szCs w:val="18"/>
          <w:color w:val="auto"/>
        </w:rPr>
        <w:t>Cryptocurrencies, are stored outside of the Internet. In the Arculus Platform, the Arculus Cold Storage Wallet comprises the Arculus Key card, which stores the Private Keys on a secure NFC-enabled chip embedded in the card, and the Arculus Wallet App configured to communicate via NFC with the Arculus Key card. A user may choose to store his or her Digital Assets in a Cold Storage Wallet if such user has no immediate plan to use those Digital Assets because a Cold Storage Wallet potentially may be safer than a Hot Storage Wallet because the Hot Storage Wallet being consistently connected to the Internet makes it potentially more vulnerable to hacking. Through the use of Cold Storage Wallet technology, the Arculus Platform, with our three-factor authentication technology, may be able to increase the safety of users’ assets during storage, as compared to storing such Digital Assets in a Hot Storage Wallet. Further, Digital Assets are controllable only by the possessor of both the unique public and Private Keys relating to the local or online digital Wallet in which they are held, which Wallet’s public key or address is reflected in the network’s public Blockchain. Notwithstanding the increased security of the Cold Storage Wallet system as compared to a Hot Storage Wallet system, any loss of Private Keys, or hack or other compromise of, the Cold Storage Wallets could materially and adversely affect our customers’ ability to access or sell their Digital Assets and could cause significant reputational harm to us and, our Arculus Platform.</w:t>
      </w:r>
    </w:p>
    <w:p>
      <w:pPr>
        <w:spacing w:after="0" w:line="21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Arculus Cold Storage Wallet employs security measures common to Blockchain technologies, and specifically includes an advanced three-factor authentication, including biometric, PIN, and key card authentication, as well as passcode storage that is separate from the private keys located on the Arculus Key card. The effectiveness of these security measures for users of the Arculus Cold Storage Wallet have not yet been determined. There is no guarantee that these security measures or any that we may develop in the future will be effective. Any failure of these security features may result in the loss of customers’ Digital Assets and cause reputational harm, which may be material to us, the occurrence of any of the foregoing could have a material adverse effect on our business, financial condition and results of operations.</w:t>
      </w:r>
    </w:p>
    <w:p>
      <w:pPr>
        <w:spacing w:after="0" w:line="21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changes or actions may restrict the use of the Arculus Wallet or Digital Assets in a manner that adversely affects our business, prospects or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Uncertainty Surrounding the Digital Asset Environment, including Cryptocurrencies</w:t>
      </w:r>
    </w:p>
    <w:p>
      <w:pPr>
        <w:spacing w:after="0" w:line="25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Digital Assets, including cryptocurrencies, have grown in both popularity and market size, governments around the world have reacted differently to Digital Assets, with certain governments deeming them illegal and others allowing their use and trade under certain circumstances. In addition, governments or regulatory authorities may impose new or additional licensing, registration or other compliance requirements on participants in the Digital Asset industry. Ongoing and future regulatory actions may impact our ability of to develop and offer products involving the use of Digital Assets, including the Arculus Wallet, or may impose additional costs, which may be material, on us in connection with such products, and such impact may be material and adverse. For example, the Commodities Futures Trading Commission (“CFTC”) has designated bitcoin, a form of Digital Asset that frequently is referred to as a Cryptocurrency, as a commodity, and as such, trades in bitcoin are subject to the CFTC’s antifraud authority.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Risks Resulting from Potential Designation of Certain Digital Assets as Securities</w:t>
      </w:r>
    </w:p>
    <w:p>
      <w:pPr>
        <w:spacing w:after="0" w:line="25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Moreover, the Securities and Exchange Commission (“SEC”) staff has stated that bitcoin is not a security, but has asserted that certain other Digital Assets, such as XRP, are securities subject to the SEC’s substantive and antifraud authority. Further, derivatives on these Digital Assets, tokens that represent certain derivatives, and certain leveraged transactions on Digital Assets, may be subject to substantive regulation by the CFTC and/or SEC. In sum, these federal regulators, and various U.S. state and non-U.S. regulators, are still developing their frameworks for regulating Digital Assets.</w:t>
      </w:r>
    </w:p>
    <w:p>
      <w:pPr>
        <w:spacing w:after="0" w:line="20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There is currently no uniformly applicable legal or regulatory regime governing Digital Assets in certain jurisdictions, including in the U.S. A particular Digital Asset’s status as a “security” or other regulatory investment or the treatment of digital currency for tax purposes, in any relevant jurisdiction is subject to a high degree of uncertainty and potential inconsistency across regulatory regimes, and if we are unable to properly characterize a Digital Asset or assess our tax treatment, we may be subject to regulatory scrutiny, investigations, fines, and other penalties, which may adversely affect our business, operating results, and financial condition. Some jurisdictions have taken a broad-based approach to classifying Digital Assets as “securities,” while other foreign jurisdictions have adopted a narrower approach. As a result, certain Digital Assets may be deemed to be a “security” under the laws of some jurisdictions but not others.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jurisdictions may adopt additional heterogeneous laws, regulations, or directives that affect the characterization of Digital Assets as “securities.”</w:t>
      </w:r>
    </w:p>
    <w:p>
      <w:pPr>
        <w:spacing w:after="0" w:line="25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order to determine whether a particular Cryptocurrency or other Digital Asset is a security prior to supporting purchase and swap transactions on the Arculus Platform in such Cryptocurrency or other Digital Asset, we rely upon legal and regulatory analysis of legal counsel with expertise in the Digital Asset industry. This legal and regulatory analysis is informed not only by existing U.S. federal securities law, including case law, but also takes into account relevant U.S. federal and state enforcement actions, guidance and commentary of relevant U.S. regulators and staff thereof — including speeches and published securities law frameworks, other published analyses and ratings by market participants, securities litigation, those digital assets listed by what we believe to be respected Digital Asset trading platforms, published news and other data and materials that may from time to time become available to us. Accordingly, our determinations concerning which Cryptocurrencies and other Digital Assets are likely to be securities is updated regularly, in light of ongoing developments, and we expressly reserve the right (as reflected in the Arculus Platform terms and conditions) to discontinue support for any Cryptocurrencies and other Digital Assets, should we determine that such Cryptocurrencies or other Digital Assets have a meaningful risk of being characterized as securities (i.e., that there is a current reasonable likelihood that U.S. regulators or judicial authorities definitively determine, through legislation, rulemaking, case law or enforcement activity, that a particular Cryptocurrency or other Digital Asset is a security under the federal securities laws). While the methodology we have used, and expect to continue to use, to determine if purchase and swap transactions in a Cryptocurrency or other Digital Asset will be supported in the Arculus Platform is ultimately a risk-based assessment, it does not preclude legal or regulatory action based on the presence of a security. If we are found to have supported purchase and swap transactions in the Arculus Platform for Cryptocurrencies or other Digital Assets which are subsequently determined to be securities, it is possible that we could be viewed as inadvertently acting as an unlicensed broker-dealer which could subject us to, among other things, regulatory enforcement actions, censure, monetary fines, restrictions on the conduct of the Arculus business operations and/or rescission/damages claims by customers who use the Arculus Platform.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21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Because the Arculus Platform may facilitate purchase and swap transactions in Digital Assets that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Platform supports purchase and swap transactions in any Digital Assets that are deemed to be securities under any of the laws of the U.S. or another jurisdiction, or in a proceeding in a court of law or otherwise, it may have adverse consequences. For instance, all purchase and swap transactions in such supported Digital Assets would have to be registered with the SEC, or conducted in accordance with an exemption from registration, which could severely limit Digital Asset liquidity, usability and transactability within the Arculus Platform. Comparable or other requirements may be imposed by authorities in other jurisdictions. Further, such limitations could result in negative publicity and a decline in the general acceptance of Digital Assets and would make it difficult for such purchase and swap transactions in such supported Digital Assets to be traded, cleared, and custodied as compared to other Digital Assets that are not considered to be securities. To counter such risks, we may have to remove Arculus Platform support for purchase and swap transactions in certain Digital Assets if and when such Digital Assets are designated as securities, which could hurt our business. Alternatively, we may be required to partner with third-party registered securities broker/dealers to facilitate securities trading by Arculus customers, and we may be unsuccessful in efforts to establish such a partnership.</w:t>
      </w:r>
    </w:p>
    <w:p>
      <w:pPr>
        <w:spacing w:after="0" w:line="21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do not presently intend to effect or otherwise facilitate trading in securities by our Arculus customers through the use of our Arculus Wallet if such activities would require the use of a registered broker-dealer or investment adviser. Although we are establishing policies and procedures to ensure that our Arculus business activities do not result in us inadvertently acting as an unregistered broker-dealer or investment adviser, there can no assurance that such policies and procedures will be effective. If we are found by relevant regulatory agencies to have inadvertently acted as an unregistered broker-dealer with respect to purchase and swap transactions in particular Cryptocurrencies, we would expect to immediately cease supporting purchase and swap transactions in those Cryptocurrencies unless and until either the Cryptocurrency at issue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4" w:name="page55"/>
    <w:bookmarkEnd w:id="54"/>
    <w:p>
      <w:pPr>
        <w:ind w:right="60"/>
        <w:spacing w:after="0" w:line="266" w:lineRule="auto"/>
        <w:rPr>
          <w:sz w:val="20"/>
          <w:szCs w:val="20"/>
          <w:color w:val="auto"/>
        </w:rPr>
      </w:pPr>
      <w:r>
        <w:rPr>
          <w:rFonts w:ascii="Times New Roman" w:cs="Times New Roman" w:eastAsia="Times New Roman" w:hAnsi="Times New Roman"/>
          <w:sz w:val="18"/>
          <w:szCs w:val="18"/>
          <w:color w:val="auto"/>
        </w:rPr>
        <w:t>restrictions on the conduct of our Arculus business operations and/or rescission/damages claims by customers who use the Arculus Platform. Our failure to comply with applicable laws or regulations, or the costs associated with defending any action alleging our noncompliance with applicable laws or regulations, could materially and adversely affect us,our business and our results of operations.</w:t>
      </w:r>
    </w:p>
    <w:p>
      <w:pPr>
        <w:spacing w:after="0" w:line="203"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We do not believe the storage and peer-to-peer/send &amp; receive functionality provided by the Arculus Wallet involves purchases, sales or other transactions effected by us (or any party other than the sender and the recipient). Further, we are not compensated for such user- directed activities. However, it is possible that regulators may determine that user-directed peer-to-peer transfers using the Arculus Wallet would require registration and compliance with broker-dealer and/or securities exchange regulations.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Risks of Operating as an Unregistered Exchange or as Part of an Unregistered Exchange Mechanism</w:t>
      </w:r>
    </w:p>
    <w:p>
      <w:pPr>
        <w:spacing w:after="0" w:line="25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Any venue that brings together purchasers and sellers of Cryptocurrencies or other Digital Assets that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Platform is not so registered (or appropriately exempt), we may be unable to permit continued support for purchase and swap transactions for Cryptocurrencies or other Digital Assets that become subject to characterization as securities. While we do not believe that the Arculus Platform, which facilitates purchase and swap transactions in certain Cryptocurrencies and other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Cryptocurrencies or other Digital Assets or otherwise limit or modify Arculus Platform functionality or access. Any such discontinuation, limitation or other modification could negatively impact our business, operating results, and financial condition. In addition, to the extent other Cold Storage Wallets continue to provide access to such unregulated exchanges or are deemed to be part of an unregistered exchange mechanism, the discontinuation of access for users of the Arculus Wallet may be unpopular with users and may reduce our ability to attract and retain customers. Further, if we are found to be in violation of the Exchange Act due to operation of an unregistered exchange or as part of an unregistered exchange mechanism, we could be subject to significant monetary penalties, censure or other actions that may have a material and adverse effect on us. Notably, in September 2022, the SEC announced a proposed rule change that included, among other things, proposed amendments to Exchange Act rule 3b-16, concerning the definition of “exchange.” While it is not yet clear whether, and if so, in what form, such proposed amendments may be adopted, it is possible that a change to the definition of “exchange” could result in regulators determining that the Arculus Platform is functioning as a securities exchange or ATS or is part of an unregistered exchange mechanism, in which case, the potential registration requirements, or cessation, limitation or other modifications, in each case contemplated above, could become necessary or advisable.</w:t>
      </w:r>
    </w:p>
    <w:p>
      <w:pPr>
        <w:spacing w:after="0" w:line="21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partners to provide certain features of the Arculus Wallet, and any interruptions in services provided by these third parties may impair our ability to support our customers.</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partner with third-party development partners and exchanges to offer customers an option to use fiat currency to purchase Cryptocurrencies, and/or to swap one Cryptocurrency for another Cryptocurrency, using the Arculus Key card and Arculus Wallet. For additional information regarding our existing Arculus Wallet partner relationships, as well as our expectations regarding future partner relationships, please see the section of this report entitled, “Business — Overview.” If these third parties experience operational interference or disruptions, breach their agreements with us, fail to perform their obligations and meet our expectations, or experience a cybersecurity incident, our operations could be disrupted or otherwise negatively affected. If we are unable to procure alternatives in a timely and efficient manner and on acceptable terms, or at all, third-party service unavailability could result in customer dissatisfaction, regulatory scrutiny, and damage to our reputation and brand, and other consequences that could materially and adversely affect our business. Furthermore, although the agreements with our existing partners contractually allocate liability to the partners for their actions, including liability relating to anti-money laundering, know your customer and other transaction-related regulatory compliance requirements, these provisions include limitations on liability. There can be no guarantee that we would not be held liable for the actions of our partners, or that the liabilities would not exceed the contractual limitations on liability. Any liabilities incurred by us for the actions of our third-party partners could have a material adverse effect on our business operations,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safeguard against misappropriation or infringement of our intellectual property may adversely affect our business.</w:t>
      </w:r>
    </w:p>
    <w:p>
      <w:pPr>
        <w:spacing w:after="0" w:line="25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 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because of litigation or other proceedings relating to patents and other intellectual property rights.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quality and manufacturing process disruptions could adversely affect our business.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products and our technological processes are highly complex, require specialized equipment to manufacture and are subject to strict tolerances and requirements. We could experience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21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certain distribution partners for distribution of our products and services. A loss of distribution partners could adversely affect our business.</w:t>
      </w:r>
    </w:p>
    <w:p>
      <w:pPr>
        <w:spacing w:after="0" w:line="18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 small number of distribution partners currently deliver a significant percentage of our products and services to customers. We intend to continue devoting resources in support of our distribution partners, but there are no guarantees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spacing w:after="0" w:line="266" w:lineRule="auto"/>
        <w:rPr>
          <w:sz w:val="20"/>
          <w:szCs w:val="20"/>
          <w:color w:val="auto"/>
        </w:rPr>
      </w:pPr>
      <w:r>
        <w:rPr>
          <w:rFonts w:ascii="Times New Roman" w:cs="Times New Roman" w:eastAsia="Times New Roman" w:hAnsi="Times New Roman"/>
          <w:sz w:val="18"/>
          <w:szCs w:val="18"/>
          <w:color w:val="auto"/>
        </w:rPr>
        <w:t>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that may result in a loss of our market share and/or a decline in profitability.</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Our industry is highly competitive and we expect it to remain highly competitive as competitors cut production costs, new product markets develop, and other competitors attempt to enter the markets in which we 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 in our product markets and maintain market share, which could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long-lived assets represent a significant portion of our total assets, and their full value may never be realized</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Our long-lived assets recorded as of December 31, 2021 were $27.4 million, representing approximately 26% of our total assets, of which we have recorded plant, equipment and leasehold improvements of $22.2 million, as our operations require significant investments in machinery and equipment.</w:t>
      </w:r>
    </w:p>
    <w:p>
      <w:pPr>
        <w:spacing w:after="0" w:line="16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spacing w:after="0" w:line="20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operate our business in compliance with the standards of the PCI Security Standards Council or other industry standards applicable to our customers, such as Payment Networks certification standards, could adversely affect our business.</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Many of our customers issue their cards on the Payment Networks that are subject to the standards of the PCI Security Standards Council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20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make significant investments to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PCI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consumers and businesses spend less, our business, operation outcomes, and financial state may be adversely affected.</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7" w:name="page58"/>
    <w:bookmarkEnd w:id="57"/>
    <w:p>
      <w:pPr>
        <w:ind w:right="220"/>
        <w:spacing w:after="0" w:line="266" w:lineRule="auto"/>
        <w:rPr>
          <w:sz w:val="20"/>
          <w:szCs w:val="20"/>
          <w:color w:val="auto"/>
        </w:rPr>
      </w:pPr>
      <w:r>
        <w:rPr>
          <w:rFonts w:ascii="Times New Roman" w:cs="Times New Roman" w:eastAsia="Times New Roman" w:hAnsi="Times New Roman"/>
          <w:sz w:val="18"/>
          <w:szCs w:val="18"/>
          <w:color w:val="auto"/>
        </w:rPr>
        <w:t>cause credit card issuers to switch card programs to plastic cards, seek lower-priced metal hybrid card suppliers, reduce credit limits, close accounts, and become more selective with respect to whom they issue credit cards. Such conditions and potential outcomes could adversely affect our financial performance, business,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and warranty claims and their associated costs may adversely affect our business.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spacing w:after="0" w:line="21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tariffs and other restrictions on imported goods are imposed by the U.S. government, our sales and operations may be materially and adversely affected.</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portion of the raw materials used by us to manufacture our products are obtained, directly or indirectly, from companies located outside of the United States. Recently, tariffs have been imposed on imports from certain countries outside of the United States.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and/or materially and adversely affect our business, financial condition and results of operations. These and future tariffs, as well as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sales subject us to additional risks that can adversely affect our business, operating results and financial condition.</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During each of 2021 and 2020, we derived approximately 18%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international operations subject it to a variety of risks and challenges, including:</w:t>
      </w:r>
    </w:p>
    <w:p>
      <w:pPr>
        <w:spacing w:after="0" w:line="252"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related effect on our operating results;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in each country or region;</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Brexit; reduction in billings, foreign currency exchange rates, and trade with the EU;</w:t>
      </w:r>
    </w:p>
    <w:p>
      <w:pPr>
        <w:spacing w:after="0" w:line="252" w:lineRule="exact"/>
        <w:rPr>
          <w:rFonts w:ascii="Times New Roman" w:cs="Times New Roman" w:eastAsia="Times New Roman" w:hAnsi="Times New Roman"/>
          <w:sz w:val="18"/>
          <w:szCs w:val="18"/>
          <w:color w:val="auto"/>
        </w:rPr>
      </w:pPr>
    </w:p>
    <w:p>
      <w:pPr>
        <w:ind w:left="1300" w:right="4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widespread outbreak of an illness or disease, or any other public health crisis, including the COVID-19 pandemic, in each country or region;</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around the world;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8" w:name="page59"/>
    <w:bookmarkEnd w:id="58"/>
    <w:p>
      <w:pPr>
        <w:ind w:left="1300" w:right="140" w:hanging="320"/>
        <w:spacing w:after="0" w:line="266"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and regulations imposed by other countries on foreign operations, including the Foreign Corrupt Practices Act, the U.K. Bribery Act, import and export control laws, tariffs, trade barriers, economic sanctions and other regulatory or contractual limitations on our ability to sell our products in certain foreign markets, and the risks and costs of non-compliance.</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could have a broader impact that extends into other markets where we do business. Any of these risks could adversely affect our international sales, reduce our international sales or increase our operating costs, adversely affecting our business, financial condition and operating results.</w:t>
      </w:r>
    </w:p>
    <w:p>
      <w:pPr>
        <w:spacing w:after="0" w:line="21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licensing arrangements in production and other fields, and actions taken by any of our licensing partners could have a material adverse effect on our business.</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Many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adoption of new tax legislation could affect our financial performance.</w:t>
      </w:r>
    </w:p>
    <w:p>
      <w:pPr>
        <w:spacing w:after="0" w:line="256"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For example, the Biden Administration has proposed an increase in the U.S. corporate income tax rate and a minimum corporate tax based on book income. It is difficult to predict whether and when there will be tax law changes having a material adverse effect on our business, financial condition, results of operations and cash flows.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Related to the Tax Receivable Agreement</w:t>
      </w:r>
    </w:p>
    <w:p>
      <w:pPr>
        <w:spacing w:after="0" w:line="25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is our ownership interest in Holdings and such ownership may not be sufficient to pay dividends or make distributions or loans to enable us to pay any dividends on our Common Stock or satisfy our other financial obligations, including our obligations under the Tax Receivable Agreement.</w:t>
      </w:r>
    </w:p>
    <w:p>
      <w:pPr>
        <w:spacing w:after="0" w:line="20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Common Stock or satisfy our other financial obligations, including our obligations under the Tax Receivable Agreement.</w:t>
      </w:r>
    </w:p>
    <w:p>
      <w:pPr>
        <w:spacing w:after="0" w:line="21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pay certain Holders for most of the benefits relating to any additional tax depreciation or amortization deductions that we may claim.</w:t>
      </w:r>
    </w:p>
    <w:p>
      <w:pPr>
        <w:spacing w:after="0" w:line="18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Tax Receivable Agreement with Holdings and the TRA Parties (as defined therein). The Tax Receivable Agreement will provide for the payment by us to certain Holders of 90% of the benefits, if any, that we are deemed to realize (calculated using certain assumptions) as a result of (i)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59" w:name="page60"/>
    <w:bookmarkEnd w:id="59"/>
    <w:p>
      <w:pPr>
        <w:spacing w:after="0" w:line="261" w:lineRule="auto"/>
        <w:rPr>
          <w:sz w:val="20"/>
          <w:szCs w:val="20"/>
          <w:color w:val="auto"/>
        </w:rPr>
      </w:pPr>
      <w:r>
        <w:rPr>
          <w:rFonts w:ascii="Times New Roman" w:cs="Times New Roman" w:eastAsia="Times New Roman" w:hAnsi="Times New Roman"/>
          <w:sz w:val="18"/>
          <w:szCs w:val="18"/>
          <w:color w:val="auto"/>
        </w:rPr>
        <w:t>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 as a result of</w:t>
      </w:r>
    </w:p>
    <w:p>
      <w:pPr>
        <w:ind w:right="60" w:firstLine="8"/>
        <w:spacing w:after="0" w:line="251" w:lineRule="auto"/>
        <w:tabs>
          <w:tab w:leader="none" w:pos="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 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Holdings, Inc. may make under the Tax Receivable Agreement will be substantial. The payments under the Tax Receivable Agreement are not conditioned upon continued ownership of us by the exchanging holders of Class B Units. See “Certain Relationships and Related Person Transactions of the Company — Tax Receivable Agreement.”</w:t>
      </w:r>
    </w:p>
    <w:p>
      <w:pPr>
        <w:spacing w:after="0" w:line="21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8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the lesser of (i) 6.5% per annum and (ii) one year LIBOR, or its successor rate, plus 100 basis points) of all future payments that holders of Holdings Class B Units or other recipients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 tax basis and other benefits related to entering into the Tax Receivable Agreement and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spacing w:after="0" w:line="22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86"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0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Holdings will be required to make pro rata distributions to us and the holders of the Class B Units of Holdings with respect to the taxes of its holders, and the distributions that Holdings will be required to make may be substantial and in excess of our tax liabilities and obligations under the Tax Receivable Agreement. To the extent we do not distribute such excess cash to the holders of our Class A Common Stock or contribute such excess cash to Holdings in exchange for the issuance of additional Class A Units and a corresponding stock dividend of Class A Common Stock to the holders of our Class A Common Stock, the holders of Class B Units of Holdings would benefit from any value attributable to such cash balances as a result of their ownership of Class A Common Stock following an exchange of their Class B Units.</w:t>
      </w:r>
    </w:p>
    <w:p>
      <w:pPr>
        <w:spacing w:after="0" w:line="21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Holdings is treated as a partnership for U.S. federal income tax purposes and, as such, is not subject to any entity-level U.S. federal income tax. Instead, taxable income is allocated to holders of Holdings’ equity interests, including us. Accordingly, we incur income taxes on our allocable share of any net taxable income of Holdings. Under the Holdings Second Amended and Restated LLC Agreement, Holdings is generally required from time to time to make pro rata distributions in cash to us and the holders of Class B Units of Holdings in amounts that are intended to be sufficient to cover the taxes on our and the other holders of Class B Units of Holdings respective allocable shares of the taxable income of Holdings, based on certain assumptions contained in the Holdings Second Amended and Restated LLC Agreement. As a result of (i) potential differences in the amount of net taxable income allocable to us and the holders of Class B Units of Holdings, (ii) the lower tax rate applicable to corporations as compared to individuals and (iii) the favorable tax benefits that we anticipate receiving from acquisitions of Class B Units in connection with taxable exchanges of Class B Units for shares of our Class A Common Stock, we expect that these tax distributions will be in amounts that exceed our tax liabilities and obligations to make payments under the Tax Receivable Agreement. Our Board will determine the appropriate uses for any excess cash so accumulated, which may include, among other uses, any potential dividends, the payment of obligations under the Tax Receivable Agreement and the payment of other expenses. We have no obligation to distribute such cash (or other available cash other than any declared dividend) to our stockholders. No adjustments to the exchange ratio of Class B Units for shares of Class A Common Stock will be made as a result of either (i) any cash distribution by Holdings or (ii) any cash that we retain and do not distribute to our stockholders. To the extent that we do not distribute such excess cash as dividends on our Class A Common Stock or contribute such excess cash to Holdings in exchange for the issuance of additional Class A Units and a corresponding stock dividend of Class A Common Stock to the holders of our Class A Common Stock, and instead, for example, hold such cash balances or lend them to Holdings, the holders of Class B Units of Holdings would benefit from any value attributable to such cash balances as a result of their ownership of Class A Common Stock following an exchange of their Class B Units.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indebtedness, which may limit our operating flexibility and could adversely affect our business, financial condition and results of operations.</w:t>
      </w:r>
    </w:p>
    <w:p>
      <w:pPr>
        <w:spacing w:after="0" w:line="18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had approximately $395 million of indebtedness as of December 31, 2021, consisting of amounts outstanding under our senior secured credit facility and senior notes.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indebtedness could have important consequences to our investors, including, but not limited to:</w:t>
      </w:r>
    </w:p>
    <w:p>
      <w:pPr>
        <w:spacing w:after="0" w:line="252"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and reducing our flexibility to respond to, general adverse economic and industry conditions;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1" w:name="page62"/>
    <w:bookmarkEnd w:id="61"/>
    <w:p>
      <w:pPr>
        <w:ind w:left="1300" w:right="480" w:hanging="320"/>
        <w:spacing w:after="0" w:line="282" w:lineRule="auto"/>
        <w:tabs>
          <w:tab w:leader="none" w:pos="1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servicing debt, including interest payments and annual excess cash flow prepayment obligations;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competitive environment;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and increasing the cost of any such borrowing.</w:t>
      </w:r>
    </w:p>
    <w:p>
      <w:pPr>
        <w:spacing w:after="0" w:line="252"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The interest rates in our credit facility are set based upon stated margins above lender’s base rate and the London Interbank Offered Rate, an interest rate at which banks can borrow funds, in marketable size, from other banks in the London interbank market, which is subject to fluctuation. In addition, the interest rate margin applicable to our term loans and revolving loans can vary by one hundred (100) basis points depending on our total leverage ratio. An increase in interest rates would adversely affect our profitability.</w:t>
      </w:r>
    </w:p>
    <w:p>
      <w:pPr>
        <w:spacing w:after="0" w:line="20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186"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spacing w:after="0" w:line="20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debt outstanding under our existing credit facility has a variable rate of interest that is based on the London Interbank Offered Rate (“LIBOR”) which may have consequences for us that cannot be reasonably predicted and may increase our cost of borrowing in the future.</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debt outstanding under our existing credit facility bears interest at a variable rate per annum that is calculated based upon the LIBOR rate plus the applicable margin, ranging from 2.0% – 3.0%. The LIBOR benchmark has been the subject of national, international, and other regulatory guidance and proposals for reform. In July 2017, the U.K. Financial Conduct Authority announced that it intends to stop compelling banks to submit rates for the calculation of LIBOR after 2021. However, for U.S. dollar LIBOR, the relevant date was deferred to June 30, 2023 for certain tenors (including overnight and one, three, six and 12 months), at which time the LIBOR administrator will cease publication of U.S. dollar LIBOR. Despite this deferral, the LIBOR administrator has advised that no new contracts using U.S. dollar LIBOR should be entered into after December 31, 2021. These actions indicate that the continuation of U.S. LIBOR on the current basis cannot be guaranteed after June 30, 2023. Moreover, it is possible that U.S. LIBOR will be discontinued or modified prior to June 30, 2023. While regulators in various jurisdictions have been working to replace LIBOR, it is unclear whether new agreed-upon benchmark rates will be established. Although our credit facility provides for alternative reference rates, such alternative reference rates and the consequences of the phase-out of LIBOR cannot be entirely predicted at this time. An alternative reference rate could be higher or more volatile than LIBOR prior to its discontinuance, which could result in an increase in the cost of our indebtedness, adversely impacting our financial condition and results of operations. Additionally, the U.S. or global financial markets may be disrupted as a result of the phase-out of LIBOR, which could also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facility contains restrictive covenants that may impair our ability to conduct business.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2" w:name="page63"/>
    <w:bookmarkEnd w:id="62"/>
    <w:p>
      <w:pPr>
        <w:ind w:right="200"/>
        <w:spacing w:after="0" w:line="282" w:lineRule="auto"/>
        <w:rPr>
          <w:sz w:val="20"/>
          <w:szCs w:val="20"/>
          <w:color w:val="auto"/>
        </w:rPr>
      </w:pPr>
      <w:r>
        <w:rPr>
          <w:rFonts w:ascii="Times New Roman" w:cs="Times New Roman" w:eastAsia="Times New Roman" w:hAnsi="Times New Roman"/>
          <w:sz w:val="18"/>
          <w:szCs w:val="18"/>
          <w:color w:val="auto"/>
        </w:rPr>
        <w:t>impair our ability to conduct business. We may not be able to maintain compliance with these covenants in the future and, if we fail to do so, that we will be able to obtain waivers from the lenders and/or amend the covenants, which may result in foreclosure of our assets.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See Note 5 in Notes to Consolidated Financial Statements to the Consolidated Financial Statements of the Company in this report on Form 10-Q for additional information.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guarantees of indebtedness and liabilities could limit the cash flow available for our operations, expose us to risks that could adversely affect our business, financial condition and results of operations and impair our ability to satisfy our obligations.</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Holdings issued the PIPE Senior Notes that are exchangeable into shares of our Class A Common Stock at a conversion price of $11.50 per share. The PIPE Senior Notes are guaranteed by CompoSecure, L.L.C. Our guarantees of indebtedness could have significant negative consequences for our security holders, equity holders and our business, results of operations and financial condition by, among other things:</w:t>
      </w:r>
    </w:p>
    <w:p>
      <w:pPr>
        <w:spacing w:after="0" w:line="207" w:lineRule="exact"/>
        <w:rPr>
          <w:sz w:val="20"/>
          <w:szCs w:val="20"/>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252" w:lineRule="exact"/>
        <w:rPr>
          <w:rFonts w:ascii="Times New Roman" w:cs="Times New Roman" w:eastAsia="Times New Roman" w:hAnsi="Times New Roman"/>
          <w:sz w:val="18"/>
          <w:szCs w:val="18"/>
          <w:color w:val="auto"/>
        </w:rPr>
      </w:pPr>
    </w:p>
    <w:p>
      <w:pPr>
        <w:ind w:left="1300" w:right="58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guarantees of indebtedness, which reduces the amount of cash available for other purposes;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52"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stockholders as a result of the issuance shares of our Class A Common Stock upon conversion of the PIPE Senior Notes; and</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that may become due under our guarantees of indebtedness, including in connection with the PIPE Senior Notes, and our cash needs may increase in the future. In addition, any future indebtedness or guarantees of indebtedness that we may incur may contain financial and other restrictive covenants that limit our ability to operate our business, raise capital or make payments under our other indebtedness. If we fail to comply with these covenants or to make payments under our guarantees of indebtedness if and when due, then we could be in default under those guarantees of indebtedness, which could, in turn, result in that and our other indebtedness becoming immediately payable in full.</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Risks Related to Ownership of our Securities</w:t>
      </w:r>
    </w:p>
    <w:p>
      <w:pPr>
        <w:spacing w:after="0" w:line="25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only significant asset will be our ownership of our subsidiaries’ business. If the business of our subsidiaries is not profitably operated, we may be unable to pay us dividends or make distributions to enable us to pay any dividends on our common stock or satisfy our other financial obligations.</w:t>
      </w:r>
    </w:p>
    <w:p>
      <w:pPr>
        <w:spacing w:after="0" w:line="18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CompoSecure, Inc. has no direct operations and no significant assets other than the ownership of its subsidiaries, which operate the Company’s business. CompoSecure, Inc. will depend on profits generated by its subsidiaries’ business for debt repayment and other payments to generate the funds necessary to meet its financial obligations, including its expenses as a publicly traded company, to pay any dividends with respect to its capital 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20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3" w:name="page64"/>
    <w:bookmarkEnd w:id="6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Charter contains provisions that may discourage unsolicited takeover proposals that stockholders may consider to be in their best interests. These provisions include the classification of our Board, the ability of our Board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0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203" w:lineRule="exact"/>
        <w:rPr>
          <w:sz w:val="20"/>
          <w:szCs w:val="20"/>
          <w:color w:val="auto"/>
        </w:rPr>
      </w:pPr>
    </w:p>
    <w:p>
      <w:pPr>
        <w:ind w:left="1300" w:right="220" w:hanging="320"/>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approved either the business combination or the transaction that resulted in the stockholder becoming an interested stockholder;</w:t>
      </w:r>
    </w:p>
    <w:p>
      <w:pPr>
        <w:spacing w:after="0" w:line="188"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88"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18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the Company. These provisions could also discourage proxy contests and make it more difficult for you and other stockholders to elect directors of your choosing and cause us to take corporate actions other than those you desire.</w:t>
      </w:r>
    </w:p>
    <w:p>
      <w:pPr>
        <w:spacing w:after="0" w:line="19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satisfy the Nasdaq listing requirements in the future, which could limit investors’ ability to effect transactions in our securities and subject us to additional trading restrictions.</w:t>
      </w:r>
    </w:p>
    <w:p>
      <w:pPr>
        <w:spacing w:after="0" w:line="18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may be unable to maintain the listing of our securities on Nasdaq in the future. If our securities are delisted from Nasdaq, there could be significant material adverse consequences, including:</w:t>
      </w:r>
    </w:p>
    <w:p>
      <w:pPr>
        <w:spacing w:after="0" w:line="189"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about the Company;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obtain capital or pursue acquisitions by issuing additional equity or convertible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costs and obligations as a result of being a public company.</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a new public company, we will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hereto and the rules and regulations of the SEC and Nasdaq, have increased the costs and the time that must be devoted to compliance matters. We expect these rules and regulations will increase our legal and financial costs and lead to a diversion of management time and attention from revenue-generating activities.</w:t>
      </w:r>
    </w:p>
    <w:p>
      <w:pPr>
        <w:spacing w:after="0" w:line="21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$1.07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31" w:right="419" w:bottom="1440" w:gutter="0" w:footer="0" w:header="0"/>
        </w:sectPr>
      </w:pPr>
    </w:p>
    <w:bookmarkStart w:id="64" w:name="page65"/>
    <w:bookmarkEnd w:id="64"/>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As an “emerging growth company,” we may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21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will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develop and implement all required accounting practices and policies, we may be unable to provide the financial information required of a United States publicly traded company in a timely and reliable manner.</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Previously as a privately held company prior to the Business Combination, Holdings was not required to adopt all of the financial reporting and disclosure procedures and controls required of a United States publicly traded company. We expect that the implementation of all required accounting practices and policies and the hiring of additional financial staff will increase the operating costs of the Company and could require the management of the Company to devote significant time and resources to such implementation. If we fail to develop and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and damaging our reputation, which in either cause could impede our ability to implement our growth strategy. In addition, any such delays or deficiencies could result in our failure to meet the requirements for continued listing of our securities on Nasdaq.</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operating performance does not meet market expectations, the price of our securities may decline.</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Fluctuations in the price of our securities could contribute to the loss of all or part of your investment. Prior to the Business Combination, there was no public market for Holdings’ equity. Accordingly, the valuation that was ascribed to Holdings’ equity in the Business Combination may not be indicative of the price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52"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w:t>
      </w:r>
    </w:p>
    <w:p>
      <w:pPr>
        <w:spacing w:after="0" w:line="234"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market expectations in a particular period;</w:t>
      </w:r>
    </w:p>
    <w:p>
      <w:pPr>
        <w:spacing w:after="0" w:line="252" w:lineRule="exact"/>
        <w:rPr>
          <w:rFonts w:ascii="Times New Roman" w:cs="Times New Roman" w:eastAsia="Times New Roman" w:hAnsi="Times New Roman"/>
          <w:sz w:val="18"/>
          <w:szCs w:val="18"/>
          <w:color w:val="auto"/>
        </w:rPr>
      </w:pPr>
    </w:p>
    <w:p>
      <w:pPr>
        <w:ind w:left="660" w:right="80" w:firstLine="320"/>
        <w:spacing w:after="0" w:line="282" w:lineRule="auto"/>
        <w:tabs>
          <w:tab w:leader="none" w:pos="130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financial payment card and Digital Asset industries and markets in general;</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65" w:name="page66"/>
    <w:bookmarkEnd w:id="65"/>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securities available for public sale;</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our board or management;</w:t>
      </w:r>
    </w:p>
    <w:p>
      <w:pPr>
        <w:spacing w:after="0" w:line="252" w:lineRule="exact"/>
        <w:rPr>
          <w:rFonts w:ascii="Times New Roman" w:cs="Times New Roman" w:eastAsia="Times New Roman" w:hAnsi="Times New Roman"/>
          <w:sz w:val="18"/>
          <w:szCs w:val="18"/>
          <w:color w:val="auto"/>
        </w:rPr>
      </w:pPr>
    </w:p>
    <w:p>
      <w:pPr>
        <w:ind w:left="660" w:right="260" w:firstLine="320"/>
        <w:spacing w:after="0" w:line="282" w:lineRule="auto"/>
        <w:tabs>
          <w:tab w:leader="none" w:pos="13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securities by our directors, executive officers or significant stockholders or the perception that such sales could occur; and</w:t>
      </w:r>
    </w:p>
    <w:p>
      <w:pPr>
        <w:spacing w:after="0" w:line="188" w:lineRule="exact"/>
        <w:rPr>
          <w:rFonts w:ascii="Times New Roman" w:cs="Times New Roman" w:eastAsia="Times New Roman" w:hAnsi="Times New Roman"/>
          <w:sz w:val="18"/>
          <w:szCs w:val="18"/>
          <w:color w:val="auto"/>
        </w:rPr>
      </w:pPr>
    </w:p>
    <w:p>
      <w:pPr>
        <w:ind w:left="660" w:right="20" w:firstLine="320"/>
        <w:spacing w:after="0" w:line="282" w:lineRule="auto"/>
        <w:tabs>
          <w:tab w:leader="none" w:pos="13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depress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Public Warrants and the Resale Warrants may never be in the money, and they may expire worthless.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for our Public Warrants and Resale Warrants is $11.50 per share, which exceeds the market price of our Class A Common Stock, which was $6.10 per share based on the closing price on August 4, 2022. There can be no assurance that the Public Warrants and Resale Warrants will ever be in the money prior to their expiration and, as such, the Public Warrants and Resale Warrants may expire worthless.</w:t>
      </w:r>
    </w:p>
    <w:p>
      <w:pPr>
        <w:spacing w:after="0" w:line="20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Accordingly, we may amend the terms of the Warrants in a manner adverse to a holder if holders of at least a majority of the then outstanding Public Warrants approve of such amendment. Our ability to amend the terms of the Warrants with the consent of at least a majority of the then outstanding Public Warrants is unlimited. Examples of such amendments could be amendments to, among other things, increase the exercise price of the Warrants, shorten the exercise period or decrease the number of shares of our common stock purchasable upon exercise of a Warrant.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redeem your unexpired Warrants prior to their exercise at a time that is disadvantageous to you, thereby making your Warrants worthless.</w:t>
      </w:r>
    </w:p>
    <w:p>
      <w:pPr>
        <w:spacing w:after="0" w:line="256"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We have the ability to redeem outstanding Warrants (excluding any Resale Warrants held by Roman Sponsor or their permitted transferees) at any time after they become exercisable and prior to their expiration, at $0.01 per warrant, provided that the last reported sales price (or the closing bid price of our common stock in the event the shares of our common stock are not traded on any specific trading day) of the common stock equals or exceeds $18.00 per share on each of 20 trading days within the 30 trading-day period ending on the third business day prior to the date on which we send proper notice of such redemption, provided that on the date we give notice of redemption and during the entire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6" w:name="page67"/>
    <w:bookmarkEnd w:id="66"/>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w:t>
      </w:r>
    </w:p>
    <w:p>
      <w:pPr>
        <w:spacing w:after="0" w:line="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Redemption of the outstanding Warrants could force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21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Outstanding Warrants to purchase an aggregate of 22,415,400 shares of our common stock are exercisable on the 30th day following the closing of the Business Combination in accordance with the terms of the warrant agreement governing those securities. These Warrants consist of 11,578,000 Public Warrants and 10,837,400 Resale Warrants originally included in the units issued in our IPO. Each Warrant entitles its holder to purchase one share of our common stock at an exercise price of $11.50 per share and will expire at 5:00 p.m., New York time, on 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spacing w:after="0" w:line="21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186"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Commencing with this report,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will not be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$1.07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21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operate our business largely depends upon the efforts of certain key personnel. The loss of such key personnel could adversely affect the operations and profitability of the post-combination business.</w:t>
      </w:r>
    </w:p>
    <w:p>
      <w:pPr>
        <w:spacing w:after="0" w:line="18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ability to successfully operate our business depends upon the efforts of certain key personnel. The unexpected loss of key personnel may adversely affect our operations and profitability. In addition, our future success depends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7" w:name="page68"/>
    <w:bookmarkEnd w:id="67"/>
    <w:p>
      <w:pPr>
        <w:ind w:right="100"/>
        <w:spacing w:after="0" w:line="266" w:lineRule="auto"/>
        <w:rPr>
          <w:sz w:val="20"/>
          <w:szCs w:val="20"/>
          <w:color w:val="auto"/>
        </w:rPr>
      </w:pPr>
      <w:r>
        <w:rPr>
          <w:rFonts w:ascii="Times New Roman" w:cs="Times New Roman" w:eastAsia="Times New Roman" w:hAnsi="Times New Roman"/>
          <w:sz w:val="18"/>
          <w:szCs w:val="18"/>
          <w:color w:val="auto"/>
        </w:rPr>
        <w:t>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spacing w:after="0" w:line="19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will be influenced by the research and reports that industry or securities analysts may publish about us, our business, our market, or our competitors. If no securities or industry analysts commence coverage of us, prices for our securities would likely be less than that which would obtain if we had such coverage and the liquidity, or trading volume of our securities may be limited, making it more difficult for a holder to sell securities at an acceptable price or amount. If any analysts do cover us, their projections may vary widely and may not accurately predict the results we actually achieve. Prices for our securities may decline if our actual results do not match the projections of research analysts covering us. Similarly, if one or more of the analysts who write reports on us downgrades our securities or publishes inaccurate or unfavorable research about our business, prices for our securities could decline. If one or more of these analysts ceases coverage of us or fails to publish reports on us regularly, prices for our securities or trading volume could decline.</w:t>
      </w:r>
    </w:p>
    <w:p>
      <w:pPr>
        <w:spacing w:after="0" w:line="2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securities, including resale of securities issued to the certain stockholders, may reduce the market price of our securities that you might otherwise obtain.</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Upon expiration of the lockup period applicable to our securities held by certain of our stockholders may sell large amounts of our securities in the open market or in privately negotiated transactions. The registration and availability of such a significant number of securities for trading in the public market may increase the volatility in the price of our securities or put significant downward pressure on the price of our securities. In addition, we may use shares of our common stock as consideration for future acquisitions, which could further dilute our stockholders.</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certain significant shareholders control a significant percentage of our common stock, such shareholders may influence major corporate decisions of the Company and our interests may conflict with the interests of other holders of our common stock.</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LLR Equity Partners IV, L.P. and LLR Equity Partners Parallel IV, L.P. (the “LLR Parties”) and Michele D. Logan and any trust, entity or other similar vehicle or account affiliated with Michele D. Logan (the “Logan Parties”) beneficially owned, at August 1, 2022, approximately 45% and 28%, respectively of the voting power of our outstanding common stock. As a result of this control, the LLR Parties and the Logan Parties will be able to influence matters requiring approval by our stockholders and/or our Board, including the election of directors and the approval of business combinations or dispositions and other extraordinary transactions. The LLR Parties and the Logan Parties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the LLR Parties or the Logan Parties may in the future own businesses that directly compete with the business of the Company.</w:t>
      </w: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8" w:name="page69"/>
    <w:bookmarkEnd w:id="68"/>
    <w:p>
      <w:pPr>
        <w:ind w:right="140"/>
        <w:spacing w:after="0" w:line="255" w:lineRule="auto"/>
        <w:rPr>
          <w:sz w:val="20"/>
          <w:szCs w:val="20"/>
          <w:color w:val="auto"/>
        </w:rPr>
      </w:pPr>
      <w:r>
        <w:rPr>
          <w:rFonts w:ascii="Times New Roman" w:cs="Times New Roman" w:eastAsia="Times New Roman" w:hAnsi="Times New Roman"/>
          <w:sz w:val="18"/>
          <w:szCs w:val="18"/>
          <w:color w:val="auto"/>
        </w:rPr>
        <w:t>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 under our Charter, we have sufficient financial resources to undertake the opportunity and the opportunity would be in line with our business.</w:t>
      </w:r>
    </w:p>
    <w:p>
      <w:pPr>
        <w:spacing w:after="0" w:line="21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courts of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86"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1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2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8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9" w:name="page70"/>
    <w:bookmarkEnd w:id="69"/>
    <w:p>
      <w:pPr>
        <w:ind w:right="340"/>
        <w:spacing w:after="0" w:line="282" w:lineRule="auto"/>
        <w:rPr>
          <w:sz w:val="20"/>
          <w:szCs w:val="20"/>
          <w:color w:val="auto"/>
        </w:rPr>
      </w:pPr>
      <w:r>
        <w:rPr>
          <w:rFonts w:ascii="Times New Roman" w:cs="Times New Roman" w:eastAsia="Times New Roman" w:hAnsi="Times New Roman"/>
          <w:sz w:val="18"/>
          <w:szCs w:val="18"/>
          <w:color w:val="auto"/>
        </w:rPr>
        <w:t>which could have a material adverse effect on business, financial condition, results of operations and prospects. Any adverse determination in litigation could also subject us to significant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exercise of registration rights may adversely affect the market price of our securities.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common stock in the public market could occur at any time. In addition, certain registration rights holders can request underwritten offerings to sell their securities. These sales, or the perception in the market that the holders of a large number of securities intend to sell securities, could reduce the market price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the Holdings Second Amended and Restated LLC Agreement and the terms of the Exchange Agreement entered into in connection with the Business Combination, the Class B Units of Holdings may each be 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 therefore, there is no cash or other consideration received by the Company. The shares of Class A Common Stock issued by the Company in such exchanges are exempt from registration pursuant to Section 4(a)(2) of the Securities Act. During the quarter ended June 30, 2022, the Company issued 100,000 shares of Class A Common Stock upon the exchange of the same number of Class B Units and the cancellation of the same number of shares of Class B Common Stock held by the exchanging stockholder.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0" w:name="page71"/>
    <w:bookmarkEnd w:id="70"/>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CompoSecure, Inc.</w:t>
      </w:r>
    </w:p>
    <w:p>
      <w:pPr>
        <w:spacing w:after="0" w:line="200" w:lineRule="exact"/>
        <w:rPr>
          <w:sz w:val="20"/>
          <w:szCs w:val="20"/>
          <w:color w:val="auto"/>
        </w:rPr>
      </w:pPr>
    </w:p>
    <w:p>
      <w:pPr>
        <w:spacing w:after="0" w:line="295"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C. Wilk</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Timothy Fitzsimmons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23" w:right="6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62"/>
        </w:trPr>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240" w:type="dxa"/>
            <w:vAlign w:val="bottom"/>
            <w:gridSpan w:val="5"/>
          </w:tcPr>
          <w:p>
            <w:pPr>
              <w:ind w:left="218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507"/>
        </w:trPr>
        <w:tc>
          <w:tcPr>
            <w:tcW w:w="126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4"/>
                <w:szCs w:val="24"/>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439"/>
        </w:trPr>
        <w:tc>
          <w:tcPr>
            <w:tcW w:w="260" w:type="dxa"/>
            <w:vAlign w:val="bottom"/>
            <w:gridSpan w:val="2"/>
          </w:tcPr>
          <w:p>
            <w:pPr>
              <w:spacing w:after="0"/>
              <w:rPr>
                <w:sz w:val="24"/>
                <w:szCs w:val="24"/>
                <w:color w:val="auto"/>
              </w:rPr>
            </w:pPr>
          </w:p>
        </w:tc>
        <w:tc>
          <w:tcPr>
            <w:tcW w:w="4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400" w:type="dxa"/>
            <w:vAlign w:val="bottom"/>
            <w:gridSpan w:val="3"/>
          </w:tcPr>
          <w:p>
            <w:pPr>
              <w:spacing w:after="0"/>
              <w:rPr>
                <w:sz w:val="24"/>
                <w:szCs w:val="24"/>
                <w:color w:val="auto"/>
              </w:rPr>
            </w:pPr>
          </w:p>
        </w:tc>
      </w:tr>
      <w:tr>
        <w:trPr>
          <w:trHeight w:val="507"/>
        </w:trPr>
        <w:tc>
          <w:tcPr>
            <w:tcW w:w="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7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506"/>
        </w:trPr>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83"/>
        </w:trPr>
        <w:tc>
          <w:tcPr>
            <w:tcW w:w="22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860" w:type="dxa"/>
            <w:vAlign w:val="bottom"/>
            <w:tcBorders>
              <w:top w:val="single" w:sz="8" w:color="0000FF"/>
            </w:tcBorders>
            <w:gridSpan w:val="4"/>
          </w:tcPr>
          <w:p>
            <w:pPr>
              <w:spacing w:after="0"/>
              <w:rPr>
                <w:sz w:val="15"/>
                <w:szCs w:val="15"/>
                <w:color w:val="auto"/>
              </w:rPr>
            </w:pPr>
          </w:p>
        </w:tc>
        <w:tc>
          <w:tcPr>
            <w:tcW w:w="380" w:type="dxa"/>
            <w:vAlign w:val="bottom"/>
          </w:tcPr>
          <w:p>
            <w:pPr>
              <w:spacing w:after="0"/>
              <w:rPr>
                <w:sz w:val="15"/>
                <w:szCs w:val="15"/>
                <w:color w:val="auto"/>
              </w:rPr>
            </w:pPr>
          </w:p>
        </w:tc>
      </w:tr>
      <w:tr>
        <w:trPr>
          <w:trHeight w:val="507"/>
        </w:trPr>
        <w:tc>
          <w:tcPr>
            <w:tcW w:w="9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83"/>
        </w:trPr>
        <w:tc>
          <w:tcPr>
            <w:tcW w:w="22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800" w:type="dxa"/>
            <w:vAlign w:val="bottom"/>
            <w:tcBorders>
              <w:top w:val="single" w:sz="8" w:color="0000FF"/>
            </w:tcBorders>
            <w:gridSpan w:val="3"/>
          </w:tcPr>
          <w:p>
            <w:pPr>
              <w:spacing w:after="0"/>
              <w:rPr>
                <w:sz w:val="15"/>
                <w:szCs w:val="15"/>
                <w:color w:val="auto"/>
              </w:rPr>
            </w:pPr>
          </w:p>
        </w:tc>
        <w:tc>
          <w:tcPr>
            <w:tcW w:w="440" w:type="dxa"/>
            <w:vAlign w:val="bottom"/>
            <w:gridSpan w:val="2"/>
          </w:tcPr>
          <w:p>
            <w:pPr>
              <w:spacing w:after="0"/>
              <w:rPr>
                <w:sz w:val="15"/>
                <w:szCs w:val="15"/>
                <w:color w:val="auto"/>
              </w:rPr>
            </w:pPr>
          </w:p>
        </w:tc>
      </w:tr>
    </w:tbl>
    <w:p>
      <w:pPr>
        <w:spacing w:after="0" w:line="319" w:lineRule="exact"/>
        <w:rPr>
          <w:sz w:val="20"/>
          <w:szCs w:val="20"/>
          <w:color w:val="auto"/>
        </w:rPr>
      </w:pPr>
    </w:p>
    <w:p>
      <w:pPr>
        <w:ind w:left="1280" w:right="40" w:hanging="948"/>
        <w:spacing w:after="0" w:line="237"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CompoSecure, Inc.'s Form 10-Q for the quarter ended June 30, 2022, formatted in Extensible Business Reporting Language (XBRL): (i) Consolidated Balance Sheets as of June 30, 2022 (Unaudited) and December 31, 2021, (ii) Consolidated Statements of Operations (Unaudited) for the three and six months ended June 30, 2022 and June 30, 2021, (iii) Consolidated Statements of Comprehensive Income (Unaudited) for the three and six months ended June 30, 2022 and June 30, 2021 (iv) Consolidated Statements of Stockholders’ Equity (Unaudited) for the three and six months ended June 30, 2022 and June 30, 2021, as well as the year ended December 31, 2021, (v) Consolidated Statements of Cash Flows (Unaudited) for the six months ended June 30, 2022 and June 30, 2021, and (vi) Notes to Consolidated Financial Statements - Unaudited.</w:t>
      </w:r>
    </w:p>
    <w:p>
      <w:pPr>
        <w:spacing w:after="0" w:line="297" w:lineRule="exact"/>
        <w:rPr>
          <w:sz w:val="20"/>
          <w:szCs w:val="20"/>
          <w:color w:val="auto"/>
        </w:rPr>
      </w:pPr>
    </w:p>
    <w:p>
      <w:pPr>
        <w:ind w:left="1280" w:hanging="948"/>
        <w:spacing w:after="0"/>
        <w:tabs>
          <w:tab w:leader="none" w:pos="12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7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left="260" w:hanging="234"/>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Release 33-8238, Exhibits 32.1 and 32.2 are being furnished and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0920"/>
          </w:cols>
          <w:pgMar w:left="320" w:top="923" w:right="65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C. Wilk, certify that:</w:t>
      </w:r>
    </w:p>
    <w:p>
      <w:pPr>
        <w:spacing w:after="0" w:line="9"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CompoSecure, Inc.</w:t>
      </w:r>
    </w:p>
    <w:p>
      <w:pPr>
        <w:spacing w:after="0" w:line="9" w:lineRule="exact"/>
        <w:rPr>
          <w:rFonts w:ascii="Times New Roman" w:cs="Times New Roman" w:eastAsia="Times New Roman" w:hAnsi="Times New Roman"/>
          <w:sz w:val="18"/>
          <w:szCs w:val="18"/>
          <w:color w:val="auto"/>
        </w:rPr>
      </w:pPr>
    </w:p>
    <w:p>
      <w:pPr>
        <w:ind w:right="260" w:firstLine="8"/>
        <w:spacing w:after="0" w:line="250"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20" w:firstLine="8"/>
        <w:spacing w:after="0" w:line="250"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80" w:firstLine="8"/>
        <w:spacing w:after="0" w:line="250" w:lineRule="auto"/>
        <w:tabs>
          <w:tab w:leader="none" w:pos="3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9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560" w:hanging="4"/>
        <w:spacing w:after="0" w:line="250"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right="40" w:hanging="4"/>
        <w:spacing w:after="0" w:line="250" w:lineRule="auto"/>
        <w:tabs>
          <w:tab w:leader="none" w:pos="9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right="340" w:firstLine="8"/>
        <w:spacing w:after="0" w:line="250" w:lineRule="auto"/>
        <w:tabs>
          <w:tab w:leader="none" w:pos="31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800" w:hanging="4"/>
        <w:spacing w:after="0" w:line="250" w:lineRule="auto"/>
        <w:tabs>
          <w:tab w:leader="none" w:pos="9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80" w:hanging="4"/>
        <w:spacing w:after="0" w:line="250"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C. Wilk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Fitzsimmons, certify that:</w:t>
      </w:r>
    </w:p>
    <w:p>
      <w:pPr>
        <w:spacing w:after="0" w:line="9"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CompoSecure, Inc.</w:t>
      </w:r>
    </w:p>
    <w:p>
      <w:pPr>
        <w:spacing w:after="0" w:line="9" w:lineRule="exact"/>
        <w:rPr>
          <w:rFonts w:ascii="Times New Roman" w:cs="Times New Roman" w:eastAsia="Times New Roman" w:hAnsi="Times New Roman"/>
          <w:sz w:val="18"/>
          <w:szCs w:val="18"/>
          <w:color w:val="auto"/>
        </w:rPr>
      </w:pPr>
    </w:p>
    <w:p>
      <w:pPr>
        <w:ind w:right="260" w:firstLine="8"/>
        <w:spacing w:after="0" w:line="250" w:lineRule="auto"/>
        <w:tabs>
          <w:tab w:leader="none" w:pos="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420" w:firstLine="8"/>
        <w:spacing w:after="0" w:line="250" w:lineRule="auto"/>
        <w:tabs>
          <w:tab w:leader="none" w:pos="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80" w:firstLine="8"/>
        <w:spacing w:after="0" w:line="250" w:lineRule="auto"/>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660" w:right="60" w:hanging="4"/>
        <w:spacing w:after="0" w:line="250" w:lineRule="auto"/>
        <w:tabs>
          <w:tab w:leader="none" w:pos="9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660" w:right="560" w:hanging="4"/>
        <w:spacing w:after="0" w:line="250"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right="40" w:hanging="4"/>
        <w:spacing w:after="0" w:line="250" w:lineRule="auto"/>
        <w:tabs>
          <w:tab w:leader="none" w:pos="99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right="340" w:firstLine="8"/>
        <w:spacing w:after="0" w:line="250" w:lineRule="auto"/>
        <w:tabs>
          <w:tab w:leader="none" w:pos="3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800" w:hanging="4"/>
        <w:spacing w:after="0" w:line="250" w:lineRule="auto"/>
        <w:tabs>
          <w:tab w:leader="none" w:pos="97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480" w:hanging="4"/>
        <w:spacing w:after="0" w:line="250"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Timothy Fitzsimmons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CompoSecure, Inc., a Delaware corporation (the “Company”), on Form 10-Q for the quarter ended June 30, 2022, as filed with the Securities and Exchange Commission on the date hereof (the “Report”), I, Jonathan C. Wilk, President and Chief Executive Officer of the Company, hereby certify, pursuant to 18 U.S.C. § 1350, as adopted pursuant to Section 906 of the Sarbanes-Oxley Act of 2002, that to my knowledge:</w:t>
      </w:r>
    </w:p>
    <w:p>
      <w:pPr>
        <w:spacing w:after="0" w:line="207"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C. Wilk</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Jonathan C. Wilk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CompoSecure, Inc., a Delaware corporation (the “Company”), on Form 10-Q for the quarter ended June 30, 2022, as filed with the Securities and Exchange Commission on the date hereof (the “Report”), I, Timothy Fitzsimmons, Chief Financial Officer of the Company, hereby certify, pursuant to 18 U.S.C. § 1350, as adopted pursuant to Section 906 of the Sarbanes-Oxley Act of 2002, that to my knowledge:</w:t>
      </w:r>
    </w:p>
    <w:p>
      <w:pPr>
        <w:spacing w:after="0" w:line="203"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Timothy Fitzsimmons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Timothy Fitzsimmons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decimal"/>
      <w:start w:val="7"/>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
      <w:numFmt w:val="bullet"/>
      <w:start w:val="1"/>
    </w:lvl>
    <w:lvl w:ilvl="1">
      <w:lvlJc w:val="left"/>
      <w:lvlText w:val="◦"/>
      <w:numFmt w:val="bullet"/>
      <w:start w:val="1"/>
    </w:lvl>
  </w:abstractNum>
  <w:abstractNum w:abstractNumId="9">
    <w:nsid w:val="2443A858"/>
    <w:multiLevelType w:val="hybridMultilevel"/>
    <w:lvl w:ilvl="0">
      <w:lvlJc w:val="left"/>
      <w:lvlText w:val="(%1)"/>
      <w:numFmt w:val="lowerRoman"/>
      <w:start w:val="2"/>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1."/>
      <w:numFmt w:val="decimal"/>
      <w:start w:val="14"/>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lvl w:ilvl="1">
      <w:lvlJc w:val="left"/>
      <w:lvlText w:val="•"/>
      <w:numFmt w:val="bullet"/>
      <w:start w:val="1"/>
    </w:lvl>
  </w:abstractNum>
  <w:abstractNum w:abstractNumId="15">
    <w:nsid w:val="4353D0CD"/>
    <w:multiLevelType w:val="hybridMultilevel"/>
    <w:lvl w:ilvl="0">
      <w:lvlJc w:val="left"/>
      <w:lvlText w:val="•"/>
      <w:numFmt w:val="bullet"/>
      <w:start w:val="1"/>
    </w:lvl>
    <w:lvl w:ilvl="1">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upperLetter"/>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01"/>
    </w:lvl>
  </w:abstractNum>
  <w:abstractNum w:abstractNumId="29">
    <w:nsid w:val="22221A70"/>
    <w:multiLevelType w:val="hybridMultilevel"/>
    <w:lvl w:ilvl="0">
      <w:lvlJc w:val="left"/>
      <w:lvlText w:val="*"/>
      <w:numFmt w:val="bullet"/>
      <w:start w:val="1"/>
    </w:lvl>
    <w:lvl w:ilvl="1">
      <w:lvlJc w:val="left"/>
      <w:lvlText w:val="%2"/>
      <w:numFmt w:val="decimal"/>
      <w:start w:val="104"/>
    </w:lvl>
  </w:abstractNum>
  <w:abstractNum w:abstractNumId="30">
    <w:nsid w:val="4516DDE9"/>
    <w:multiLevelType w:val="hybridMultilevel"/>
    <w:lvl w:ilvl="0">
      <w:lvlJc w:val="left"/>
      <w:lvlText w:val="**"/>
      <w:numFmt w:val="bullet"/>
      <w:start w:val="1"/>
    </w:lvl>
    <w:lvl w:ilvl="1">
      <w:lvlJc w:val="left"/>
      <w:lvlText w:val="%2"/>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2022-08-09T17:02:04Z</dcterms:created>
  <dcterms:modified xsi:type="dcterms:W3CDTF">2022-08-09T17:02:04Z</dcterms:modified>
</cp:coreProperties>
</file>