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193675</wp:posOffset>
            </wp:positionH>
            <wp:positionV relativeFrom="page">
              <wp:posOffset>803275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822960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2461895</wp:posOffset>
            </wp:positionH>
            <wp:positionV relativeFrom="paragraph">
              <wp:posOffset>121920</wp:posOffset>
            </wp:positionV>
            <wp:extent cx="22364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6470" cy="698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2461895</wp:posOffset>
            </wp:positionH>
            <wp:positionV relativeFrom="paragraph">
              <wp:posOffset>137795</wp:posOffset>
            </wp:positionV>
            <wp:extent cx="223647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6470" cy="6985"/>
                    </a:xfrm>
                    <a:prstGeom prst="rect">
                      <a:avLst/>
                    </a:prstGeom>
                    <a:noFill/>
                  </pic:spPr>
                </pic:pic>
              </a:graphicData>
            </a:graphic>
          </wp:anchor>
        </w:drawing>
      </w: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8" w:lineRule="exact"/>
        <w:rPr>
          <w:sz w:val="24"/>
          <w:szCs w:val="24"/>
          <w:color w:val="auto"/>
        </w:rPr>
      </w:pPr>
    </w:p>
    <w:p>
      <w:pPr>
        <w:ind w:left="340" w:hanging="321"/>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quarterly period ended September 30,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48" w:lineRule="exact"/>
        <w:rPr>
          <w:sz w:val="24"/>
          <w:szCs w:val="24"/>
          <w:color w:val="auto"/>
        </w:rPr>
      </w:pPr>
    </w:p>
    <w:p>
      <w:pPr>
        <w:ind w:left="340" w:hanging="321"/>
        <w:spacing w:after="0"/>
        <w:tabs>
          <w:tab w:leader="none" w:pos="3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14" w:lineRule="exact"/>
        <w:rPr>
          <w:sz w:val="24"/>
          <w:szCs w:val="24"/>
          <w:color w:val="auto"/>
        </w:rPr>
      </w:pPr>
    </w:p>
    <w:tbl>
      <w:tblPr>
        <w:tblLayout w:type="fixed"/>
        <w:tblInd w:w="3880" w:type="dxa"/>
        <w:tblCellMar>
          <w:top w:w="0" w:type="dxa"/>
          <w:left w:w="0" w:type="dxa"/>
          <w:bottom w:w="0" w:type="dxa"/>
          <w:right w:w="0" w:type="dxa"/>
        </w:tblCellMar>
      </w:tblPr>
      <w:tr>
        <w:trPr>
          <w:trHeight w:val="167"/>
        </w:trPr>
        <w:tc>
          <w:tcPr>
            <w:tcW w:w="2440" w:type="dxa"/>
            <w:vAlign w:val="bottom"/>
          </w:tcPr>
          <w:p>
            <w:pPr>
              <w:ind w:left="840"/>
              <w:spacing w:after="0"/>
              <w:rPr>
                <w:sz w:val="20"/>
                <w:szCs w:val="20"/>
                <w:color w:val="auto"/>
              </w:rPr>
            </w:pPr>
            <w:r>
              <w:rPr>
                <w:rFonts w:ascii="Times New Roman" w:cs="Times New Roman" w:eastAsia="Times New Roman" w:hAnsi="Times New Roman"/>
                <w:sz w:val="13"/>
                <w:szCs w:val="13"/>
                <w:b w:val="1"/>
                <w:bCs w:val="1"/>
                <w:color w:val="auto"/>
              </w:rPr>
              <w:t>For transition period from</w:t>
            </w:r>
          </w:p>
        </w:tc>
        <w:tc>
          <w:tcPr>
            <w:tcW w:w="10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w:t>
            </w:r>
          </w:p>
        </w:tc>
      </w:tr>
      <w:tr>
        <w:trPr>
          <w:trHeight w:val="223"/>
        </w:trPr>
        <w:tc>
          <w:tcPr>
            <w:tcW w:w="3520" w:type="dxa"/>
            <w:vAlign w:val="bottom"/>
            <w:gridSpan w:val="2"/>
          </w:tcPr>
          <w:p>
            <w:pPr>
              <w:ind w:left="780"/>
              <w:spacing w:after="0"/>
              <w:rPr>
                <w:sz w:val="20"/>
                <w:szCs w:val="20"/>
                <w:color w:val="auto"/>
              </w:rPr>
            </w:pPr>
            <w:r>
              <w:rPr>
                <w:rFonts w:ascii="Times New Roman" w:cs="Times New Roman" w:eastAsia="Times New Roman" w:hAnsi="Times New Roman"/>
                <w:sz w:val="13"/>
                <w:szCs w:val="13"/>
                <w:b w:val="1"/>
                <w:bCs w:val="1"/>
                <w:color w:val="auto"/>
              </w:rPr>
              <w:t>Commission File Number 001-39687</w:t>
            </w:r>
          </w:p>
        </w:tc>
      </w:tr>
      <w:tr>
        <w:trPr>
          <w:trHeight w:val="153"/>
        </w:trPr>
        <w:tc>
          <w:tcPr>
            <w:tcW w:w="2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bl>
    <w:p>
      <w:pPr>
        <w:spacing w:after="0" w:line="227" w:lineRule="exact"/>
        <w:rPr>
          <w:sz w:val="24"/>
          <w:szCs w:val="24"/>
          <w:color w:val="auto"/>
        </w:rPr>
      </w:pPr>
    </w:p>
    <w:tbl>
      <w:tblPr>
        <w:tblLayout w:type="fixed"/>
        <w:tblInd w:w="1940" w:type="dxa"/>
        <w:tblCellMar>
          <w:top w:w="0" w:type="dxa"/>
          <w:left w:w="0" w:type="dxa"/>
          <w:bottom w:w="0" w:type="dxa"/>
          <w:right w:w="0" w:type="dxa"/>
        </w:tblCellMar>
      </w:tblPr>
      <w:tr>
        <w:trPr>
          <w:trHeight w:val="337"/>
        </w:trPr>
        <w:tc>
          <w:tcPr>
            <w:tcW w:w="1940" w:type="dxa"/>
            <w:vAlign w:val="bottom"/>
          </w:tcPr>
          <w:p>
            <w:pPr>
              <w:spacing w:after="0"/>
              <w:rPr>
                <w:sz w:val="24"/>
                <w:szCs w:val="24"/>
                <w:color w:val="auto"/>
              </w:rPr>
            </w:pPr>
          </w:p>
        </w:tc>
        <w:tc>
          <w:tcPr>
            <w:tcW w:w="5260" w:type="dxa"/>
            <w:vAlign w:val="bottom"/>
            <w:gridSpan w:val="2"/>
          </w:tcPr>
          <w:p>
            <w:pPr>
              <w:jc w:val="center"/>
              <w:ind w:right="1649"/>
              <w:spacing w:after="0"/>
              <w:rPr>
                <w:sz w:val="20"/>
                <w:szCs w:val="20"/>
                <w:color w:val="auto"/>
              </w:rPr>
            </w:pPr>
            <w:r>
              <w:rPr>
                <w:rFonts w:ascii="Times New Roman" w:cs="Times New Roman" w:eastAsia="Times New Roman" w:hAnsi="Times New Roman"/>
                <w:sz w:val="25"/>
                <w:szCs w:val="25"/>
                <w:b w:val="1"/>
                <w:bCs w:val="1"/>
                <w:color w:val="auto"/>
              </w:rPr>
              <w:t>CompoSecure, Inc.</w:t>
            </w:r>
          </w:p>
        </w:tc>
      </w:tr>
      <w:tr>
        <w:trPr>
          <w:trHeight w:val="160"/>
        </w:trPr>
        <w:tc>
          <w:tcPr>
            <w:tcW w:w="1940" w:type="dxa"/>
            <w:vAlign w:val="bottom"/>
          </w:tcPr>
          <w:p>
            <w:pPr>
              <w:spacing w:after="0"/>
              <w:rPr>
                <w:sz w:val="13"/>
                <w:szCs w:val="13"/>
                <w:color w:val="auto"/>
              </w:rPr>
            </w:pPr>
          </w:p>
        </w:tc>
        <w:tc>
          <w:tcPr>
            <w:tcW w:w="5260" w:type="dxa"/>
            <w:vAlign w:val="bottom"/>
            <w:gridSpan w:val="2"/>
          </w:tcPr>
          <w:p>
            <w:pPr>
              <w:jc w:val="center"/>
              <w:ind w:right="1649"/>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tc>
      </w:tr>
      <w:tr>
        <w:trPr>
          <w:trHeight w:val="210"/>
        </w:trPr>
        <w:tc>
          <w:tcPr>
            <w:tcW w:w="1940" w:type="dxa"/>
            <w:vAlign w:val="bottom"/>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740" w:type="dxa"/>
            <w:vAlign w:val="bottom"/>
          </w:tcPr>
          <w:p>
            <w:pPr>
              <w:spacing w:after="0"/>
              <w:rPr>
                <w:sz w:val="18"/>
                <w:szCs w:val="18"/>
                <w:color w:val="auto"/>
              </w:rPr>
            </w:pPr>
          </w:p>
        </w:tc>
      </w:tr>
      <w:tr>
        <w:trPr>
          <w:trHeight w:val="393"/>
        </w:trPr>
        <w:tc>
          <w:tcPr>
            <w:tcW w:w="194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260" w:type="dxa"/>
            <w:vAlign w:val="bottom"/>
            <w:gridSpan w:val="2"/>
          </w:tcPr>
          <w:p>
            <w:pPr>
              <w:jc w:val="center"/>
              <w:ind w:left="3862"/>
              <w:spacing w:after="0"/>
              <w:rPr>
                <w:sz w:val="20"/>
                <w:szCs w:val="20"/>
                <w:color w:val="auto"/>
              </w:rPr>
            </w:pPr>
            <w:r>
              <w:rPr>
                <w:rFonts w:ascii="Times New Roman" w:cs="Times New Roman" w:eastAsia="Times New Roman" w:hAnsi="Times New Roman"/>
                <w:sz w:val="14"/>
                <w:szCs w:val="14"/>
                <w:b w:val="1"/>
                <w:bCs w:val="1"/>
                <w:color w:val="auto"/>
              </w:rPr>
              <w:t>85-2749902</w:t>
            </w:r>
          </w:p>
        </w:tc>
      </w:tr>
      <w:tr>
        <w:trPr>
          <w:trHeight w:val="240"/>
        </w:trPr>
        <w:tc>
          <w:tcPr>
            <w:tcW w:w="194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3520" w:type="dxa"/>
            <w:vAlign w:val="bottom"/>
          </w:tcPr>
          <w:p>
            <w:pPr>
              <w:spacing w:after="0"/>
              <w:rPr>
                <w:sz w:val="20"/>
                <w:szCs w:val="20"/>
                <w:color w:val="auto"/>
              </w:rPr>
            </w:pPr>
          </w:p>
        </w:tc>
        <w:tc>
          <w:tcPr>
            <w:tcW w:w="174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(I.R.S. Employer</w:t>
            </w:r>
          </w:p>
        </w:tc>
      </w:tr>
      <w:tr>
        <w:trPr>
          <w:trHeight w:val="184"/>
        </w:trPr>
        <w:tc>
          <w:tcPr>
            <w:tcW w:w="194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520" w:type="dxa"/>
            <w:vAlign w:val="bottom"/>
          </w:tcPr>
          <w:p>
            <w:pPr>
              <w:spacing w:after="0"/>
              <w:rPr>
                <w:sz w:val="16"/>
                <w:szCs w:val="16"/>
                <w:color w:val="auto"/>
              </w:rPr>
            </w:pPr>
          </w:p>
        </w:tc>
        <w:tc>
          <w:tcPr>
            <w:tcW w:w="174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366"/>
        </w:trPr>
        <w:tc>
          <w:tcPr>
            <w:tcW w:w="1940" w:type="dxa"/>
            <w:vAlign w:val="bottom"/>
          </w:tcPr>
          <w:p>
            <w:pPr>
              <w:spacing w:after="0"/>
              <w:rPr>
                <w:sz w:val="24"/>
                <w:szCs w:val="24"/>
                <w:color w:val="auto"/>
              </w:rPr>
            </w:pPr>
          </w:p>
        </w:tc>
        <w:tc>
          <w:tcPr>
            <w:tcW w:w="5260" w:type="dxa"/>
            <w:vAlign w:val="bottom"/>
            <w:gridSpan w:val="2"/>
          </w:tcPr>
          <w:p>
            <w:pPr>
              <w:jc w:val="center"/>
              <w:ind w:right="1649"/>
              <w:spacing w:after="0"/>
              <w:rPr>
                <w:sz w:val="20"/>
                <w:szCs w:val="20"/>
                <w:color w:val="auto"/>
              </w:rPr>
            </w:pPr>
            <w:r>
              <w:rPr>
                <w:rFonts w:ascii="Times New Roman" w:cs="Times New Roman" w:eastAsia="Times New Roman" w:hAnsi="Times New Roman"/>
                <w:sz w:val="14"/>
                <w:szCs w:val="14"/>
                <w:b w:val="1"/>
                <w:bCs w:val="1"/>
                <w:color w:val="auto"/>
              </w:rPr>
              <w:t>309 Pierce St.</w:t>
            </w:r>
          </w:p>
        </w:tc>
      </w:tr>
      <w:tr>
        <w:trPr>
          <w:trHeight w:val="180"/>
        </w:trPr>
        <w:tc>
          <w:tcPr>
            <w:tcW w:w="1940" w:type="dxa"/>
            <w:vAlign w:val="bottom"/>
          </w:tcPr>
          <w:p>
            <w:pPr>
              <w:spacing w:after="0"/>
              <w:rPr>
                <w:sz w:val="15"/>
                <w:szCs w:val="15"/>
                <w:color w:val="auto"/>
              </w:rPr>
            </w:pPr>
          </w:p>
        </w:tc>
        <w:tc>
          <w:tcPr>
            <w:tcW w:w="5260" w:type="dxa"/>
            <w:vAlign w:val="bottom"/>
            <w:gridSpan w:val="2"/>
          </w:tcPr>
          <w:p>
            <w:pPr>
              <w:jc w:val="center"/>
              <w:ind w:right="1669"/>
              <w:spacing w:after="0"/>
              <w:rPr>
                <w:sz w:val="20"/>
                <w:szCs w:val="20"/>
                <w:color w:val="auto"/>
              </w:rPr>
            </w:pPr>
            <w:r>
              <w:rPr>
                <w:rFonts w:ascii="Times New Roman" w:cs="Times New Roman" w:eastAsia="Times New Roman" w:hAnsi="Times New Roman"/>
                <w:sz w:val="14"/>
                <w:szCs w:val="14"/>
                <w:b w:val="1"/>
                <w:bCs w:val="1"/>
                <w:color w:val="auto"/>
              </w:rPr>
              <w:t>Somerset, NJ 08873</w:t>
            </w:r>
          </w:p>
        </w:tc>
      </w:tr>
      <w:tr>
        <w:trPr>
          <w:trHeight w:val="186"/>
        </w:trPr>
        <w:tc>
          <w:tcPr>
            <w:tcW w:w="1940" w:type="dxa"/>
            <w:vAlign w:val="bottom"/>
          </w:tcPr>
          <w:p>
            <w:pPr>
              <w:spacing w:after="0"/>
              <w:rPr>
                <w:sz w:val="16"/>
                <w:szCs w:val="16"/>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(908) 518-0500</w:t>
            </w:r>
          </w:p>
        </w:tc>
        <w:tc>
          <w:tcPr>
            <w:tcW w:w="1740" w:type="dxa"/>
            <w:vAlign w:val="bottom"/>
          </w:tcPr>
          <w:p>
            <w:pPr>
              <w:spacing w:after="0"/>
              <w:rPr>
                <w:sz w:val="16"/>
                <w:szCs w:val="16"/>
                <w:color w:val="auto"/>
              </w:rPr>
            </w:pPr>
          </w:p>
        </w:tc>
      </w:tr>
    </w:tbl>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2461895</wp:posOffset>
            </wp:positionH>
            <wp:positionV relativeFrom="paragraph">
              <wp:posOffset>163195</wp:posOffset>
            </wp:positionV>
            <wp:extent cx="22364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6470" cy="698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2540" w:type="dxa"/>
            <w:vAlign w:val="bottom"/>
          </w:tcPr>
          <w:p>
            <w:pPr>
              <w:spacing w:after="0"/>
              <w:rPr>
                <w:sz w:val="10"/>
                <w:szCs w:val="10"/>
                <w:color w:val="auto"/>
              </w:rPr>
            </w:pPr>
          </w:p>
        </w:tc>
        <w:tc>
          <w:tcPr>
            <w:tcW w:w="3240" w:type="dxa"/>
            <w:vAlign w:val="bottom"/>
            <w:gridSpan w:val="2"/>
          </w:tcPr>
          <w:p>
            <w:pPr>
              <w:jc w:val="center"/>
              <w:ind w:right="240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 Symbol</w:t>
            </w:r>
          </w:p>
        </w:tc>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20"/>
        </w:trPr>
        <w:tc>
          <w:tcPr>
            <w:tcW w:w="2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4"/>
        </w:trPr>
        <w:tc>
          <w:tcPr>
            <w:tcW w:w="5780" w:type="dxa"/>
            <w:vAlign w:val="bottom"/>
            <w:gridSpan w:val="3"/>
          </w:tcPr>
          <w:p>
            <w:pPr>
              <w:jc w:val="center"/>
              <w:ind w:left="83"/>
              <w:spacing w:after="0"/>
              <w:rPr>
                <w:sz w:val="20"/>
                <w:szCs w:val="20"/>
                <w:color w:val="auto"/>
              </w:rPr>
            </w:pPr>
            <w:r>
              <w:rPr>
                <w:rFonts w:ascii="Times New Roman" w:cs="Times New Roman" w:eastAsia="Times New Roman" w:hAnsi="Times New Roman"/>
                <w:sz w:val="11"/>
                <w:szCs w:val="11"/>
                <w:color w:val="auto"/>
              </w:rPr>
              <w:t>Class A Common Stock, $0.0001 par value per share</w:t>
            </w:r>
          </w:p>
        </w:tc>
        <w:tc>
          <w:tcPr>
            <w:tcW w:w="660" w:type="dxa"/>
            <w:vAlign w:val="bottom"/>
          </w:tcPr>
          <w:p>
            <w:pPr>
              <w:spacing w:after="0"/>
              <w:rPr>
                <w:sz w:val="15"/>
                <w:szCs w:val="15"/>
                <w:color w:val="auto"/>
              </w:rPr>
            </w:pPr>
          </w:p>
        </w:tc>
        <w:tc>
          <w:tcPr>
            <w:tcW w:w="1420" w:type="dxa"/>
            <w:vAlign w:val="bottom"/>
            <w:gridSpan w:val="2"/>
          </w:tcPr>
          <w:p>
            <w:pPr>
              <w:jc w:val="center"/>
              <w:ind w:right="620"/>
              <w:spacing w:after="0"/>
              <w:rPr>
                <w:sz w:val="20"/>
                <w:szCs w:val="20"/>
                <w:color w:val="auto"/>
              </w:rPr>
            </w:pPr>
            <w:r>
              <w:rPr>
                <w:rFonts w:ascii="Times New Roman" w:cs="Times New Roman" w:eastAsia="Times New Roman" w:hAnsi="Times New Roman"/>
                <w:sz w:val="11"/>
                <w:szCs w:val="11"/>
                <w:color w:val="auto"/>
              </w:rPr>
              <w:t>CMPO</w:t>
            </w:r>
          </w:p>
        </w:tc>
        <w:tc>
          <w:tcPr>
            <w:tcW w:w="660" w:type="dxa"/>
            <w:vAlign w:val="bottom"/>
          </w:tcPr>
          <w:p>
            <w:pPr>
              <w:spacing w:after="0"/>
              <w:rPr>
                <w:sz w:val="15"/>
                <w:szCs w:val="15"/>
                <w:color w:val="auto"/>
              </w:rPr>
            </w:pPr>
          </w:p>
        </w:tc>
        <w:tc>
          <w:tcPr>
            <w:tcW w:w="2760" w:type="dxa"/>
            <w:vAlign w:val="bottom"/>
            <w:gridSpan w:val="2"/>
          </w:tcPr>
          <w:p>
            <w:pPr>
              <w:jc w:val="center"/>
              <w:ind w:right="680"/>
              <w:spacing w:after="0"/>
              <w:rPr>
                <w:sz w:val="20"/>
                <w:szCs w:val="20"/>
                <w:color w:val="auto"/>
              </w:rPr>
            </w:pPr>
            <w:r>
              <w:rPr>
                <w:rFonts w:ascii="Times New Roman" w:cs="Times New Roman" w:eastAsia="Times New Roman" w:hAnsi="Times New Roman"/>
                <w:sz w:val="11"/>
                <w:szCs w:val="11"/>
                <w:color w:val="auto"/>
              </w:rPr>
              <w:t>The Nasdaq Global Market</w:t>
            </w:r>
          </w:p>
        </w:tc>
      </w:tr>
      <w:tr>
        <w:trPr>
          <w:trHeight w:val="180"/>
        </w:trPr>
        <w:tc>
          <w:tcPr>
            <w:tcW w:w="5780" w:type="dxa"/>
            <w:vAlign w:val="bottom"/>
            <w:gridSpan w:val="3"/>
          </w:tcPr>
          <w:p>
            <w:pPr>
              <w:jc w:val="center"/>
              <w:ind w:left="83"/>
              <w:spacing w:after="0"/>
              <w:rPr>
                <w:sz w:val="20"/>
                <w:szCs w:val="20"/>
                <w:color w:val="auto"/>
              </w:rPr>
            </w:pPr>
            <w:r>
              <w:rPr>
                <w:rFonts w:ascii="Times New Roman" w:cs="Times New Roman" w:eastAsia="Times New Roman" w:hAnsi="Times New Roman"/>
                <w:sz w:val="11"/>
                <w:szCs w:val="11"/>
                <w:color w:val="auto"/>
              </w:rPr>
              <w:t>Redeemable Warrants, each whole warrant exercisable for one share of Class A Common Stock</w:t>
            </w:r>
          </w:p>
        </w:tc>
        <w:tc>
          <w:tcPr>
            <w:tcW w:w="660" w:type="dxa"/>
            <w:vAlign w:val="bottom"/>
          </w:tcPr>
          <w:p>
            <w:pPr>
              <w:spacing w:after="0"/>
              <w:rPr>
                <w:sz w:val="15"/>
                <w:szCs w:val="15"/>
                <w:color w:val="auto"/>
              </w:rPr>
            </w:pPr>
          </w:p>
        </w:tc>
        <w:tc>
          <w:tcPr>
            <w:tcW w:w="1420" w:type="dxa"/>
            <w:vAlign w:val="bottom"/>
            <w:gridSpan w:val="2"/>
          </w:tcPr>
          <w:p>
            <w:pPr>
              <w:jc w:val="center"/>
              <w:ind w:right="640"/>
              <w:spacing w:after="0"/>
              <w:rPr>
                <w:sz w:val="20"/>
                <w:szCs w:val="20"/>
                <w:color w:val="auto"/>
              </w:rPr>
            </w:pPr>
            <w:r>
              <w:rPr>
                <w:rFonts w:ascii="Times New Roman" w:cs="Times New Roman" w:eastAsia="Times New Roman" w:hAnsi="Times New Roman"/>
                <w:sz w:val="11"/>
                <w:szCs w:val="11"/>
                <w:color w:val="auto"/>
              </w:rPr>
              <w:t>CMPOW</w:t>
            </w:r>
          </w:p>
        </w:tc>
        <w:tc>
          <w:tcPr>
            <w:tcW w:w="660" w:type="dxa"/>
            <w:vAlign w:val="bottom"/>
          </w:tcPr>
          <w:p>
            <w:pPr>
              <w:spacing w:after="0"/>
              <w:rPr>
                <w:sz w:val="15"/>
                <w:szCs w:val="15"/>
                <w:color w:val="auto"/>
              </w:rPr>
            </w:pPr>
          </w:p>
        </w:tc>
        <w:tc>
          <w:tcPr>
            <w:tcW w:w="2760" w:type="dxa"/>
            <w:vAlign w:val="bottom"/>
            <w:gridSpan w:val="2"/>
          </w:tcPr>
          <w:p>
            <w:pPr>
              <w:jc w:val="center"/>
              <w:ind w:right="680"/>
              <w:spacing w:after="0"/>
              <w:rPr>
                <w:sz w:val="20"/>
                <w:szCs w:val="20"/>
                <w:color w:val="auto"/>
              </w:rPr>
            </w:pPr>
            <w:r>
              <w:rPr>
                <w:rFonts w:ascii="Times New Roman" w:cs="Times New Roman" w:eastAsia="Times New Roman" w:hAnsi="Times New Roman"/>
                <w:sz w:val="11"/>
                <w:szCs w:val="11"/>
                <w:color w:val="auto"/>
              </w:rPr>
              <w:t>The Nasdaq Global Market</w:t>
            </w:r>
          </w:p>
        </w:tc>
      </w:tr>
      <w:tr>
        <w:trPr>
          <w:trHeight w:val="1272"/>
        </w:trPr>
        <w:tc>
          <w:tcPr>
            <w:tcW w:w="25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 w:name="page2"/>
    <w:bookmarkEnd w:id="1"/>
    <w:p>
      <w:pPr>
        <w:ind w:firstLine="287"/>
        <w:spacing w:after="0" w:line="21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9" w:lineRule="exact"/>
        <w:rPr>
          <w:sz w:val="20"/>
          <w:szCs w:val="20"/>
          <w:color w:val="auto"/>
        </w:rPr>
      </w:pPr>
    </w:p>
    <w:p>
      <w:pPr>
        <w:ind w:firstLine="287"/>
        <w:spacing w:after="0" w:line="21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0"/>
          <w:szCs w:val="20"/>
          <w:color w:val="auto"/>
        </w:rPr>
      </w:pPr>
    </w:p>
    <w:p>
      <w:pPr>
        <w:ind w:firstLine="287"/>
        <w:spacing w:after="0" w:line="33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2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740" w:type="dxa"/>
            <w:vAlign w:val="bottom"/>
          </w:tcPr>
          <w:p>
            <w:pPr>
              <w:ind w:left="2700"/>
              <w:spacing w:after="0"/>
              <w:rPr>
                <w:sz w:val="20"/>
                <w:szCs w:val="20"/>
                <w:color w:val="auto"/>
              </w:rPr>
            </w:pPr>
            <w:r>
              <w:rPr>
                <w:rFonts w:ascii="Times New Roman" w:cs="Times New Roman" w:eastAsia="Times New Roman" w:hAnsi="Times New Roman"/>
                <w:sz w:val="14"/>
                <w:szCs w:val="14"/>
                <w:color w:val="auto"/>
              </w:rPr>
              <w:t>Accelerated filer</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3"/>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2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740" w:type="dxa"/>
            <w:vAlign w:val="bottom"/>
          </w:tcPr>
          <w:p>
            <w:pPr>
              <w:ind w:left="27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7"/>
        </w:trPr>
        <w:tc>
          <w:tcPr>
            <w:tcW w:w="16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740" w:type="dxa"/>
            <w:vAlign w:val="bottom"/>
          </w:tcPr>
          <w:p>
            <w:pPr>
              <w:ind w:left="2700"/>
              <w:spacing w:after="0"/>
              <w:rPr>
                <w:sz w:val="20"/>
                <w:szCs w:val="20"/>
                <w:color w:val="auto"/>
              </w:rPr>
            </w:pPr>
            <w:r>
              <w:rPr>
                <w:rFonts w:ascii="Times New Roman" w:cs="Times New Roman" w:eastAsia="Times New Roman" w:hAnsi="Times New Roman"/>
                <w:sz w:val="14"/>
                <w:szCs w:val="14"/>
                <w:color w:val="auto"/>
              </w:rPr>
              <w:t>Emerging growth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8" w:lineRule="exact"/>
        <w:rPr>
          <w:sz w:val="20"/>
          <w:szCs w:val="20"/>
          <w:color w:val="auto"/>
        </w:rPr>
      </w:pPr>
    </w:p>
    <w:p>
      <w:pPr>
        <w:ind w:firstLine="287"/>
        <w:spacing w:after="0" w:line="20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8" w:lineRule="exact"/>
        <w:rPr>
          <w:sz w:val="20"/>
          <w:szCs w:val="20"/>
          <w:color w:val="auto"/>
        </w:rPr>
      </w:pPr>
    </w:p>
    <w:p>
      <w:pPr>
        <w:ind w:left="300"/>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5"/>
          <w:szCs w:val="15"/>
          <w:color w:val="auto"/>
        </w:rPr>
        <w:t>☒</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As of November 06, 2024, there were 88,131,008 shares of the registrant's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1073150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142875</wp:posOffset>
            </wp:positionV>
            <wp:extent cx="71615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163195</wp:posOffset>
            </wp:positionV>
            <wp:extent cx="71615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292"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6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0000FF"/>
              </w:rPr>
              <w:t>Part I.</w:t>
            </w:r>
          </w:p>
        </w:tc>
        <w:tc>
          <w:tcPr>
            <w:tcW w:w="660" w:type="dxa"/>
            <w:vAlign w:val="bottom"/>
            <w:gridSpan w:val="7"/>
            <w:vMerge w:val="restart"/>
          </w:tcPr>
          <w:p>
            <w:pPr>
              <w:spacing w:after="0"/>
              <w:rPr>
                <w:sz w:val="2"/>
                <w:szCs w:val="2"/>
                <w:color w:val="auto"/>
              </w:rPr>
            </w:pPr>
          </w:p>
        </w:tc>
        <w:tc>
          <w:tcPr>
            <w:tcW w:w="134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0000FF"/>
                <w:w w:val="99"/>
              </w:rPr>
              <w:t>Financial Information</w:t>
            </w:r>
          </w:p>
        </w:tc>
        <w:tc>
          <w:tcPr>
            <w:tcW w:w="8140" w:type="dxa"/>
            <w:vAlign w:val="bottom"/>
            <w:gridSpan w:val="12"/>
            <w:vMerge w:val="restart"/>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0" w:type="dxa"/>
            <w:vAlign w:val="bottom"/>
            <w:tcBorders>
              <w:bottom w:val="single" w:sz="8" w:color="0000FF"/>
            </w:tcBorders>
            <w:vMerge w:val="continue"/>
          </w:tcPr>
          <w:p>
            <w:pPr>
              <w:spacing w:after="0"/>
              <w:rPr>
                <w:sz w:val="13"/>
                <w:szCs w:val="13"/>
                <w:color w:val="auto"/>
              </w:rPr>
            </w:pPr>
          </w:p>
        </w:tc>
        <w:tc>
          <w:tcPr>
            <w:tcW w:w="660" w:type="dxa"/>
            <w:vAlign w:val="bottom"/>
            <w:gridSpan w:val="7"/>
            <w:vMerge w:val="continue"/>
          </w:tcPr>
          <w:p>
            <w:pPr>
              <w:spacing w:after="0"/>
              <w:rPr>
                <w:sz w:val="13"/>
                <w:szCs w:val="13"/>
                <w:color w:val="auto"/>
              </w:rPr>
            </w:pPr>
          </w:p>
        </w:tc>
        <w:tc>
          <w:tcPr>
            <w:tcW w:w="1340" w:type="dxa"/>
            <w:vAlign w:val="bottom"/>
            <w:tcBorders>
              <w:bottom w:val="single" w:sz="8" w:color="0000FF"/>
            </w:tcBorders>
            <w:gridSpan w:val="7"/>
            <w:vMerge w:val="continue"/>
          </w:tcPr>
          <w:p>
            <w:pPr>
              <w:spacing w:after="0"/>
              <w:rPr>
                <w:sz w:val="13"/>
                <w:szCs w:val="13"/>
                <w:color w:val="auto"/>
              </w:rPr>
            </w:pPr>
          </w:p>
        </w:tc>
        <w:tc>
          <w:tcPr>
            <w:tcW w:w="8140" w:type="dxa"/>
            <w:vAlign w:val="bottom"/>
            <w:gridSpan w:val="12"/>
            <w:vMerge w:val="continue"/>
          </w:tcPr>
          <w:p>
            <w:pPr>
              <w:spacing w:after="0"/>
              <w:rPr>
                <w:sz w:val="13"/>
                <w:szCs w:val="13"/>
                <w:color w:val="auto"/>
              </w:rPr>
            </w:pPr>
          </w:p>
        </w:tc>
        <w:tc>
          <w:tcPr>
            <w:tcW w:w="68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0000FF"/>
                <w:w w:val="95"/>
              </w:rPr>
              <w:t>Item 1.</w:t>
            </w:r>
          </w:p>
        </w:tc>
        <w:tc>
          <w:tcPr>
            <w:tcW w:w="200" w:type="dxa"/>
            <w:vAlign w:val="bottom"/>
          </w:tcPr>
          <w:p>
            <w:pPr>
              <w:spacing w:after="0"/>
              <w:rPr>
                <w:sz w:val="17"/>
                <w:szCs w:val="17"/>
                <w:color w:val="auto"/>
              </w:rPr>
            </w:pPr>
          </w:p>
        </w:tc>
        <w:tc>
          <w:tcPr>
            <w:tcW w:w="928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Financial Statements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8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Consolidated Balance Sheets (Unaudited)</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Consolidated Statements of Operations (Unaudited)</w:t>
            </w:r>
          </w:p>
        </w:tc>
        <w:tc>
          <w:tcPr>
            <w:tcW w:w="6340" w:type="dxa"/>
            <w:vAlign w:val="bottom"/>
            <w:gridSpan w:val="8"/>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 (Loss) (Unaudited)</w:t>
            </w:r>
          </w:p>
        </w:tc>
        <w:tc>
          <w:tcPr>
            <w:tcW w:w="5220" w:type="dxa"/>
            <w:vAlign w:val="bottom"/>
            <w:gridSpan w:val="2"/>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8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Deficit (Unaudited)</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8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Consolidated Statements of Cash Flows (Unaudited)</w:t>
            </w:r>
          </w:p>
        </w:tc>
        <w:tc>
          <w:tcPr>
            <w:tcW w:w="540" w:type="dxa"/>
            <w:vAlign w:val="bottom"/>
            <w:tcBorders>
              <w:top w:val="single" w:sz="8" w:color="0000FF"/>
            </w:tcBorders>
            <w:gridSpan w:val="4"/>
          </w:tcPr>
          <w:p>
            <w:pPr>
              <w:spacing w:after="0"/>
              <w:rPr>
                <w:sz w:val="17"/>
                <w:szCs w:val="17"/>
                <w:color w:val="auto"/>
              </w:rPr>
            </w:pPr>
          </w:p>
        </w:tc>
        <w:tc>
          <w:tcPr>
            <w:tcW w:w="5760" w:type="dxa"/>
            <w:vAlign w:val="bottom"/>
            <w:gridSpan w:val="3"/>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 (Unaudited)</w:t>
            </w:r>
          </w:p>
        </w:tc>
        <w:tc>
          <w:tcPr>
            <w:tcW w:w="6080" w:type="dxa"/>
            <w:vAlign w:val="bottom"/>
            <w:gridSpan w:val="6"/>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w w:val="95"/>
              </w:rPr>
              <w:t>Item 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8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0000FF"/>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0000FF"/>
                <w:w w:val="95"/>
              </w:rPr>
              <w:t>Item 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w w:val="99"/>
              </w:rPr>
              <w:t>Quantitative and Qualitative Disclosures About Market Risk</w:t>
            </w:r>
          </w:p>
        </w:tc>
        <w:tc>
          <w:tcPr>
            <w:tcW w:w="1620" w:type="dxa"/>
            <w:vAlign w:val="bottom"/>
            <w:tcBorders>
              <w:top w:val="single" w:sz="8" w:color="0000FF"/>
            </w:tcBorders>
            <w:gridSpan w:val="3"/>
          </w:tcPr>
          <w:p>
            <w:pPr>
              <w:spacing w:after="0"/>
              <w:rPr>
                <w:sz w:val="17"/>
                <w:szCs w:val="17"/>
                <w:color w:val="auto"/>
              </w:rPr>
            </w:pPr>
          </w:p>
        </w:tc>
        <w:tc>
          <w:tcPr>
            <w:tcW w:w="426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0000FF"/>
                <w:w w:val="95"/>
              </w:rPr>
              <w:t>Item 4.</w:t>
            </w:r>
          </w:p>
        </w:tc>
        <w:tc>
          <w:tcPr>
            <w:tcW w:w="200" w:type="dxa"/>
            <w:vAlign w:val="bottom"/>
          </w:tcPr>
          <w:p>
            <w:pPr>
              <w:spacing w:after="0"/>
              <w:rPr>
                <w:sz w:val="17"/>
                <w:szCs w:val="17"/>
                <w:color w:val="auto"/>
              </w:rPr>
            </w:pPr>
          </w:p>
        </w:tc>
        <w:tc>
          <w:tcPr>
            <w:tcW w:w="928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590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0000FF"/>
              </w:rPr>
              <w:t>Part II.</w:t>
            </w:r>
          </w:p>
        </w:tc>
        <w:tc>
          <w:tcPr>
            <w:tcW w:w="38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9480" w:type="dxa"/>
            <w:vAlign w:val="bottom"/>
            <w:gridSpan w:val="19"/>
          </w:tcPr>
          <w:p>
            <w:pPr>
              <w:spacing w:after="0"/>
              <w:rPr>
                <w:sz w:val="20"/>
                <w:szCs w:val="20"/>
                <w:color w:val="auto"/>
              </w:rPr>
            </w:pPr>
            <w:r>
              <w:rPr>
                <w:rFonts w:ascii="Times New Roman" w:cs="Times New Roman" w:eastAsia="Times New Roman" w:hAnsi="Times New Roman"/>
                <w:sz w:val="14"/>
                <w:szCs w:val="14"/>
                <w:b w:val="1"/>
                <w:bCs w:val="1"/>
                <w:color w:val="0000FF"/>
              </w:rPr>
              <w:t>Other Information</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590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0000FF"/>
                <w:w w:val="95"/>
              </w:rPr>
              <w:t>Item 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6"/>
              </w:rPr>
              <w:t>Legal Proceedings</w:t>
            </w:r>
          </w:p>
        </w:tc>
        <w:tc>
          <w:tcPr>
            <w:tcW w:w="8260" w:type="dxa"/>
            <w:vAlign w:val="bottom"/>
            <w:gridSpan w:val="13"/>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0000FF"/>
            </w:tcBorders>
            <w:gridSpan w:val="4"/>
          </w:tcPr>
          <w:p>
            <w:pPr>
              <w:jc w:val="right"/>
              <w:ind w:right="20"/>
              <w:spacing w:after="0"/>
              <w:rPr>
                <w:sz w:val="20"/>
                <w:szCs w:val="20"/>
                <w:color w:val="auto"/>
              </w:rPr>
            </w:pPr>
            <w:r>
              <w:rPr>
                <w:rFonts w:ascii="Times New Roman" w:cs="Times New Roman" w:eastAsia="Times New Roman" w:hAnsi="Times New Roman"/>
                <w:sz w:val="14"/>
                <w:szCs w:val="14"/>
                <w:color w:val="0000FF"/>
                <w:w w:val="96"/>
              </w:rPr>
              <w:t>Item 1A.</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3"/>
              </w:rPr>
              <w:t>Risk Factors</w:t>
            </w:r>
          </w:p>
        </w:tc>
        <w:tc>
          <w:tcPr>
            <w:tcW w:w="8600" w:type="dxa"/>
            <w:vAlign w:val="bottom"/>
            <w:gridSpan w:val="16"/>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0000FF"/>
            </w:tcBorders>
            <w:gridSpan w:val="4"/>
          </w:tcPr>
          <w:p>
            <w:pPr>
              <w:jc w:val="right"/>
              <w:ind w:right="40"/>
              <w:spacing w:after="0"/>
              <w:rPr>
                <w:sz w:val="20"/>
                <w:szCs w:val="20"/>
                <w:color w:val="auto"/>
              </w:rPr>
            </w:pPr>
            <w:r>
              <w:rPr>
                <w:rFonts w:ascii="Times New Roman" w:cs="Times New Roman" w:eastAsia="Times New Roman" w:hAnsi="Times New Roman"/>
                <w:sz w:val="14"/>
                <w:szCs w:val="14"/>
                <w:color w:val="0000FF"/>
                <w:w w:val="95"/>
              </w:rPr>
              <w:t>Item 2.</w:t>
            </w:r>
          </w:p>
        </w:tc>
        <w:tc>
          <w:tcPr>
            <w:tcW w:w="200" w:type="dxa"/>
            <w:vAlign w:val="bottom"/>
          </w:tcPr>
          <w:p>
            <w:pPr>
              <w:spacing w:after="0"/>
              <w:rPr>
                <w:sz w:val="17"/>
                <w:szCs w:val="17"/>
                <w:color w:val="auto"/>
              </w:rPr>
            </w:pPr>
          </w:p>
        </w:tc>
        <w:tc>
          <w:tcPr>
            <w:tcW w:w="33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w w:val="99"/>
              </w:rPr>
              <w:t>Unregistered Sales of Equity Securities and Use of Proceeds</w:t>
            </w:r>
          </w:p>
        </w:tc>
        <w:tc>
          <w:tcPr>
            <w:tcW w:w="5900" w:type="dxa"/>
            <w:vAlign w:val="bottom"/>
            <w:gridSpan w:val="5"/>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w w:val="95"/>
              </w:rPr>
              <w:t>Item 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8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0000FF"/>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0000FF"/>
                <w:w w:val="95"/>
              </w:rPr>
              <w:t>Item 4.</w:t>
            </w:r>
          </w:p>
        </w:tc>
        <w:tc>
          <w:tcPr>
            <w:tcW w:w="20" w:type="dxa"/>
            <w:vAlign w:val="bottom"/>
            <w:tcBorders>
              <w:bottom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7"/>
              </w:rPr>
              <w:t>Mine Safety Disclosures</w:t>
            </w:r>
          </w:p>
        </w:tc>
        <w:tc>
          <w:tcPr>
            <w:tcW w:w="420" w:type="dxa"/>
            <w:vAlign w:val="bottom"/>
            <w:tcBorders>
              <w:top w:val="single" w:sz="8" w:color="0000FF"/>
            </w:tcBorders>
          </w:tcPr>
          <w:p>
            <w:pPr>
              <w:spacing w:after="0"/>
              <w:rPr>
                <w:sz w:val="17"/>
                <w:szCs w:val="17"/>
                <w:color w:val="auto"/>
              </w:rPr>
            </w:pPr>
          </w:p>
        </w:tc>
        <w:tc>
          <w:tcPr>
            <w:tcW w:w="7500" w:type="dxa"/>
            <w:vAlign w:val="bottom"/>
            <w:gridSpan w:val="10"/>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0000FF"/>
                <w:w w:val="95"/>
              </w:rPr>
              <w:t>Item 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5"/>
              </w:rPr>
              <w:t>Other Information</w:t>
            </w:r>
          </w:p>
        </w:tc>
        <w:tc>
          <w:tcPr>
            <w:tcW w:w="8280" w:type="dxa"/>
            <w:vAlign w:val="bottom"/>
            <w:gridSpan w:val="14"/>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0000FF"/>
                <w:w w:val="95"/>
              </w:rPr>
              <w:t>Item 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9"/>
              </w:rPr>
              <w:t>Exhibits</w:t>
            </w:r>
          </w:p>
        </w:tc>
        <w:tc>
          <w:tcPr>
            <w:tcW w:w="8840" w:type="dxa"/>
            <w:vAlign w:val="bottom"/>
            <w:gridSpan w:val="17"/>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gridSpan w:val="7"/>
          </w:tcPr>
          <w:p>
            <w:pPr>
              <w:jc w:val="right"/>
              <w:ind w:right="40"/>
              <w:spacing w:after="0"/>
              <w:rPr>
                <w:sz w:val="20"/>
                <w:szCs w:val="20"/>
                <w:color w:val="auto"/>
              </w:rPr>
            </w:pPr>
            <w:r>
              <w:rPr>
                <w:rFonts w:ascii="Times New Roman" w:cs="Times New Roman" w:eastAsia="Times New Roman" w:hAnsi="Times New Roman"/>
                <w:sz w:val="14"/>
                <w:szCs w:val="14"/>
                <w:color w:val="0000FF"/>
              </w:rPr>
              <w:t>Signatures</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70</w:t>
            </w:r>
          </w:p>
        </w:tc>
        <w:tc>
          <w:tcPr>
            <w:tcW w:w="0" w:type="dxa"/>
            <w:vAlign w:val="bottom"/>
          </w:tcPr>
          <w:p>
            <w:pPr>
              <w:spacing w:after="0"/>
              <w:rPr>
                <w:sz w:val="1"/>
                <w:szCs w:val="1"/>
                <w:color w:val="auto"/>
              </w:rPr>
            </w:pPr>
          </w:p>
        </w:tc>
      </w:tr>
      <w:tr>
        <w:trPr>
          <w:trHeight w:val="798"/>
        </w:trPr>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3" w:name="page4"/>
    <w:bookmarkEnd w:id="3"/>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9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This report, and the documents incorporated by reference herein, may contain forward-looking statements as defined by the Private Securities Litigation Reform Act of 1995. These statements are based on the beliefs and assumptions of management. Although CompoSecure, Inc. (the "Company") believes that its plans, intentions, and expectations reflected in or suggested by these forward-looking statements are reasonable, the Company cannot assure you that it will achieve or realize these plans, intentions, or expectations. Forward-looking statements are inherently subject to risks, uncertainties, and assumptions. Generally, statements that are not historical facts, including statements concerning the Company’s possible or assumed future actions, business strategies, events, or results of operations, are forward-looking statements. In some instances, these statements may be preceded by, followed by or include the words “believes,” “estimates,” “expects,” “projects,” “forecasts,” “may,” “will,” “should,” “seeks,” “plans,” “scheduled,” “anticipates” or “intends” or the negatives of these terms or variations of them or similar terminology.</w:t>
      </w:r>
    </w:p>
    <w:p>
      <w:pPr>
        <w:spacing w:after="0" w:line="167"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Forward-looking statements are not guarantees of performance. You should not put undue reliance on these statements which speak only as of the date hereof. You should understand that the following important factors, among others, could affect the Company’s future results and could cause those results or other outcomes to differ materially from those expressed or implied in the Company’s forward-looking statements:</w:t>
      </w:r>
    </w:p>
    <w:p>
      <w:pPr>
        <w:spacing w:after="0" w:line="157" w:lineRule="exact"/>
        <w:rPr>
          <w:sz w:val="20"/>
          <w:szCs w:val="20"/>
          <w:color w:val="auto"/>
        </w:rPr>
      </w:pPr>
    </w:p>
    <w:p>
      <w:pPr>
        <w:ind w:left="520" w:right="4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CompoSecure to diversify its business and customer base and to achieve enhancements in organic growth and operational efficiency, including for any future acquired companies;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CompoSecure to create value for its shareholders and generate robust free cash flow;</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the Company to grow and manage growth profitably, maintain relationships with customers, compete within its industry and retain its key employees;</w:t>
      </w:r>
    </w:p>
    <w:p>
      <w:pPr>
        <w:spacing w:after="0" w:line="220"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4"/>
          <w:szCs w:val="14"/>
          <w:color w:val="auto"/>
        </w:rPr>
        <w:t>the possibility that the Company may be adversely impacted by other global economic, business, and/or competitive factors;</w:t>
      </w:r>
    </w:p>
    <w:p>
      <w:pPr>
        <w:spacing w:after="0" w:line="187" w:lineRule="exact"/>
        <w:rPr>
          <w:rFonts w:ascii="Arial" w:cs="Arial" w:eastAsia="Arial" w:hAnsi="Arial"/>
          <w:sz w:val="17"/>
          <w:szCs w:val="17"/>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any legal proceedings that may be instituted against the Company or others;</w:t>
      </w:r>
    </w:p>
    <w:p>
      <w:pPr>
        <w:spacing w:after="0" w:line="209"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4"/>
          <w:szCs w:val="14"/>
          <w:color w:val="auto"/>
        </w:rPr>
        <w:t>future exchange and interest rates; and</w:t>
      </w:r>
    </w:p>
    <w:p>
      <w:pPr>
        <w:spacing w:after="0" w:line="197" w:lineRule="exact"/>
        <w:rPr>
          <w:rFonts w:ascii="Arial" w:cs="Arial" w:eastAsia="Arial" w:hAnsi="Arial"/>
          <w:sz w:val="17"/>
          <w:szCs w:val="17"/>
          <w:color w:val="auto"/>
        </w:rPr>
      </w:pPr>
    </w:p>
    <w:p>
      <w:pPr>
        <w:ind w:left="500" w:hanging="240"/>
        <w:spacing w:after="0"/>
        <w:tabs>
          <w:tab w:leader="none" w:pos="50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4"/>
          <w:szCs w:val="14"/>
          <w:color w:val="auto"/>
        </w:rPr>
        <w:t>other risks and uncertainties indicated in this report, including those under “Risk Factors” herein, and other filings that have been made or will be made with the SEC.</w:t>
      </w:r>
    </w:p>
    <w:p>
      <w:pPr>
        <w:spacing w:after="0" w:line="17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These and other factors that could cause actual results to differ from those implied by the forward-looking statements in this report are more fully described in the “Risk Factors” section. The risks described in “Risk Factors” are not exhaustive. New risk factors emerge from time to time and it is not possible for us to predict all such risk factors, nor can the Company assess the impact of all such risk factors on its business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478155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635" w:right="499" w:bottom="1440" w:gutter="0" w:footer="0" w:header="0"/>
        </w:sectPr>
      </w:pPr>
    </w:p>
    <w:bookmarkStart w:id="4" w:name="page5"/>
    <w:bookmarkEnd w:id="4"/>
    <w:p>
      <w:pPr>
        <w:jc w:val="right"/>
        <w:ind w:right="3639"/>
        <w:spacing w:after="0"/>
        <w:rPr>
          <w:sz w:val="20"/>
          <w:szCs w:val="20"/>
          <w:color w:val="auto"/>
        </w:rPr>
      </w:pPr>
      <w:r>
        <w:rPr>
          <w:rFonts w:ascii="Times New Roman" w:cs="Times New Roman" w:eastAsia="Times New Roman" w:hAnsi="Times New Roman"/>
          <w:sz w:val="14"/>
          <w:szCs w:val="14"/>
          <w:b w:val="1"/>
          <w:bCs w:val="1"/>
          <w:color w:val="auto"/>
        </w:rPr>
        <w:t>Part I - Financial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505" w:right="1440"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 in thousands, except par value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05358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53580" cy="698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780" w:type="dxa"/>
            <w:vAlign w:val="bottom"/>
          </w:tcPr>
          <w:p>
            <w:pPr>
              <w:spacing w:after="0"/>
              <w:rPr>
                <w:sz w:val="11"/>
                <w:szCs w:val="11"/>
                <w:color w:val="auto"/>
              </w:rPr>
            </w:pPr>
          </w:p>
        </w:tc>
        <w:tc>
          <w:tcPr>
            <w:tcW w:w="1220" w:type="dxa"/>
            <w:vAlign w:val="bottom"/>
          </w:tcPr>
          <w:p>
            <w:pPr>
              <w:jc w:val="center"/>
              <w:ind w:left="443"/>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9"/>
        </w:trPr>
        <w:tc>
          <w:tcPr>
            <w:tcW w:w="7780" w:type="dxa"/>
            <w:vAlign w:val="bottom"/>
          </w:tcPr>
          <w:p>
            <w:pPr>
              <w:spacing w:after="0"/>
              <w:rPr>
                <w:sz w:val="12"/>
                <w:szCs w:val="12"/>
                <w:color w:val="auto"/>
              </w:rPr>
            </w:pPr>
          </w:p>
        </w:tc>
        <w:tc>
          <w:tcPr>
            <w:tcW w:w="1220" w:type="dxa"/>
            <w:vAlign w:val="bottom"/>
          </w:tcPr>
          <w:p>
            <w:pPr>
              <w:jc w:val="center"/>
              <w:ind w:left="42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ind w:right="68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7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61"/>
        </w:trPr>
        <w:tc>
          <w:tcPr>
            <w:tcW w:w="7780" w:type="dxa"/>
            <w:vAlign w:val="bottom"/>
          </w:tcPr>
          <w:p>
            <w:pPr>
              <w:spacing w:after="0"/>
              <w:rPr>
                <w:sz w:val="14"/>
                <w:szCs w:val="14"/>
                <w:color w:val="auto"/>
              </w:rPr>
            </w:pPr>
          </w:p>
        </w:tc>
        <w:tc>
          <w:tcPr>
            <w:tcW w:w="1220" w:type="dxa"/>
            <w:vAlign w:val="bottom"/>
          </w:tcPr>
          <w:p>
            <w:pPr>
              <w:jc w:val="center"/>
              <w:ind w:left="443"/>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7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0"/>
        </w:trPr>
        <w:tc>
          <w:tcPr>
            <w:tcW w:w="7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220" w:type="dxa"/>
            <w:vAlign w:val="bottom"/>
            <w:shd w:val="clear" w:color="auto" w:fill="CCEEFF"/>
          </w:tcPr>
          <w:p>
            <w:pPr>
              <w:jc w:val="right"/>
              <w:ind w:right="1083"/>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52,674</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41,216</w:t>
            </w:r>
          </w:p>
        </w:tc>
      </w:tr>
      <w:tr>
        <w:trPr>
          <w:trHeight w:val="171"/>
        </w:trPr>
        <w:tc>
          <w:tcPr>
            <w:tcW w:w="778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Accounts receivable, net</w:t>
            </w:r>
          </w:p>
        </w:tc>
        <w:tc>
          <w:tcPr>
            <w:tcW w:w="1220" w:type="dxa"/>
            <w:vAlign w:val="bottom"/>
          </w:tcPr>
          <w:p>
            <w:pPr>
              <w:spacing w:after="0"/>
              <w:rPr>
                <w:sz w:val="14"/>
                <w:szCs w:val="14"/>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43,799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40,488</w:t>
            </w:r>
          </w:p>
        </w:tc>
      </w:tr>
      <w:tr>
        <w:trPr>
          <w:trHeight w:val="190"/>
        </w:trPr>
        <w:tc>
          <w:tcPr>
            <w:tcW w:w="7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Inventories, net</w:t>
            </w:r>
          </w:p>
        </w:tc>
        <w:tc>
          <w:tcPr>
            <w:tcW w:w="12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55,090</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52,540</w:t>
            </w:r>
          </w:p>
        </w:tc>
      </w:tr>
      <w:tr>
        <w:trPr>
          <w:trHeight w:val="171"/>
        </w:trPr>
        <w:tc>
          <w:tcPr>
            <w:tcW w:w="77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5,248</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5,133</w:t>
            </w:r>
          </w:p>
        </w:tc>
      </w:tr>
      <w:tr>
        <w:trPr>
          <w:trHeight w:val="180"/>
        </w:trPr>
        <w:tc>
          <w:tcPr>
            <w:tcW w:w="77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Total current assets</w:t>
            </w:r>
          </w:p>
        </w:tc>
        <w:tc>
          <w:tcPr>
            <w:tcW w:w="12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156,811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139,377</w:t>
            </w:r>
          </w:p>
        </w:tc>
      </w:tr>
      <w:tr>
        <w:trPr>
          <w:trHeight w:val="159"/>
        </w:trPr>
        <w:tc>
          <w:tcPr>
            <w:tcW w:w="7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12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23,062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25,212</w:t>
            </w:r>
          </w:p>
        </w:tc>
      </w:tr>
      <w:tr>
        <w:trPr>
          <w:trHeight w:val="17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Right of use assets, net</w:t>
            </w:r>
          </w:p>
        </w:tc>
        <w:tc>
          <w:tcPr>
            <w:tcW w:w="1220" w:type="dxa"/>
            <w:vAlign w:val="bottom"/>
          </w:tcPr>
          <w:p>
            <w:pPr>
              <w:spacing w:after="0"/>
              <w:rPr>
                <w:sz w:val="14"/>
                <w:szCs w:val="14"/>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5,929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7,473</w:t>
            </w:r>
          </w:p>
        </w:tc>
      </w:tr>
      <w:tr>
        <w:trPr>
          <w:trHeight w:val="19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tax asset</w:t>
            </w:r>
          </w:p>
        </w:tc>
        <w:tc>
          <w:tcPr>
            <w:tcW w:w="12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245,102</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23,697</w:t>
            </w:r>
          </w:p>
        </w:tc>
      </w:tr>
      <w:tr>
        <w:trPr>
          <w:trHeight w:val="17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Derivative asset - interest rate swap</w:t>
            </w:r>
          </w:p>
        </w:tc>
        <w:tc>
          <w:tcPr>
            <w:tcW w:w="1220" w:type="dxa"/>
            <w:vAlign w:val="bottom"/>
          </w:tcPr>
          <w:p>
            <w:pPr>
              <w:spacing w:after="0"/>
              <w:rPr>
                <w:sz w:val="14"/>
                <w:szCs w:val="14"/>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2,775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5,258</w:t>
            </w:r>
          </w:p>
        </w:tc>
      </w:tr>
      <w:tr>
        <w:trPr>
          <w:trHeight w:val="18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Deposits and other assets</w:t>
            </w:r>
          </w:p>
        </w:tc>
        <w:tc>
          <w:tcPr>
            <w:tcW w:w="12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1,762</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r>
      <w:tr>
        <w:trPr>
          <w:trHeight w:val="180"/>
        </w:trPr>
        <w:tc>
          <w:tcPr>
            <w:tcW w:w="7780" w:type="dxa"/>
            <w:vAlign w:val="bottom"/>
          </w:tcPr>
          <w:p>
            <w:pPr>
              <w:ind w:left="780"/>
              <w:spacing w:after="0"/>
              <w:rPr>
                <w:sz w:val="20"/>
                <w:szCs w:val="20"/>
                <w:color w:val="auto"/>
              </w:rPr>
            </w:pPr>
            <w:r>
              <w:rPr>
                <w:rFonts w:ascii="Times New Roman" w:cs="Times New Roman" w:eastAsia="Times New Roman" w:hAnsi="Times New Roman"/>
                <w:sz w:val="11"/>
                <w:szCs w:val="11"/>
                <w:color w:val="auto"/>
              </w:rPr>
              <w:t>Total assets</w:t>
            </w:r>
          </w:p>
        </w:tc>
        <w:tc>
          <w:tcPr>
            <w:tcW w:w="1220" w:type="dxa"/>
            <w:vAlign w:val="bottom"/>
            <w:tcBorders>
              <w:bottom w:val="single" w:sz="8" w:color="auto"/>
            </w:tcBorders>
          </w:tcPr>
          <w:p>
            <w:pPr>
              <w:jc w:val="right"/>
              <w:ind w:right="1083"/>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435,441</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201,041</w:t>
            </w:r>
          </w:p>
        </w:tc>
      </w:tr>
      <w:tr>
        <w:trPr>
          <w:trHeight w:val="71"/>
        </w:trPr>
        <w:tc>
          <w:tcPr>
            <w:tcW w:w="7780" w:type="dxa"/>
            <w:vAlign w:val="bottom"/>
            <w:tcBorders>
              <w:bottom w:val="single" w:sz="8" w:color="CCEEFF"/>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171"/>
        </w:trPr>
        <w:tc>
          <w:tcPr>
            <w:tcW w:w="77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AND STOCKHOLDERS' DEFICIT</w:t>
            </w:r>
          </w:p>
        </w:tc>
        <w:tc>
          <w:tcPr>
            <w:tcW w:w="12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400" w:type="dxa"/>
            <w:vAlign w:val="bottom"/>
            <w:tcBorders>
              <w:top w:val="single" w:sz="8" w:color="CCEEFF"/>
            </w:tcBorders>
          </w:tcPr>
          <w:p>
            <w:pPr>
              <w:spacing w:after="0"/>
              <w:rPr>
                <w:sz w:val="14"/>
                <w:szCs w:val="14"/>
                <w:color w:val="auto"/>
              </w:rPr>
            </w:pPr>
          </w:p>
        </w:tc>
      </w:tr>
      <w:tr>
        <w:trPr>
          <w:trHeight w:val="19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1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71"/>
        </w:trPr>
        <w:tc>
          <w:tcPr>
            <w:tcW w:w="778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Accounts payable</w:t>
            </w:r>
          </w:p>
        </w:tc>
        <w:tc>
          <w:tcPr>
            <w:tcW w:w="1220" w:type="dxa"/>
            <w:vAlign w:val="bottom"/>
          </w:tcPr>
          <w:p>
            <w:pPr>
              <w:spacing w:after="0"/>
              <w:rPr>
                <w:sz w:val="14"/>
                <w:szCs w:val="14"/>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9,692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5,193</w:t>
            </w:r>
          </w:p>
        </w:tc>
      </w:tr>
      <w:tr>
        <w:trPr>
          <w:trHeight w:val="190"/>
        </w:trPr>
        <w:tc>
          <w:tcPr>
            <w:tcW w:w="7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Accrued expenses</w:t>
            </w:r>
          </w:p>
        </w:tc>
        <w:tc>
          <w:tcPr>
            <w:tcW w:w="12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13,473</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11,986</w:t>
            </w:r>
          </w:p>
        </w:tc>
      </w:tr>
      <w:tr>
        <w:trPr>
          <w:trHeight w:val="171"/>
        </w:trPr>
        <w:tc>
          <w:tcPr>
            <w:tcW w:w="778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Commission payable</w:t>
            </w:r>
          </w:p>
        </w:tc>
        <w:tc>
          <w:tcPr>
            <w:tcW w:w="1220" w:type="dxa"/>
            <w:vAlign w:val="bottom"/>
          </w:tcPr>
          <w:p>
            <w:pPr>
              <w:spacing w:after="0"/>
              <w:rPr>
                <w:sz w:val="14"/>
                <w:szCs w:val="14"/>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2,967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4,429</w:t>
            </w:r>
          </w:p>
        </w:tc>
      </w:tr>
      <w:tr>
        <w:trPr>
          <w:trHeight w:val="190"/>
        </w:trPr>
        <w:tc>
          <w:tcPr>
            <w:tcW w:w="7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Bonus payable</w:t>
            </w:r>
          </w:p>
        </w:tc>
        <w:tc>
          <w:tcPr>
            <w:tcW w:w="12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7,732</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5,616</w:t>
            </w:r>
          </w:p>
        </w:tc>
      </w:tr>
      <w:tr>
        <w:trPr>
          <w:trHeight w:val="171"/>
        </w:trPr>
        <w:tc>
          <w:tcPr>
            <w:tcW w:w="778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Current portion of long-term debt</w:t>
            </w:r>
          </w:p>
        </w:tc>
        <w:tc>
          <w:tcPr>
            <w:tcW w:w="1220" w:type="dxa"/>
            <w:vAlign w:val="bottom"/>
          </w:tcPr>
          <w:p>
            <w:pPr>
              <w:spacing w:after="0"/>
              <w:rPr>
                <w:sz w:val="14"/>
                <w:szCs w:val="14"/>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10,000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10,313</w:t>
            </w:r>
          </w:p>
        </w:tc>
      </w:tr>
      <w:tr>
        <w:trPr>
          <w:trHeight w:val="190"/>
        </w:trPr>
        <w:tc>
          <w:tcPr>
            <w:tcW w:w="7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Current portion of lease liabilities</w:t>
            </w:r>
          </w:p>
        </w:tc>
        <w:tc>
          <w:tcPr>
            <w:tcW w:w="12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2,070</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1,948</w:t>
            </w:r>
          </w:p>
        </w:tc>
      </w:tr>
      <w:tr>
        <w:trPr>
          <w:trHeight w:val="171"/>
        </w:trPr>
        <w:tc>
          <w:tcPr>
            <w:tcW w:w="778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Current portion of earnout liability</w:t>
            </w:r>
          </w:p>
        </w:tc>
        <w:tc>
          <w:tcPr>
            <w:tcW w:w="1220" w:type="dxa"/>
            <w:vAlign w:val="bottom"/>
          </w:tcPr>
          <w:p>
            <w:pPr>
              <w:spacing w:after="0"/>
              <w:rPr>
                <w:sz w:val="14"/>
                <w:szCs w:val="14"/>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18,527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r>
      <w:tr>
        <w:trPr>
          <w:trHeight w:val="181"/>
        </w:trPr>
        <w:tc>
          <w:tcPr>
            <w:tcW w:w="7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Current portion of tax receivable agreement liability</w:t>
            </w:r>
          </w:p>
        </w:tc>
        <w:tc>
          <w:tcPr>
            <w:tcW w:w="12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122</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1,425</w:t>
            </w:r>
          </w:p>
        </w:tc>
      </w:tr>
      <w:tr>
        <w:trPr>
          <w:trHeight w:val="171"/>
        </w:trPr>
        <w:tc>
          <w:tcPr>
            <w:tcW w:w="7780" w:type="dxa"/>
            <w:vAlign w:val="bottom"/>
          </w:tcPr>
          <w:p>
            <w:pPr>
              <w:ind w:left="78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1220" w:type="dxa"/>
            <w:vAlign w:val="bottom"/>
          </w:tcPr>
          <w:p>
            <w:pPr>
              <w:spacing w:after="0"/>
              <w:rPr>
                <w:sz w:val="14"/>
                <w:szCs w:val="14"/>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64,583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40,970</w:t>
            </w:r>
          </w:p>
        </w:tc>
      </w:tr>
      <w:tr>
        <w:trPr>
          <w:trHeight w:val="169"/>
        </w:trPr>
        <w:tc>
          <w:tcPr>
            <w:tcW w:w="77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7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Long-term debt, net of deferred finance costs</w:t>
            </w:r>
          </w:p>
        </w:tc>
        <w:tc>
          <w:tcPr>
            <w:tcW w:w="1220" w:type="dxa"/>
            <w:vAlign w:val="bottom"/>
          </w:tcPr>
          <w:p>
            <w:pPr>
              <w:spacing w:after="0"/>
              <w:rPr>
                <w:sz w:val="14"/>
                <w:szCs w:val="14"/>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188,149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198,331</w:t>
            </w:r>
          </w:p>
        </w:tc>
      </w:tr>
      <w:tr>
        <w:trPr>
          <w:trHeight w:val="19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Convertible notes</w:t>
            </w:r>
          </w:p>
        </w:tc>
        <w:tc>
          <w:tcPr>
            <w:tcW w:w="12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128,220</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127,832</w:t>
            </w:r>
          </w:p>
        </w:tc>
      </w:tr>
      <w:tr>
        <w:trPr>
          <w:trHeight w:val="17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Derivative liability - convertible notes redemption make-whole provision</w:t>
            </w:r>
          </w:p>
        </w:tc>
        <w:tc>
          <w:tcPr>
            <w:tcW w:w="12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425</w:t>
            </w:r>
          </w:p>
        </w:tc>
      </w:tr>
      <w:tr>
        <w:trPr>
          <w:trHeight w:val="19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Warrant liability</w:t>
            </w:r>
          </w:p>
        </w:tc>
        <w:tc>
          <w:tcPr>
            <w:tcW w:w="12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84,505</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8,294</w:t>
            </w:r>
          </w:p>
        </w:tc>
      </w:tr>
      <w:tr>
        <w:trPr>
          <w:trHeight w:val="17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Lease liabilities, operating</w:t>
            </w:r>
          </w:p>
        </w:tc>
        <w:tc>
          <w:tcPr>
            <w:tcW w:w="1220" w:type="dxa"/>
            <w:vAlign w:val="bottom"/>
          </w:tcPr>
          <w:p>
            <w:pPr>
              <w:spacing w:after="0"/>
              <w:rPr>
                <w:sz w:val="14"/>
                <w:szCs w:val="14"/>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4,490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6,220</w:t>
            </w:r>
          </w:p>
        </w:tc>
      </w:tr>
      <w:tr>
        <w:trPr>
          <w:trHeight w:val="19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Tax receivable agreement liability</w:t>
            </w:r>
          </w:p>
        </w:tc>
        <w:tc>
          <w:tcPr>
            <w:tcW w:w="12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234,117</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23,949</w:t>
            </w:r>
          </w:p>
        </w:tc>
      </w:tr>
      <w:tr>
        <w:trPr>
          <w:trHeight w:val="171"/>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Earnout consideration liability</w:t>
            </w:r>
          </w:p>
        </w:tc>
        <w:tc>
          <w:tcPr>
            <w:tcW w:w="1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16,386</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793</w:t>
            </w:r>
          </w:p>
        </w:tc>
      </w:tr>
      <w:tr>
        <w:trPr>
          <w:trHeight w:val="180"/>
        </w:trPr>
        <w:tc>
          <w:tcPr>
            <w:tcW w:w="77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Total liabilities</w:t>
            </w:r>
          </w:p>
        </w:tc>
        <w:tc>
          <w:tcPr>
            <w:tcW w:w="12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720,450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406,814</w:t>
            </w:r>
          </w:p>
        </w:tc>
      </w:tr>
      <w:tr>
        <w:trPr>
          <w:trHeight w:val="159"/>
        </w:trPr>
        <w:tc>
          <w:tcPr>
            <w:tcW w:w="7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Commitments and contingencies (Note 13)</w:t>
            </w:r>
          </w:p>
        </w:tc>
        <w:tc>
          <w:tcPr>
            <w:tcW w:w="1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59"/>
        </w:trPr>
        <w:tc>
          <w:tcPr>
            <w:tcW w:w="7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Redeemable non-controlling interest</w:t>
            </w:r>
          </w:p>
        </w:tc>
        <w:tc>
          <w:tcPr>
            <w:tcW w:w="12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596,587</w:t>
            </w:r>
          </w:p>
        </w:tc>
      </w:tr>
      <w:tr>
        <w:trPr>
          <w:trHeight w:val="127"/>
        </w:trPr>
        <w:tc>
          <w:tcPr>
            <w:tcW w:w="7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Preferred stock, $0.0001 par value; 10,000,000 shares authorized, no shares issued and outstanding</w:t>
            </w:r>
          </w:p>
        </w:tc>
        <w:tc>
          <w:tcPr>
            <w:tcW w:w="12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2"/>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Class A common stock, $0.0001 par value; 250,000,000 shares authorized, 82,677,354 and 19,415,123 shares issued and outstanding as of September 30, 2024 and</w:t>
            </w:r>
          </w:p>
        </w:tc>
        <w:tc>
          <w:tcPr>
            <w:tcW w:w="1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67"/>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December 31, 2023, respectively.</w:t>
            </w:r>
          </w:p>
        </w:tc>
        <w:tc>
          <w:tcPr>
            <w:tcW w:w="1220" w:type="dxa"/>
            <w:vAlign w:val="bottom"/>
          </w:tcPr>
          <w:p>
            <w:pPr>
              <w:spacing w:after="0"/>
              <w:rPr>
                <w:sz w:val="14"/>
                <w:szCs w:val="14"/>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6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Class B common stock, $0.0001 par value; 75,000,000 shares authorized, no shares and 59,958,422 shares issued and outstanding as of September 30, 2024 and December</w:t>
            </w:r>
          </w:p>
        </w:tc>
        <w:tc>
          <w:tcPr>
            <w:tcW w:w="1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7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31, 2023, respectively.</w:t>
            </w:r>
          </w:p>
        </w:tc>
        <w:tc>
          <w:tcPr>
            <w:tcW w:w="12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r>
      <w:tr>
        <w:trPr>
          <w:trHeight w:val="17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1220" w:type="dxa"/>
            <w:vAlign w:val="bottom"/>
          </w:tcPr>
          <w:p>
            <w:pPr>
              <w:spacing w:after="0"/>
              <w:rPr>
                <w:sz w:val="14"/>
                <w:szCs w:val="14"/>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180,356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39,466</w:t>
            </w:r>
          </w:p>
        </w:tc>
      </w:tr>
      <w:tr>
        <w:trPr>
          <w:trHeight w:val="19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Accumulated other comprehensive income</w:t>
            </w:r>
          </w:p>
        </w:tc>
        <w:tc>
          <w:tcPr>
            <w:tcW w:w="12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2,569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4,991</w:t>
            </w:r>
          </w:p>
        </w:tc>
      </w:tr>
      <w:tr>
        <w:trPr>
          <w:trHeight w:val="171"/>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Accumulated deficit</w:t>
            </w:r>
          </w:p>
        </w:tc>
        <w:tc>
          <w:tcPr>
            <w:tcW w:w="1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(467,942)</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(846,825)</w:t>
            </w:r>
          </w:p>
        </w:tc>
      </w:tr>
      <w:tr>
        <w:trPr>
          <w:trHeight w:val="17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stockholders' deficit</w:t>
            </w:r>
          </w:p>
        </w:tc>
        <w:tc>
          <w:tcPr>
            <w:tcW w:w="12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(285,009)</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(802,360)</w:t>
            </w:r>
          </w:p>
        </w:tc>
      </w:tr>
      <w:tr>
        <w:trPr>
          <w:trHeight w:val="180"/>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LIABILITIES AND STOCKHOLDERS' DEFICIT</w:t>
            </w:r>
          </w:p>
        </w:tc>
        <w:tc>
          <w:tcPr>
            <w:tcW w:w="1220" w:type="dxa"/>
            <w:vAlign w:val="bottom"/>
            <w:tcBorders>
              <w:bottom w:val="single" w:sz="8" w:color="auto"/>
            </w:tcBorders>
          </w:tcPr>
          <w:p>
            <w:pPr>
              <w:jc w:val="right"/>
              <w:ind w:right="1083"/>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435,441</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201,041</w:t>
            </w:r>
          </w:p>
        </w:tc>
      </w:tr>
      <w:tr>
        <w:trPr>
          <w:trHeight w:val="20"/>
        </w:trPr>
        <w:tc>
          <w:tcPr>
            <w:tcW w:w="7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90805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(Unaudited)</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05358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53580" cy="698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20" w:type="dxa"/>
            <w:vAlign w:val="bottom"/>
          </w:tcPr>
          <w:p>
            <w:pPr>
              <w:spacing w:after="0"/>
              <w:rPr>
                <w:sz w:val="17"/>
                <w:szCs w:val="17"/>
                <w:color w:val="auto"/>
              </w:rPr>
            </w:pPr>
          </w:p>
        </w:tc>
        <w:tc>
          <w:tcPr>
            <w:tcW w:w="312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7"/>
                <w:szCs w:val="17"/>
                <w:color w:val="auto"/>
              </w:rPr>
            </w:pPr>
          </w:p>
        </w:tc>
        <w:tc>
          <w:tcPr>
            <w:tcW w:w="2800" w:type="dxa"/>
            <w:vAlign w:val="bottom"/>
            <w:gridSpan w:val="4"/>
          </w:tcPr>
          <w:p>
            <w:pPr>
              <w:jc w:val="right"/>
              <w:ind w:right="30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8"/>
        </w:trPr>
        <w:tc>
          <w:tcPr>
            <w:tcW w:w="5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5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3"/>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90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107,135</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96,886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319,712</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290,729</w:t>
            </w:r>
          </w:p>
        </w:tc>
      </w:tr>
      <w:tr>
        <w:trPr>
          <w:trHeight w:val="19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51,727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47,990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153,019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134,542</w:t>
            </w:r>
          </w:p>
        </w:tc>
      </w:tr>
      <w:tr>
        <w:trPr>
          <w:trHeight w:val="32"/>
        </w:trPr>
        <w:tc>
          <w:tcPr>
            <w:tcW w:w="5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3"/>
        </w:trPr>
        <w:tc>
          <w:tcPr>
            <w:tcW w:w="51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Gross profit</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55,408</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48,896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166,693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156,187</w:t>
            </w:r>
          </w:p>
        </w:tc>
      </w:tr>
      <w:tr>
        <w:trPr>
          <w:trHeight w:val="19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2"/>
        </w:trPr>
        <w:tc>
          <w:tcPr>
            <w:tcW w:w="5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51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26,316</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74,673</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67,627</w:t>
            </w:r>
          </w:p>
        </w:tc>
      </w:tr>
      <w:tr>
        <w:trPr>
          <w:trHeight w:val="18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29,092</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28,801</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92,020</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88,560</w:t>
            </w:r>
          </w:p>
        </w:tc>
      </w:tr>
      <w:tr>
        <w:trPr>
          <w:trHeight w:val="32"/>
        </w:trPr>
        <w:tc>
          <w:tcPr>
            <w:tcW w:w="5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07"/>
        </w:trPr>
        <w:tc>
          <w:tcPr>
            <w:tcW w:w="5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r>
      <w:tr>
        <w:trPr>
          <w:trHeight w:val="19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2"/>
        </w:trPr>
        <w:tc>
          <w:tcPr>
            <w:tcW w:w="5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51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Revaluation of earnout consideration liability</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(34,530)</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(34,060)</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10,540</w:t>
            </w:r>
          </w:p>
        </w:tc>
      </w:tr>
      <w:tr>
        <w:trPr>
          <w:trHeight w:val="191"/>
        </w:trPr>
        <w:tc>
          <w:tcPr>
            <w:tcW w:w="51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Revaluation of warrant liability</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(74,418)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(76,211)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w:t>
            </w:r>
          </w:p>
        </w:tc>
      </w:tr>
      <w:tr>
        <w:trPr>
          <w:trHeight w:val="32"/>
        </w:trPr>
        <w:tc>
          <w:tcPr>
            <w:tcW w:w="5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6"/>
        </w:trPr>
        <w:tc>
          <w:tcPr>
            <w:tcW w:w="5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Change in fair value of derivative liability - convertible notes redemption make-</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96"/>
        </w:trPr>
        <w:tc>
          <w:tcPr>
            <w:tcW w:w="51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whole provision</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r>
      <w:tr>
        <w:trPr>
          <w:trHeight w:val="191"/>
        </w:trPr>
        <w:tc>
          <w:tcPr>
            <w:tcW w:w="51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Interest expense, net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(17,067)</w:t>
            </w:r>
          </w:p>
        </w:tc>
      </w:tr>
      <w:tr>
        <w:trPr>
          <w:trHeight w:val="32"/>
        </w:trPr>
        <w:tc>
          <w:tcPr>
            <w:tcW w:w="5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51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1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w:t>
            </w:r>
          </w:p>
        </w:tc>
      </w:tr>
      <w:tr>
        <w:trPr>
          <w:trHeight w:val="32"/>
        </w:trPr>
        <w:tc>
          <w:tcPr>
            <w:tcW w:w="5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3"/>
        </w:trPr>
        <w:tc>
          <w:tcPr>
            <w:tcW w:w="51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Total other (expense) income, net</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(113,937)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(126,773)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(6,408)</w:t>
            </w:r>
          </w:p>
        </w:tc>
      </w:tr>
      <w:tr>
        <w:trPr>
          <w:trHeight w:val="18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(84,845)</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38,998</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(34,753)</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82,152</w:t>
            </w:r>
          </w:p>
        </w:tc>
      </w:tr>
      <w:tr>
        <w:trPr>
          <w:trHeight w:val="32"/>
        </w:trPr>
        <w:tc>
          <w:tcPr>
            <w:tcW w:w="5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r>
      <w:tr>
        <w:trPr>
          <w:trHeight w:val="208"/>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900" w:type="dxa"/>
            <w:vAlign w:val="bottom"/>
            <w:tcBorders>
              <w:top w:val="single" w:sz="8" w:color="auto"/>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(85,474)</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38,049</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(34,804)</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81,496</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6"/>
        </w:trPr>
        <w:tc>
          <w:tcPr>
            <w:tcW w:w="5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91"/>
        </w:trPr>
        <w:tc>
          <w:tcPr>
            <w:tcW w:w="51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Net (loss) income attributable to redeemable non-controlling interests</w:t>
            </w: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(43,414)</w:t>
            </w:r>
          </w:p>
        </w:tc>
        <w:tc>
          <w:tcPr>
            <w:tcW w:w="8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30,574</w:t>
            </w:r>
          </w:p>
        </w:tc>
        <w:tc>
          <w:tcPr>
            <w:tcW w:w="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(18,414)</w:t>
            </w:r>
          </w:p>
        </w:tc>
        <w:tc>
          <w:tcPr>
            <w:tcW w:w="8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65,653</w:t>
            </w:r>
          </w:p>
        </w:tc>
      </w:tr>
      <w:tr>
        <w:trPr>
          <w:trHeight w:val="32"/>
        </w:trPr>
        <w:tc>
          <w:tcPr>
            <w:tcW w:w="5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51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Net (loss) income attributable to CompoSecure, Inc.</w:t>
            </w:r>
          </w:p>
        </w:tc>
        <w:tc>
          <w:tcPr>
            <w:tcW w:w="90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(42,060)</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(16,390)</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15,843</w:t>
            </w:r>
          </w:p>
        </w:tc>
      </w:tr>
      <w:tr>
        <w:trPr>
          <w:trHeight w:val="212"/>
        </w:trPr>
        <w:tc>
          <w:tcPr>
            <w:tcW w:w="5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per share attributable to Class A common stockholders - basic</w:t>
            </w:r>
          </w:p>
        </w:tc>
        <w:tc>
          <w:tcPr>
            <w:tcW w:w="90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0.86</w:t>
            </w:r>
          </w:p>
        </w:tc>
      </w:tr>
      <w:tr>
        <w:trPr>
          <w:trHeight w:val="19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 per share attributable to Class A common stockholders - diluted</w:t>
            </w: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8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0.75</w:t>
            </w:r>
          </w:p>
        </w:tc>
      </w:tr>
      <w:tr>
        <w:trPr>
          <w:trHeight w:val="32"/>
        </w:trPr>
        <w:tc>
          <w:tcPr>
            <w:tcW w:w="5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5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76"/>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used to compute net (loss) income per share attributable to</w:t>
            </w: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4"/>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stockholders - basic (in thousands)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38,212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28,110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18,420</w:t>
            </w:r>
          </w:p>
        </w:tc>
      </w:tr>
      <w:tr>
        <w:trPr>
          <w:trHeight w:val="32"/>
        </w:trPr>
        <w:tc>
          <w:tcPr>
            <w:tcW w:w="5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shares used to compute net (loss) income per share attributable to</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stockholders - diluted (in thousands)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38,212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35,765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35,362</w:t>
            </w:r>
          </w:p>
        </w:tc>
      </w:tr>
      <w:tr>
        <w:trPr>
          <w:trHeight w:val="32"/>
        </w:trPr>
        <w:tc>
          <w:tcPr>
            <w:tcW w:w="5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86360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61" w:right="31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(Loss) (Unaudited)</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16153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3040" w:type="dxa"/>
            <w:vAlign w:val="bottom"/>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2"/>
        </w:trPr>
        <w:tc>
          <w:tcPr>
            <w:tcW w:w="39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1"/>
        </w:trPr>
        <w:tc>
          <w:tcPr>
            <w:tcW w:w="3980" w:type="dxa"/>
            <w:vAlign w:val="bottom"/>
          </w:tcPr>
          <w:p>
            <w:pPr>
              <w:spacing w:after="0"/>
              <w:rPr>
                <w:sz w:val="15"/>
                <w:szCs w:val="15"/>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39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2"/>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income</w:t>
            </w:r>
          </w:p>
        </w:tc>
        <w:tc>
          <w:tcPr>
            <w:tcW w:w="1160" w:type="dxa"/>
            <w:vAlign w:val="bottom"/>
            <w:tcBorders>
              <w:bottom w:val="single" w:sz="8" w:color="CCEEFF"/>
            </w:tcBorders>
            <w:shd w:val="clear" w:color="auto" w:fill="CCEEFF"/>
          </w:tcPr>
          <w:p>
            <w:pPr>
              <w:jc w:val="right"/>
              <w:ind w:right="1013"/>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(85,474)</w:t>
            </w: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105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38,049</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(34,804)</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81,496</w:t>
            </w:r>
          </w:p>
        </w:tc>
      </w:tr>
      <w:tr>
        <w:trPr>
          <w:trHeight w:val="156"/>
        </w:trPr>
        <w:tc>
          <w:tcPr>
            <w:tcW w:w="3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 income, net:</w:t>
            </w:r>
          </w:p>
        </w:tc>
        <w:tc>
          <w:tcPr>
            <w:tcW w:w="1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r>
      <w:tr>
        <w:trPr>
          <w:trHeight w:val="26"/>
        </w:trPr>
        <w:tc>
          <w:tcPr>
            <w:tcW w:w="3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2"/>
        </w:trPr>
        <w:tc>
          <w:tcPr>
            <w:tcW w:w="3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Unrealized loss on derivative - interest rate swap, net of tax</w:t>
            </w:r>
          </w:p>
        </w:tc>
        <w:tc>
          <w:tcPr>
            <w:tcW w:w="1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(2,279)</w:t>
            </w:r>
          </w:p>
        </w:tc>
        <w:tc>
          <w:tcPr>
            <w:tcW w:w="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(2,422)</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w:t>
            </w:r>
          </w:p>
        </w:tc>
      </w:tr>
      <w:tr>
        <w:trPr>
          <w:trHeight w:val="167"/>
        </w:trPr>
        <w:tc>
          <w:tcPr>
            <w:tcW w:w="3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other comprehensive loss, net</w:t>
            </w:r>
          </w:p>
        </w:tc>
        <w:tc>
          <w:tcPr>
            <w:tcW w:w="1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(2,279)</w:t>
            </w:r>
          </w:p>
        </w:tc>
        <w:tc>
          <w:tcPr>
            <w:tcW w:w="8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8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(2,422)</w:t>
            </w:r>
          </w:p>
        </w:tc>
        <w:tc>
          <w:tcPr>
            <w:tcW w:w="8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(637)</w:t>
            </w:r>
          </w:p>
        </w:tc>
      </w:tr>
      <w:tr>
        <w:trPr>
          <w:trHeight w:val="26"/>
        </w:trPr>
        <w:tc>
          <w:tcPr>
            <w:tcW w:w="39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5"/>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Comprehensive (loss) income</w:t>
            </w:r>
          </w:p>
        </w:tc>
        <w:tc>
          <w:tcPr>
            <w:tcW w:w="1160" w:type="dxa"/>
            <w:vAlign w:val="bottom"/>
            <w:tcBorders>
              <w:bottom w:val="single" w:sz="8" w:color="auto"/>
            </w:tcBorders>
            <w:shd w:val="clear" w:color="auto" w:fill="CCEEFF"/>
          </w:tcPr>
          <w:p>
            <w:pPr>
              <w:jc w:val="right"/>
              <w:ind w:right="1013"/>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(87,753)</w:t>
            </w: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37,785</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(37,226)</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80,859</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90805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 Equity (Unaudited)</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right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Redeemable Non-</w:t>
            </w:r>
          </w:p>
        </w:tc>
      </w:tr>
      <w:tr>
        <w:trPr>
          <w:trHeight w:val="169"/>
        </w:trPr>
        <w:tc>
          <w:tcPr>
            <w:tcW w:w="3000" w:type="dxa"/>
            <w:vAlign w:val="bottom"/>
          </w:tcPr>
          <w:p>
            <w:pPr>
              <w:spacing w:after="0"/>
              <w:rPr>
                <w:sz w:val="14"/>
                <w:szCs w:val="14"/>
                <w:color w:val="auto"/>
              </w:rPr>
            </w:pPr>
          </w:p>
        </w:tc>
        <w:tc>
          <w:tcPr>
            <w:tcW w:w="1640" w:type="dxa"/>
            <w:vAlign w:val="bottom"/>
            <w:tcBorders>
              <w:bottom w:val="single" w:sz="8" w:color="auto"/>
            </w:tcBorders>
            <w:gridSpan w:val="4"/>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60" w:type="dxa"/>
            <w:vAlign w:val="bottom"/>
          </w:tcPr>
          <w:p>
            <w:pPr>
              <w:spacing w:after="0"/>
              <w:rPr>
                <w:sz w:val="14"/>
                <w:szCs w:val="14"/>
                <w:color w:val="auto"/>
              </w:rPr>
            </w:pPr>
          </w:p>
        </w:tc>
        <w:tc>
          <w:tcPr>
            <w:tcW w:w="1560" w:type="dxa"/>
            <w:vAlign w:val="bottom"/>
            <w:tcBorders>
              <w:bottom w:val="single" w:sz="8" w:color="auto"/>
            </w:tcBorders>
            <w:gridSpan w:val="4"/>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Class B Common Stock</w:t>
            </w:r>
          </w:p>
        </w:tc>
        <w:tc>
          <w:tcPr>
            <w:tcW w:w="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Additional Paid-in</w:t>
            </w:r>
          </w:p>
        </w:tc>
        <w:tc>
          <w:tcPr>
            <w:tcW w:w="12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4"/>
                <w:szCs w:val="14"/>
                <w:color w:val="auto"/>
              </w:rPr>
            </w:pPr>
          </w:p>
        </w:tc>
        <w:tc>
          <w:tcPr>
            <w:tcW w:w="880" w:type="dxa"/>
            <w:vAlign w:val="bottom"/>
            <w:tcBorders>
              <w:right w:val="single" w:sz="8" w:color="auto"/>
            </w:tcBorders>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140" w:type="dxa"/>
            <w:vAlign w:val="bottom"/>
          </w:tcPr>
          <w:p>
            <w:pPr>
              <w:spacing w:after="0"/>
              <w:rPr>
                <w:sz w:val="14"/>
                <w:szCs w:val="14"/>
                <w:color w:val="auto"/>
              </w:rPr>
            </w:pPr>
          </w:p>
        </w:tc>
        <w:tc>
          <w:tcPr>
            <w:tcW w:w="80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w w:val="99"/>
              </w:rPr>
              <w:t>Controlling</w:t>
            </w:r>
          </w:p>
        </w:tc>
      </w:tr>
      <w:tr>
        <w:trPr>
          <w:trHeight w:val="171"/>
        </w:trPr>
        <w:tc>
          <w:tcPr>
            <w:tcW w:w="3000" w:type="dxa"/>
            <w:vAlign w:val="bottom"/>
          </w:tcPr>
          <w:p>
            <w:pPr>
              <w:spacing w:after="0"/>
              <w:rPr>
                <w:sz w:val="14"/>
                <w:szCs w:val="14"/>
                <w:color w:val="auto"/>
              </w:rPr>
            </w:pP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14"/>
                <w:szCs w:val="14"/>
                <w:color w:val="auto"/>
              </w:rPr>
            </w:pPr>
          </w:p>
        </w:tc>
        <w:tc>
          <w:tcPr>
            <w:tcW w:w="880" w:type="dxa"/>
            <w:vAlign w:val="bottom"/>
            <w:tcBorders>
              <w:right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40" w:type="dxa"/>
            <w:vAlign w:val="bottom"/>
          </w:tcPr>
          <w:p>
            <w:pPr>
              <w:spacing w:after="0"/>
              <w:rPr>
                <w:sz w:val="14"/>
                <w:szCs w:val="14"/>
                <w:color w:val="auto"/>
              </w:rPr>
            </w:pPr>
          </w:p>
        </w:tc>
        <w:tc>
          <w:tcPr>
            <w:tcW w:w="80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Interest</w:t>
            </w:r>
          </w:p>
        </w:tc>
      </w:tr>
      <w:tr>
        <w:trPr>
          <w:trHeight w:val="180"/>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December 31,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19,415,123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59,958,422</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39,466</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4,991</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(846,825)</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right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(802,360)</w:t>
            </w: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596,587</w:t>
            </w:r>
          </w:p>
        </w:tc>
      </w:tr>
      <w:tr>
        <w:trPr>
          <w:trHeight w:val="171"/>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Distributions to non-controlling interests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(10,151)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right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(10,151)</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9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4,397</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880" w:type="dxa"/>
            <w:vAlign w:val="bottom"/>
            <w:tcBorders>
              <w:right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4,397</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2"/>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Proceeds from employee stock purchase plan and exercises of</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options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80" w:type="dxa"/>
            <w:vAlign w:val="bottom"/>
            <w:tcBorders>
              <w:right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107</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9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4,025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4,025</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13,048</w:t>
            </w:r>
          </w:p>
        </w:tc>
      </w:tr>
      <w:tr>
        <w:trPr>
          <w:trHeight w:val="152"/>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Class A common stock issued pursuant to equity awards, net of</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shares withheld for taxes, and ESPP transactions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1,183,123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80" w:type="dxa"/>
            <w:vAlign w:val="bottom"/>
            <w:tcBorders>
              <w:right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2"/>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Class A common stock withheld related to net share settlement</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of equity awards</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(3,476)</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(3,476)</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1"/>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Unrealized gain on derivative - interest rate swap</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452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80" w:type="dxa"/>
            <w:vAlign w:val="bottom"/>
            <w:tcBorders>
              <w:right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452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2"/>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Adjustment of redeemable non-controlling interests to</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redemption value</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13,048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13,048</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(13,048)</w:t>
            </w:r>
          </w:p>
        </w:tc>
      </w:tr>
      <w:tr>
        <w:trPr>
          <w:trHeight w:val="162"/>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March 31, 2024</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20,598,246</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59,958,422</w:t>
            </w: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6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40,494</w:t>
            </w: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5,443</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(839,903)</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right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(793,958)</w:t>
            </w: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596,587</w:t>
            </w:r>
          </w:p>
        </w:tc>
      </w:tr>
      <w:tr>
        <w:trPr>
          <w:trHeight w:val="18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Dividend to Class A shareholders</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(8,922)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(8,922)</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1"/>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Distributions to non-controlling interests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(16,016)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right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(16,016)</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91"/>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Special distributions to non-controlling interests</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(15,573)</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right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color w:val="auto"/>
              </w:rPr>
              <w:t>(15,573)</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1"/>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80" w:type="dxa"/>
            <w:vAlign w:val="bottom"/>
            <w:tcBorders>
              <w:right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5,238</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2"/>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Proceeds from employee stock purchase plan and exercises of</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options</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114</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1"/>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11,099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right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11,099</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22,498</w:t>
            </w:r>
          </w:p>
        </w:tc>
      </w:tr>
      <w:tr>
        <w:trPr>
          <w:trHeight w:val="162"/>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Class A common stock issued pursuant to equity awards, net of</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shares withheld for taxes, and ESPP transactions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1,199,092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2"/>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Class A common stock withheld related to net share settlement</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of equity awards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80" w:type="dxa"/>
            <w:vAlign w:val="bottom"/>
            <w:tcBorders>
              <w:right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(5,006)</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2"/>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Class A common stock issued pursuant to Class B common</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 exchanges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8,050,000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(8,050,000)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1"/>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Unrealized loss on derivative - interest rate swap</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80" w:type="dxa"/>
            <w:vAlign w:val="bottom"/>
            <w:tcBorders>
              <w:right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(595)</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9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Tax receivable agreement liability</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(4,582)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880" w:type="dxa"/>
            <w:vAlign w:val="bottom"/>
            <w:tcBorders>
              <w:right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(4,582)</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2"/>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Adjustment of redeemable non-controlling interests to</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redemption value</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102,596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right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102,596</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(102,596)</w:t>
            </w:r>
          </w:p>
        </w:tc>
      </w:tr>
      <w:tr>
        <w:trPr>
          <w:trHeight w:val="171"/>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June 30, 2024</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29,847,338</w:t>
            </w:r>
          </w:p>
        </w:tc>
        <w:tc>
          <w:tcPr>
            <w:tcW w:w="80" w:type="dxa"/>
            <w:vAlign w:val="bottom"/>
            <w:tcBorders>
              <w:top w:val="single" w:sz="8" w:color="CCEEFF"/>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60" w:type="dxa"/>
            <w:vAlign w:val="bottom"/>
            <w:tcBorders>
              <w:top w:val="single" w:sz="8" w:color="CCEEFF"/>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51,908,422</w:t>
            </w:r>
          </w:p>
        </w:tc>
        <w:tc>
          <w:tcPr>
            <w:tcW w:w="60" w:type="dxa"/>
            <w:vAlign w:val="bottom"/>
            <w:tcBorders>
              <w:top w:val="single" w:sz="8" w:color="CCEEFF"/>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60" w:type="dxa"/>
            <w:vAlign w:val="bottom"/>
            <w:tcBorders>
              <w:top w:val="single" w:sz="8" w:color="CCEEFF"/>
              <w:bottom w:val="single" w:sz="8" w:color="auto"/>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36,258</w:t>
            </w:r>
          </w:p>
        </w:tc>
        <w:tc>
          <w:tcPr>
            <w:tcW w:w="60" w:type="dxa"/>
            <w:vAlign w:val="bottom"/>
            <w:tcBorders>
              <w:top w:val="single" w:sz="8" w:color="CCEEFF"/>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4,848</w:t>
            </w:r>
          </w:p>
        </w:tc>
        <w:tc>
          <w:tcPr>
            <w:tcW w:w="60" w:type="dxa"/>
            <w:vAlign w:val="bottom"/>
            <w:tcBorders>
              <w:top w:val="single" w:sz="8" w:color="CCEEFF"/>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(766,719)</w:t>
            </w:r>
          </w:p>
        </w:tc>
        <w:tc>
          <w:tcPr>
            <w:tcW w:w="60" w:type="dxa"/>
            <w:vAlign w:val="bottom"/>
            <w:tcBorders>
              <w:top w:val="single" w:sz="8" w:color="CCEEFF"/>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right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(725,605)</w:t>
            </w: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516,489</w:t>
            </w:r>
          </w:p>
        </w:tc>
      </w:tr>
      <w:tr>
        <w:trPr>
          <w:trHeight w:val="192"/>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Distributions to non-controlling interests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(8,696)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right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(8,696)</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11"/>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5,634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5,634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90805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 Equity (Unaudited)</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Proceeds from employee stock purchase plan, warrants and</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7"/>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exercises of options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2,674</w:t>
            </w:r>
          </w:p>
        </w:tc>
        <w:tc>
          <w:tcPr>
            <w:tcW w:w="4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720" w:type="dxa"/>
            <w:vAlign w:val="bottom"/>
            <w:tcBorders>
              <w:right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2,674</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9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(42,060)</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(42,060)</w:t>
            </w: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(43,414)</w:t>
            </w:r>
          </w:p>
        </w:tc>
      </w:tr>
      <w:tr>
        <w:trPr>
          <w:trHeight w:val="152"/>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Class A common stock issued pursuant to equity awards, net of</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7"/>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shares withheld for taxes, warrants and ESPP transactions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921,594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720" w:type="dxa"/>
            <w:vAlign w:val="bottom"/>
            <w:tcBorders>
              <w:right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2"/>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Class A common stock issued pursuant to Class B common</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tcBorders>
              <w:right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7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 exchanges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51,908,422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(51,908,422)</w:t>
            </w:r>
          </w:p>
        </w:tc>
        <w:tc>
          <w:tcPr>
            <w:tcW w:w="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(5)</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1"/>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Unrealized loss on derivative - interest rate swap</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(2,279)</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720" w:type="dxa"/>
            <w:vAlign w:val="bottom"/>
            <w:tcBorders>
              <w:right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(2,279)</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9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Tax receivable agreement liability</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12,248</w:t>
            </w:r>
          </w:p>
        </w:tc>
        <w:tc>
          <w:tcPr>
            <w:tcW w:w="4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12,248</w:t>
            </w: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2"/>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Adjustment of redeemable non-controlling interests to</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7"/>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redemption value</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123,542</w:t>
            </w:r>
          </w:p>
        </w:tc>
        <w:tc>
          <w:tcPr>
            <w:tcW w:w="4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4"/>
                <w:szCs w:val="14"/>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349,533</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right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473,075</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(473,075)</w:t>
            </w:r>
          </w:p>
        </w:tc>
      </w:tr>
      <w:tr>
        <w:trPr>
          <w:trHeight w:val="171"/>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September 30, 2024</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82,677,354</w:t>
            </w:r>
          </w:p>
        </w:tc>
        <w:tc>
          <w:tcPr>
            <w:tcW w:w="80" w:type="dxa"/>
            <w:vAlign w:val="bottom"/>
            <w:tcBorders>
              <w:top w:val="single" w:sz="8" w:color="CCEEFF"/>
              <w:bottom w:val="single" w:sz="8" w:color="auto"/>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60" w:type="dxa"/>
            <w:vAlign w:val="bottom"/>
            <w:tcBorders>
              <w:top w:val="single" w:sz="8" w:color="CCEEFF"/>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  $</w:t>
            </w:r>
          </w:p>
        </w:tc>
        <w:tc>
          <w:tcPr>
            <w:tcW w:w="76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180,356</w:t>
            </w:r>
          </w:p>
        </w:tc>
        <w:tc>
          <w:tcPr>
            <w:tcW w:w="420" w:type="dxa"/>
            <w:vAlign w:val="bottom"/>
            <w:tcBorders>
              <w:top w:val="single" w:sz="8" w:color="auto"/>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2,569</w:t>
            </w:r>
          </w:p>
        </w:tc>
        <w:tc>
          <w:tcPr>
            <w:tcW w:w="60" w:type="dxa"/>
            <w:vAlign w:val="bottom"/>
            <w:tcBorders>
              <w:top w:val="single" w:sz="8" w:color="CCEEFF"/>
              <w:bottom w:val="single" w:sz="8" w:color="auto"/>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(467,942)</w:t>
            </w:r>
          </w:p>
        </w:tc>
        <w:tc>
          <w:tcPr>
            <w:tcW w:w="60" w:type="dxa"/>
            <w:vAlign w:val="bottom"/>
            <w:tcBorders>
              <w:top w:val="single" w:sz="8" w:color="CCEEFF"/>
              <w:bottom w:val="single" w:sz="8" w:color="auto"/>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right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(285,009)</w:t>
            </w:r>
          </w:p>
        </w:tc>
        <w:tc>
          <w:tcPr>
            <w:tcW w:w="28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90805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 Equity (Unaudited)</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right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Redeemable Non-</w:t>
            </w:r>
          </w:p>
        </w:tc>
      </w:tr>
      <w:tr>
        <w:trPr>
          <w:trHeight w:val="169"/>
        </w:trPr>
        <w:tc>
          <w:tcPr>
            <w:tcW w:w="3000" w:type="dxa"/>
            <w:vAlign w:val="bottom"/>
          </w:tcPr>
          <w:p>
            <w:pPr>
              <w:spacing w:after="0"/>
              <w:rPr>
                <w:sz w:val="14"/>
                <w:szCs w:val="14"/>
                <w:color w:val="auto"/>
              </w:rPr>
            </w:pPr>
          </w:p>
        </w:tc>
        <w:tc>
          <w:tcPr>
            <w:tcW w:w="1640" w:type="dxa"/>
            <w:vAlign w:val="bottom"/>
            <w:tcBorders>
              <w:bottom w:val="single" w:sz="8" w:color="auto"/>
            </w:tcBorders>
            <w:gridSpan w:val="4"/>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60" w:type="dxa"/>
            <w:vAlign w:val="bottom"/>
          </w:tcPr>
          <w:p>
            <w:pPr>
              <w:spacing w:after="0"/>
              <w:rPr>
                <w:sz w:val="14"/>
                <w:szCs w:val="14"/>
                <w:color w:val="auto"/>
              </w:rPr>
            </w:pPr>
          </w:p>
        </w:tc>
        <w:tc>
          <w:tcPr>
            <w:tcW w:w="1560" w:type="dxa"/>
            <w:vAlign w:val="bottom"/>
            <w:tcBorders>
              <w:bottom w:val="single" w:sz="8" w:color="auto"/>
            </w:tcBorders>
            <w:gridSpan w:val="4"/>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Class B Common Stock</w:t>
            </w:r>
          </w:p>
        </w:tc>
        <w:tc>
          <w:tcPr>
            <w:tcW w:w="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Additional Paid-in</w:t>
            </w:r>
          </w:p>
        </w:tc>
        <w:tc>
          <w:tcPr>
            <w:tcW w:w="12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4"/>
                <w:szCs w:val="14"/>
                <w:color w:val="auto"/>
              </w:rPr>
            </w:pPr>
          </w:p>
        </w:tc>
        <w:tc>
          <w:tcPr>
            <w:tcW w:w="880" w:type="dxa"/>
            <w:vAlign w:val="bottom"/>
            <w:tcBorders>
              <w:right w:val="single" w:sz="8" w:color="auto"/>
            </w:tcBorders>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140" w:type="dxa"/>
            <w:vAlign w:val="bottom"/>
          </w:tcPr>
          <w:p>
            <w:pPr>
              <w:spacing w:after="0"/>
              <w:rPr>
                <w:sz w:val="14"/>
                <w:szCs w:val="14"/>
                <w:color w:val="auto"/>
              </w:rPr>
            </w:pPr>
          </w:p>
        </w:tc>
        <w:tc>
          <w:tcPr>
            <w:tcW w:w="80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w w:val="99"/>
              </w:rPr>
              <w:t>Controlling</w:t>
            </w:r>
          </w:p>
        </w:tc>
      </w:tr>
      <w:tr>
        <w:trPr>
          <w:trHeight w:val="171"/>
        </w:trPr>
        <w:tc>
          <w:tcPr>
            <w:tcW w:w="3000" w:type="dxa"/>
            <w:vAlign w:val="bottom"/>
          </w:tcPr>
          <w:p>
            <w:pPr>
              <w:spacing w:after="0"/>
              <w:rPr>
                <w:sz w:val="14"/>
                <w:szCs w:val="14"/>
                <w:color w:val="auto"/>
              </w:rPr>
            </w:pP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14"/>
                <w:szCs w:val="14"/>
                <w:color w:val="auto"/>
              </w:rPr>
            </w:pPr>
          </w:p>
        </w:tc>
        <w:tc>
          <w:tcPr>
            <w:tcW w:w="880" w:type="dxa"/>
            <w:vAlign w:val="bottom"/>
            <w:tcBorders>
              <w:right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40" w:type="dxa"/>
            <w:vAlign w:val="bottom"/>
          </w:tcPr>
          <w:p>
            <w:pPr>
              <w:spacing w:after="0"/>
              <w:rPr>
                <w:sz w:val="14"/>
                <w:szCs w:val="14"/>
                <w:color w:val="auto"/>
              </w:rPr>
            </w:pPr>
          </w:p>
        </w:tc>
        <w:tc>
          <w:tcPr>
            <w:tcW w:w="80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Interest</w:t>
            </w:r>
          </w:p>
        </w:tc>
      </w:tr>
      <w:tr>
        <w:trPr>
          <w:trHeight w:val="180"/>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December 31,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16,446,748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60,325,057</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24,107</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8,283</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(924,630)</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right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(892,232)</w:t>
            </w: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600,234</w:t>
            </w:r>
          </w:p>
        </w:tc>
      </w:tr>
      <w:tr>
        <w:trPr>
          <w:trHeight w:val="171"/>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Distributions to non-controlling interests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(9,714)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right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(9,714)</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9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4,022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880" w:type="dxa"/>
            <w:vAlign w:val="bottom"/>
            <w:tcBorders>
              <w:right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4,022</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1"/>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2,329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right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2,329</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8,408</w:t>
            </w:r>
          </w:p>
        </w:tc>
      </w:tr>
      <w:tr>
        <w:trPr>
          <w:trHeight w:val="162"/>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Class A common stock issued pursuant to equity awards, net of</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shares withheld for taxes, and ESPP transactions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1,564,956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2"/>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Proceeds from employee stock purchase plan and exercises of</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options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80" w:type="dxa"/>
            <w:vAlign w:val="bottom"/>
            <w:tcBorders>
              <w:right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146</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2"/>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Class A common stock withheld related to net share settlement</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of equity awards</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(2,409)</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(2,409)</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2"/>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Class A common stock issued pursuant to Class B common</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 exchanges</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366,635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(366,635)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80" w:type="dxa"/>
            <w:vAlign w:val="bottom"/>
            <w:tcBorders>
              <w:right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9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Unrealized loss on derivative - interest rate swap</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880" w:type="dxa"/>
            <w:vAlign w:val="bottom"/>
            <w:tcBorders>
              <w:right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(1,649)</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1"/>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Tax receivable agreement liability</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80" w:type="dxa"/>
            <w:vAlign w:val="bottom"/>
            <w:tcBorders>
              <w:right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(290)</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2"/>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Adjustment of redeemable non-controlling interests to</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redemption value</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12,055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12,055</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(12,055)</w:t>
            </w:r>
          </w:p>
        </w:tc>
      </w:tr>
      <w:tr>
        <w:trPr>
          <w:trHeight w:val="171"/>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March 31, 2023</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18,378,339</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w:t>
            </w:r>
          </w:p>
        </w:tc>
        <w:tc>
          <w:tcPr>
            <w:tcW w:w="6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59,958,422</w:t>
            </w: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w:t>
            </w:r>
          </w:p>
        </w:tc>
        <w:tc>
          <w:tcPr>
            <w:tcW w:w="6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25,576</w:t>
            </w: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6,634</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(919,960)</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Borders>
              <w:top w:val="single" w:sz="8" w:color="auto"/>
              <w:bottom w:val="single" w:sz="8" w:color="auto"/>
              <w:right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(887,742)</w:t>
            </w: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596,587</w:t>
            </w:r>
          </w:p>
        </w:tc>
      </w:tr>
      <w:tr>
        <w:trPr>
          <w:trHeight w:val="18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Distributions to non-controlling interests</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(19,294)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(19,294)</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1"/>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4,393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80" w:type="dxa"/>
            <w:vAlign w:val="bottom"/>
            <w:tcBorders>
              <w:right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4,393</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9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5,737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5,737</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26,973</w:t>
            </w:r>
          </w:p>
        </w:tc>
      </w:tr>
      <w:tr>
        <w:trPr>
          <w:trHeight w:val="152"/>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Class A common stock issued pursuant to equity awards, net of</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shares withheld for taxes, and employee stock purchase plan</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8"/>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transactions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313,767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80" w:type="dxa"/>
            <w:vAlign w:val="bottom"/>
            <w:tcBorders>
              <w:right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2"/>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Proceeds from employee stock purchase plan and exercises of</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options</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243</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2"/>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Class A common stock withheld related to net share settlement</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of equity awards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80" w:type="dxa"/>
            <w:vAlign w:val="bottom"/>
            <w:tcBorders>
              <w:right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(74)</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9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Unrealized gain on derivative - interest rate swap, net of tax</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1,276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6"/>
                <w:szCs w:val="16"/>
                <w:color w:val="auto"/>
              </w:rPr>
            </w:pPr>
          </w:p>
        </w:tc>
        <w:tc>
          <w:tcPr>
            <w:tcW w:w="880" w:type="dxa"/>
            <w:vAlign w:val="bottom"/>
            <w:tcBorders>
              <w:right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1,276</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1"/>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Tax receivable agreement liability</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80" w:type="dxa"/>
            <w:vAlign w:val="bottom"/>
            <w:tcBorders>
              <w:right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2"/>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Adjustment of redeemable non-controlling interests to</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redemption value</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26,973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26,973</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(26,973)</w:t>
            </w:r>
          </w:p>
        </w:tc>
      </w:tr>
      <w:tr>
        <w:trPr>
          <w:trHeight w:val="171"/>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as of June 30, 2023</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18,692,106</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w:t>
            </w:r>
          </w:p>
        </w:tc>
        <w:tc>
          <w:tcPr>
            <w:tcW w:w="6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59,958,422</w:t>
            </w: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w:t>
            </w:r>
          </w:p>
        </w:tc>
        <w:tc>
          <w:tcPr>
            <w:tcW w:w="6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30,137</w:t>
            </w: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7,910</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(906,544)</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Borders>
              <w:top w:val="single" w:sz="8" w:color="auto"/>
              <w:bottom w:val="single" w:sz="8" w:color="auto"/>
              <w:right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(868,489)</w:t>
            </w: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596,587</w:t>
            </w:r>
          </w:p>
        </w:tc>
      </w:tr>
      <w:tr>
        <w:trPr>
          <w:trHeight w:val="18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Distributions to non-controlling interests</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(9,354)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(9,354)</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80"/>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4,637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880" w:type="dxa"/>
            <w:vAlign w:val="bottom"/>
            <w:tcBorders>
              <w:right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4,637</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90805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 Equity (Unaudited)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179070</wp:posOffset>
            </wp:positionV>
            <wp:extent cx="7161530" cy="208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p>
      <w:pPr>
        <w:spacing w:after="0" w:line="297"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1"/>
          <w:szCs w:val="11"/>
          <w:color w:val="auto"/>
        </w:rPr>
        <w:t>Proceeds from employee stock purchase plan and exercises of options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Net income</w:t>
      </w:r>
    </w:p>
    <w:p>
      <w:pPr>
        <w:spacing w:after="0" w:line="54"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1"/>
          <w:szCs w:val="11"/>
          <w:color w:val="auto"/>
        </w:rPr>
        <w:t>Class A common stock issued pursuant to equity awards, net of shares withheld for taxes, and employee stock purchase plan transactions</w:t>
      </w:r>
    </w:p>
    <w:p>
      <w:pPr>
        <w:spacing w:after="0" w:line="7"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11"/>
          <w:szCs w:val="11"/>
          <w:color w:val="auto"/>
        </w:rPr>
        <w:t>Class A common stock withheld related to net share settlement of equity awards</w:t>
      </w:r>
    </w:p>
    <w:p>
      <w:pPr>
        <w:spacing w:after="0" w:line="13" w:lineRule="exact"/>
        <w:rPr>
          <w:sz w:val="20"/>
          <w:szCs w:val="20"/>
          <w:color w:val="auto"/>
        </w:rPr>
      </w:pPr>
    </w:p>
    <w:p>
      <w:pPr>
        <w:ind w:right="660"/>
        <w:spacing w:after="0" w:line="342" w:lineRule="auto"/>
        <w:rPr>
          <w:sz w:val="20"/>
          <w:szCs w:val="20"/>
          <w:color w:val="auto"/>
        </w:rPr>
      </w:pPr>
      <w:r>
        <w:rPr>
          <w:rFonts w:ascii="Times New Roman" w:cs="Times New Roman" w:eastAsia="Times New Roman" w:hAnsi="Times New Roman"/>
          <w:sz w:val="11"/>
          <w:szCs w:val="11"/>
          <w:color w:val="auto"/>
        </w:rPr>
        <w:t>Unrealized loss on derivative - interest rate swap Tax receivable agreement liability</w:t>
      </w:r>
    </w:p>
    <w:p>
      <w:pPr>
        <w:ind w:right="400"/>
        <w:spacing w:after="0" w:line="300" w:lineRule="auto"/>
        <w:rPr>
          <w:sz w:val="20"/>
          <w:szCs w:val="20"/>
          <w:color w:val="auto"/>
        </w:rPr>
      </w:pPr>
      <w:r>
        <w:rPr>
          <w:rFonts w:ascii="Times New Roman" w:cs="Times New Roman" w:eastAsia="Times New Roman" w:hAnsi="Times New Roman"/>
          <w:sz w:val="11"/>
          <w:szCs w:val="11"/>
          <w:color w:val="auto"/>
        </w:rPr>
        <w:t>Adjustment of redeemable non-controlling interests to redemption value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Balance as of September 30, 2023</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0"/>
        </w:trPr>
        <w:tc>
          <w:tcPr>
            <w:tcW w:w="9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24"/>
                <w:szCs w:val="24"/>
                <w:color w:val="auto"/>
              </w:rPr>
            </w:pPr>
          </w:p>
        </w:tc>
        <w:tc>
          <w:tcPr>
            <w:tcW w:w="5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24"/>
                <w:szCs w:val="24"/>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24"/>
                <w:szCs w:val="24"/>
                <w:color w:val="auto"/>
              </w:rPr>
            </w:pPr>
          </w:p>
        </w:tc>
        <w:tc>
          <w:tcPr>
            <w:tcW w:w="6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635</w:t>
            </w:r>
          </w:p>
        </w:tc>
        <w:tc>
          <w:tcPr>
            <w:tcW w:w="420" w:type="dxa"/>
            <w:vAlign w:val="bottom"/>
          </w:tcPr>
          <w:p>
            <w:pPr>
              <w:spacing w:after="0"/>
              <w:rPr>
                <w:sz w:val="24"/>
                <w:szCs w:val="24"/>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24"/>
                <w:szCs w:val="24"/>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4"/>
                <w:szCs w:val="24"/>
                <w:color w:val="auto"/>
              </w:rPr>
            </w:pPr>
          </w:p>
        </w:tc>
        <w:tc>
          <w:tcPr>
            <w:tcW w:w="720" w:type="dxa"/>
            <w:vAlign w:val="bottom"/>
            <w:tcBorders>
              <w:right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635</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80"/>
        </w:trPr>
        <w:tc>
          <w:tcPr>
            <w:tcW w:w="9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5"/>
                <w:szCs w:val="15"/>
                <w:color w:val="auto"/>
              </w:rPr>
            </w:pPr>
          </w:p>
        </w:tc>
        <w:tc>
          <w:tcPr>
            <w:tcW w:w="5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5"/>
                <w:szCs w:val="15"/>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5"/>
                <w:szCs w:val="15"/>
                <w:color w:val="auto"/>
              </w:rPr>
            </w:pPr>
          </w:p>
        </w:tc>
        <w:tc>
          <w:tcPr>
            <w:tcW w:w="6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7,475</w:t>
            </w:r>
          </w:p>
        </w:tc>
        <w:tc>
          <w:tcPr>
            <w:tcW w:w="300" w:type="dxa"/>
            <w:vAlign w:val="bottom"/>
          </w:tcPr>
          <w:p>
            <w:pPr>
              <w:spacing w:after="0"/>
              <w:rPr>
                <w:sz w:val="15"/>
                <w:szCs w:val="15"/>
                <w:color w:val="auto"/>
              </w:rPr>
            </w:pPr>
          </w:p>
        </w:tc>
        <w:tc>
          <w:tcPr>
            <w:tcW w:w="720" w:type="dxa"/>
            <w:vAlign w:val="bottom"/>
            <w:tcBorders>
              <w:right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7,475</w:t>
            </w: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30,574</w:t>
            </w:r>
          </w:p>
        </w:tc>
      </w:tr>
      <w:tr>
        <w:trPr>
          <w:trHeight w:val="467"/>
        </w:trPr>
        <w:tc>
          <w:tcPr>
            <w:tcW w:w="9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601,181</w:t>
            </w:r>
          </w:p>
        </w:tc>
        <w:tc>
          <w:tcPr>
            <w:tcW w:w="360" w:type="dxa"/>
            <w:vAlign w:val="bottom"/>
          </w:tcPr>
          <w:p>
            <w:pPr>
              <w:spacing w:after="0"/>
              <w:rPr>
                <w:sz w:val="24"/>
                <w:szCs w:val="24"/>
                <w:color w:val="auto"/>
              </w:rPr>
            </w:pPr>
          </w:p>
        </w:tc>
        <w:tc>
          <w:tcPr>
            <w:tcW w:w="5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24"/>
                <w:szCs w:val="24"/>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24"/>
                <w:szCs w:val="24"/>
                <w:color w:val="auto"/>
              </w:rPr>
            </w:pPr>
          </w:p>
        </w:tc>
        <w:tc>
          <w:tcPr>
            <w:tcW w:w="6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24"/>
                <w:szCs w:val="24"/>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24"/>
                <w:szCs w:val="24"/>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4"/>
                <w:szCs w:val="24"/>
                <w:color w:val="auto"/>
              </w:rPr>
            </w:pPr>
          </w:p>
        </w:tc>
        <w:tc>
          <w:tcPr>
            <w:tcW w:w="720" w:type="dxa"/>
            <w:vAlign w:val="bottom"/>
            <w:tcBorders>
              <w:right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329"/>
        </w:trPr>
        <w:tc>
          <w:tcPr>
            <w:tcW w:w="9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24"/>
                <w:szCs w:val="24"/>
                <w:color w:val="auto"/>
              </w:rPr>
            </w:pPr>
          </w:p>
        </w:tc>
        <w:tc>
          <w:tcPr>
            <w:tcW w:w="5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24"/>
                <w:szCs w:val="24"/>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(643)</w:t>
            </w:r>
          </w:p>
        </w:tc>
        <w:tc>
          <w:tcPr>
            <w:tcW w:w="420" w:type="dxa"/>
            <w:vAlign w:val="bottom"/>
          </w:tcPr>
          <w:p>
            <w:pPr>
              <w:spacing w:after="0"/>
              <w:rPr>
                <w:sz w:val="24"/>
                <w:szCs w:val="24"/>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24"/>
                <w:szCs w:val="24"/>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4"/>
                <w:szCs w:val="24"/>
                <w:color w:val="auto"/>
              </w:rPr>
            </w:pPr>
          </w:p>
        </w:tc>
        <w:tc>
          <w:tcPr>
            <w:tcW w:w="720" w:type="dxa"/>
            <w:vAlign w:val="bottom"/>
            <w:tcBorders>
              <w:right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(643)</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80"/>
        </w:trPr>
        <w:tc>
          <w:tcPr>
            <w:tcW w:w="9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5"/>
                <w:szCs w:val="15"/>
                <w:color w:val="auto"/>
              </w:rPr>
            </w:pPr>
          </w:p>
        </w:tc>
        <w:tc>
          <w:tcPr>
            <w:tcW w:w="5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5"/>
                <w:szCs w:val="15"/>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5"/>
                <w:szCs w:val="15"/>
                <w:color w:val="auto"/>
              </w:rPr>
            </w:pPr>
          </w:p>
        </w:tc>
        <w:tc>
          <w:tcPr>
            <w:tcW w:w="6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2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5"/>
                <w:szCs w:val="15"/>
                <w:color w:val="auto"/>
              </w:rPr>
            </w:pPr>
          </w:p>
        </w:tc>
        <w:tc>
          <w:tcPr>
            <w:tcW w:w="720" w:type="dxa"/>
            <w:vAlign w:val="bottom"/>
            <w:tcBorders>
              <w:right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(264)</w:t>
            </w: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80"/>
        </w:trPr>
        <w:tc>
          <w:tcPr>
            <w:tcW w:w="9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5"/>
                <w:szCs w:val="15"/>
                <w:color w:val="auto"/>
              </w:rPr>
            </w:pPr>
          </w:p>
        </w:tc>
        <w:tc>
          <w:tcPr>
            <w:tcW w:w="5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5"/>
                <w:szCs w:val="15"/>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2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5"/>
                <w:szCs w:val="15"/>
                <w:color w:val="auto"/>
              </w:rPr>
            </w:pPr>
          </w:p>
        </w:tc>
        <w:tc>
          <w:tcPr>
            <w:tcW w:w="720" w:type="dxa"/>
            <w:vAlign w:val="bottom"/>
            <w:tcBorders>
              <w:right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(1)</w:t>
            </w: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339"/>
        </w:trPr>
        <w:tc>
          <w:tcPr>
            <w:tcW w:w="9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30,574</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30,574</w:t>
            </w: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(30,574)</w:t>
            </w:r>
          </w:p>
        </w:tc>
      </w:tr>
      <w:tr>
        <w:trPr>
          <w:trHeight w:val="171"/>
        </w:trPr>
        <w:tc>
          <w:tcPr>
            <w:tcW w:w="9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19,293,287</w:t>
            </w: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2</w:t>
            </w: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59,958,422</w:t>
            </w: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6</w:t>
            </w: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34,765</w:t>
            </w:r>
          </w:p>
        </w:tc>
        <w:tc>
          <w:tcPr>
            <w:tcW w:w="4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7,646</w:t>
            </w:r>
          </w:p>
        </w:tc>
        <w:tc>
          <w:tcPr>
            <w:tcW w:w="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(877,849)</w:t>
            </w:r>
          </w:p>
        </w:tc>
        <w:tc>
          <w:tcPr>
            <w:tcW w:w="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bottom w:val="single" w:sz="8" w:color="auto"/>
              <w:right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(835,430)</w:t>
            </w:r>
          </w:p>
        </w:tc>
        <w:tc>
          <w:tcPr>
            <w:tcW w:w="3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596,587</w:t>
            </w:r>
          </w:p>
        </w:tc>
      </w:tr>
      <w:tr>
        <w:trPr>
          <w:trHeight w:val="21"/>
        </w:trPr>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-1913890</wp:posOffset>
            </wp:positionH>
            <wp:positionV relativeFrom="paragraph">
              <wp:posOffset>-1090930</wp:posOffset>
            </wp:positionV>
            <wp:extent cx="7161530" cy="296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296545"/>
                    </a:xfrm>
                    <a:prstGeom prst="rect">
                      <a:avLst/>
                    </a:prstGeom>
                    <a:noFill/>
                  </pic:spPr>
                </pic:pic>
              </a:graphicData>
            </a:graphic>
          </wp:anchor>
        </w:drawing>
        <w:drawing>
          <wp:anchor simplePos="0" relativeHeight="251657728" behindDoc="1" locked="0" layoutInCell="0" allowOverlap="1">
            <wp:simplePos x="0" y="0"/>
            <wp:positionH relativeFrom="column">
              <wp:posOffset>-1913890</wp:posOffset>
            </wp:positionH>
            <wp:positionV relativeFrom="paragraph">
              <wp:posOffset>-585470</wp:posOffset>
            </wp:positionV>
            <wp:extent cx="7161530" cy="114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-1913890</wp:posOffset>
            </wp:positionH>
            <wp:positionV relativeFrom="paragraph">
              <wp:posOffset>-356235</wp:posOffset>
            </wp:positionV>
            <wp:extent cx="7161530" cy="2089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140"/>
            <w:col w:w="8260"/>
          </w:cols>
          <w:pgMar w:left="320" w:top="171" w:right="31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consolidated financial statements.</w:t>
      </w:r>
    </w:p>
    <w:p>
      <w:pPr>
        <w:spacing w:after="0" w:line="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90805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type w:val="continuous"/>
        </w:sectPr>
      </w:pPr>
    </w:p>
    <w:bookmarkStart w:id="12" w:name="page13"/>
    <w:bookmarkEnd w:id="12"/>
    <w:p>
      <w:pPr>
        <w:ind w:left="20"/>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(Unaudited)</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03389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33895" cy="698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80" w:type="dxa"/>
            <w:vAlign w:val="bottom"/>
          </w:tcPr>
          <w:p>
            <w:pPr>
              <w:spacing w:after="0"/>
              <w:rPr>
                <w:sz w:val="12"/>
                <w:szCs w:val="12"/>
                <w:color w:val="auto"/>
              </w:rPr>
            </w:pPr>
          </w:p>
        </w:tc>
        <w:tc>
          <w:tcPr>
            <w:tcW w:w="2560" w:type="dxa"/>
            <w:vAlign w:val="bottom"/>
            <w:gridSpan w:val="4"/>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540" w:type="dxa"/>
            <w:vAlign w:val="bottom"/>
          </w:tcPr>
          <w:p>
            <w:pPr>
              <w:spacing w:after="0"/>
              <w:rPr>
                <w:sz w:val="12"/>
                <w:szCs w:val="12"/>
                <w:color w:val="auto"/>
              </w:rPr>
            </w:pPr>
          </w:p>
        </w:tc>
      </w:tr>
      <w:tr>
        <w:trPr>
          <w:trHeight w:val="195"/>
        </w:trPr>
        <w:tc>
          <w:tcPr>
            <w:tcW w:w="8180" w:type="dxa"/>
            <w:vAlign w:val="bottom"/>
          </w:tcPr>
          <w:p>
            <w:pPr>
              <w:spacing w:after="0"/>
              <w:rPr>
                <w:sz w:val="16"/>
                <w:szCs w:val="16"/>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Pr>
          <w:p>
            <w:pPr>
              <w:spacing w:after="0"/>
              <w:rPr>
                <w:sz w:val="16"/>
                <w:szCs w:val="16"/>
                <w:color w:val="auto"/>
              </w:rPr>
            </w:pPr>
          </w:p>
        </w:tc>
      </w:tr>
      <w:tr>
        <w:trPr>
          <w:trHeight w:val="26"/>
        </w:trPr>
        <w:tc>
          <w:tcPr>
            <w:tcW w:w="8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39"/>
        </w:trPr>
        <w:tc>
          <w:tcPr>
            <w:tcW w:w="8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9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r>
      <w:tr>
        <w:trPr>
          <w:trHeight w:val="176"/>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(loss) income</w:t>
            </w:r>
          </w:p>
        </w:tc>
        <w:tc>
          <w:tcPr>
            <w:tcW w:w="960" w:type="dxa"/>
            <w:vAlign w:val="bottom"/>
          </w:tcPr>
          <w:p>
            <w:pPr>
              <w:jc w:val="right"/>
              <w:ind w:right="818"/>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(34,804)</w:t>
            </w:r>
          </w:p>
        </w:tc>
        <w:tc>
          <w:tcPr>
            <w:tcW w:w="80" w:type="dxa"/>
            <w:vAlign w:val="bottom"/>
          </w:tcPr>
          <w:p>
            <w:pPr>
              <w:spacing w:after="0"/>
              <w:rPr>
                <w:sz w:val="15"/>
                <w:szCs w:val="15"/>
                <w:color w:val="auto"/>
              </w:rPr>
            </w:pP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81,496</w:t>
            </w:r>
          </w:p>
        </w:tc>
      </w:tr>
      <w:tr>
        <w:trPr>
          <w:trHeight w:val="26"/>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Adjustments to reconcile net (loss) income to net cash provided</w:t>
            </w:r>
          </w:p>
        </w:tc>
        <w:tc>
          <w:tcPr>
            <w:tcW w:w="9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r>
      <w:tr>
        <w:trPr>
          <w:trHeight w:val="176"/>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by operating activities</w:t>
            </w: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6"/>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2"/>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6,932</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6,249</w:t>
            </w:r>
          </w:p>
        </w:tc>
      </w:tr>
      <w:tr>
        <w:trPr>
          <w:trHeight w:val="176"/>
        </w:trPr>
        <w:tc>
          <w:tcPr>
            <w:tcW w:w="81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15,269</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13,052</w:t>
            </w:r>
          </w:p>
        </w:tc>
      </w:tr>
      <w:tr>
        <w:trPr>
          <w:trHeight w:val="26"/>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2"/>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Amortization of deferred finance costs</w:t>
            </w:r>
          </w:p>
        </w:tc>
        <w:tc>
          <w:tcPr>
            <w:tcW w:w="9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1,262</w:t>
            </w:r>
          </w:p>
        </w:tc>
      </w:tr>
      <w:tr>
        <w:trPr>
          <w:trHeight w:val="176"/>
        </w:trPr>
        <w:tc>
          <w:tcPr>
            <w:tcW w:w="81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2"/>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Change in fair value of earnout consideration liability</w:t>
            </w:r>
          </w:p>
        </w:tc>
        <w:tc>
          <w:tcPr>
            <w:tcW w:w="9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34,060</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(10,540)</w:t>
            </w:r>
          </w:p>
        </w:tc>
      </w:tr>
      <w:tr>
        <w:trPr>
          <w:trHeight w:val="176"/>
        </w:trPr>
        <w:tc>
          <w:tcPr>
            <w:tcW w:w="81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Revaluation of warrant liability</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76,211</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(1,771)</w:t>
            </w:r>
          </w:p>
        </w:tc>
      </w:tr>
      <w:tr>
        <w:trPr>
          <w:trHeight w:val="26"/>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2"/>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Change in fair value of derivative liability</w:t>
            </w:r>
          </w:p>
        </w:tc>
        <w:tc>
          <w:tcPr>
            <w:tcW w:w="9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w:t>
            </w:r>
          </w:p>
        </w:tc>
      </w:tr>
      <w:tr>
        <w:trPr>
          <w:trHeight w:val="176"/>
        </w:trPr>
        <w:tc>
          <w:tcPr>
            <w:tcW w:w="81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Deferred tax (benefit)</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(4,813)</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(1,485)</w:t>
            </w:r>
          </w:p>
        </w:tc>
      </w:tr>
      <w:tr>
        <w:trPr>
          <w:trHeight w:val="26"/>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2"/>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9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r>
      <w:tr>
        <w:trPr>
          <w:trHeight w:val="176"/>
        </w:trPr>
        <w:tc>
          <w:tcPr>
            <w:tcW w:w="81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Accounts receivable</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(3,311)</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(11,261)</w:t>
            </w:r>
          </w:p>
        </w:tc>
      </w:tr>
      <w:tr>
        <w:trPr>
          <w:trHeight w:val="26"/>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2"/>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Inventories</w:t>
            </w:r>
          </w:p>
        </w:tc>
        <w:tc>
          <w:tcPr>
            <w:tcW w:w="9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(2,550)</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(9,614)</w:t>
            </w:r>
          </w:p>
        </w:tc>
      </w:tr>
      <w:tr>
        <w:trPr>
          <w:trHeight w:val="176"/>
        </w:trPr>
        <w:tc>
          <w:tcPr>
            <w:tcW w:w="81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26"/>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2"/>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Accounts payable</w:t>
            </w:r>
          </w:p>
        </w:tc>
        <w:tc>
          <w:tcPr>
            <w:tcW w:w="9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4,499</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6,938</w:t>
            </w:r>
          </w:p>
        </w:tc>
      </w:tr>
      <w:tr>
        <w:trPr>
          <w:trHeight w:val="176"/>
        </w:trPr>
        <w:tc>
          <w:tcPr>
            <w:tcW w:w="81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Accrued expenses</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1,487</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4,065</w:t>
            </w:r>
          </w:p>
        </w:tc>
      </w:tr>
      <w:tr>
        <w:trPr>
          <w:trHeight w:val="26"/>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2"/>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Other liabilities</w:t>
            </w:r>
          </w:p>
        </w:tc>
        <w:tc>
          <w:tcPr>
            <w:tcW w:w="9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(789)</w:t>
            </w:r>
          </w:p>
        </w:tc>
      </w:tr>
      <w:tr>
        <w:trPr>
          <w:trHeight w:val="167"/>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9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94,136</w:t>
            </w: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77,879</w:t>
            </w:r>
          </w:p>
        </w:tc>
      </w:tr>
      <w:tr>
        <w:trPr>
          <w:trHeight w:val="26"/>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97"/>
        </w:trPr>
        <w:tc>
          <w:tcPr>
            <w:tcW w:w="81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r>
      <w:tr>
        <w:trPr>
          <w:trHeight w:val="176"/>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6"/>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2"/>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Purchase of property and equipment</w:t>
            </w:r>
          </w:p>
        </w:tc>
        <w:tc>
          <w:tcPr>
            <w:tcW w:w="9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(4,782)</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(6,669)</w:t>
            </w:r>
          </w:p>
        </w:tc>
      </w:tr>
      <w:tr>
        <w:trPr>
          <w:trHeight w:val="176"/>
        </w:trPr>
        <w:tc>
          <w:tcPr>
            <w:tcW w:w="81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Capitalized software expenditures</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9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(5,511)</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(6,669)</w:t>
            </w:r>
          </w:p>
        </w:tc>
      </w:tr>
      <w:tr>
        <w:trPr>
          <w:trHeight w:val="192"/>
        </w:trPr>
        <w:tc>
          <w:tcPr>
            <w:tcW w:w="81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r>
      <w:tr>
        <w:trPr>
          <w:trHeight w:val="1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9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r>
      <w:tr>
        <w:trPr>
          <w:trHeight w:val="176"/>
        </w:trPr>
        <w:tc>
          <w:tcPr>
            <w:tcW w:w="81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Proceeds from employee stock purchase plan, warrants and exercises of equity awards</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2,895</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1,024</w:t>
            </w:r>
          </w:p>
        </w:tc>
      </w:tr>
      <w:tr>
        <w:trPr>
          <w:trHeight w:val="26"/>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2"/>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Payments for taxes related to net share settlement of equity awards</w:t>
            </w:r>
          </w:p>
        </w:tc>
        <w:tc>
          <w:tcPr>
            <w:tcW w:w="9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(8,482)</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(3,126)</w:t>
            </w:r>
          </w:p>
        </w:tc>
      </w:tr>
      <w:tr>
        <w:trPr>
          <w:trHeight w:val="176"/>
        </w:trPr>
        <w:tc>
          <w:tcPr>
            <w:tcW w:w="81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Payment of tax receivable agreement liability</w:t>
            </w:r>
          </w:p>
        </w:tc>
        <w:tc>
          <w:tcPr>
            <w:tcW w:w="96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(2,193)</w:t>
            </w:r>
          </w:p>
        </w:tc>
      </w:tr>
      <w:tr>
        <w:trPr>
          <w:trHeight w:val="26"/>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2"/>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Payment of term loan</w:t>
            </w:r>
          </w:p>
        </w:tc>
        <w:tc>
          <w:tcPr>
            <w:tcW w:w="9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(10,333)</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(18,122)</w:t>
            </w:r>
          </w:p>
        </w:tc>
      </w:tr>
      <w:tr>
        <w:trPr>
          <w:trHeight w:val="176"/>
        </w:trPr>
        <w:tc>
          <w:tcPr>
            <w:tcW w:w="81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Deferred finance costs related to debt modification</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(1,889)</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r>
      <w:tr>
        <w:trPr>
          <w:trHeight w:val="26"/>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2"/>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Tax distributions to non-controlling members</w:t>
            </w:r>
          </w:p>
        </w:tc>
        <w:tc>
          <w:tcPr>
            <w:tcW w:w="9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(34,863)</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(38,362)</w:t>
            </w:r>
          </w:p>
        </w:tc>
      </w:tr>
      <w:tr>
        <w:trPr>
          <w:trHeight w:val="176"/>
        </w:trPr>
        <w:tc>
          <w:tcPr>
            <w:tcW w:w="81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Special distribution to non-controlling members</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(15,573)</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2"/>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Dividend to Class A shareholders</w:t>
            </w:r>
          </w:p>
        </w:tc>
        <w:tc>
          <w:tcPr>
            <w:tcW w:w="9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(8,922)</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7"/>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9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(77,167)</w:t>
            </w: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(61,035)</w:t>
            </w:r>
          </w:p>
        </w:tc>
      </w:tr>
      <w:tr>
        <w:trPr>
          <w:trHeight w:val="26"/>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07"/>
        </w:trPr>
        <w:tc>
          <w:tcPr>
            <w:tcW w:w="81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r>
      <w:tr>
        <w:trPr>
          <w:trHeight w:val="176"/>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in cash and cash equivalents</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11,458</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10,175</w:t>
            </w:r>
          </w:p>
        </w:tc>
      </w:tr>
      <w:tr>
        <w:trPr>
          <w:trHeight w:val="26"/>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17"/>
        </w:trPr>
        <w:tc>
          <w:tcPr>
            <w:tcW w:w="8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76"/>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beginning of period</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41,216</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13,642</w:t>
            </w:r>
          </w:p>
        </w:tc>
      </w:tr>
      <w:tr>
        <w:trPr>
          <w:trHeight w:val="26"/>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27"/>
        </w:trPr>
        <w:tc>
          <w:tcPr>
            <w:tcW w:w="8180" w:type="dxa"/>
            <w:vAlign w:val="bottom"/>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r>
      <w:tr>
        <w:trPr>
          <w:trHeight w:val="190"/>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end of period</w:t>
            </w:r>
          </w:p>
        </w:tc>
        <w:tc>
          <w:tcPr>
            <w:tcW w:w="960" w:type="dxa"/>
            <w:vAlign w:val="bottom"/>
            <w:tcBorders>
              <w:bottom w:val="single" w:sz="8" w:color="auto"/>
            </w:tcBorders>
          </w:tcPr>
          <w:p>
            <w:pPr>
              <w:jc w:val="right"/>
              <w:ind w:right="818"/>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52,674</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23,817</w:t>
            </w:r>
          </w:p>
        </w:tc>
      </w:tr>
      <w:tr>
        <w:trPr>
          <w:trHeight w:val="20"/>
        </w:trPr>
        <w:tc>
          <w:tcPr>
            <w:tcW w:w="8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76"/>
        </w:trPr>
        <w:tc>
          <w:tcPr>
            <w:tcW w:w="8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Supplementary disclosure of cash flow information:</w:t>
            </w:r>
          </w:p>
        </w:tc>
        <w:tc>
          <w:tcPr>
            <w:tcW w:w="9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r>
      <w:tr>
        <w:trPr>
          <w:trHeight w:val="176"/>
        </w:trPr>
        <w:tc>
          <w:tcPr>
            <w:tcW w:w="8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paid for interest expense</w:t>
            </w:r>
          </w:p>
        </w:tc>
        <w:tc>
          <w:tcPr>
            <w:tcW w:w="960" w:type="dxa"/>
            <w:vAlign w:val="bottom"/>
          </w:tcPr>
          <w:p>
            <w:pPr>
              <w:jc w:val="right"/>
              <w:ind w:right="818"/>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16,987</w:t>
            </w:r>
          </w:p>
        </w:tc>
        <w:tc>
          <w:tcPr>
            <w:tcW w:w="80" w:type="dxa"/>
            <w:vAlign w:val="bottom"/>
          </w:tcPr>
          <w:p>
            <w:pPr>
              <w:spacing w:after="0"/>
              <w:rPr>
                <w:sz w:val="15"/>
                <w:szCs w:val="15"/>
                <w:color w:val="auto"/>
              </w:rPr>
            </w:pP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18,296</w:t>
            </w:r>
          </w:p>
        </w:tc>
      </w:tr>
      <w:tr>
        <w:trPr>
          <w:trHeight w:val="26"/>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Supplemental disclosure of non-cash financing activities:</w:t>
            </w:r>
          </w:p>
        </w:tc>
        <w:tc>
          <w:tcPr>
            <w:tcW w:w="9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r>
      <w:tr>
        <w:trPr>
          <w:trHeight w:val="176"/>
        </w:trPr>
        <w:tc>
          <w:tcPr>
            <w:tcW w:w="8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Derivative asset - interest rate swap</w:t>
            </w:r>
          </w:p>
        </w:tc>
        <w:tc>
          <w:tcPr>
            <w:tcW w:w="960" w:type="dxa"/>
            <w:vAlign w:val="bottom"/>
          </w:tcPr>
          <w:p>
            <w:pPr>
              <w:jc w:val="right"/>
              <w:ind w:right="818"/>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(2,422)</w:t>
            </w:r>
          </w:p>
        </w:tc>
        <w:tc>
          <w:tcPr>
            <w:tcW w:w="80" w:type="dxa"/>
            <w:vAlign w:val="bottom"/>
          </w:tcPr>
          <w:p>
            <w:pPr>
              <w:spacing w:after="0"/>
              <w:rPr>
                <w:sz w:val="15"/>
                <w:szCs w:val="15"/>
                <w:color w:val="auto"/>
              </w:rPr>
            </w:pP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w:t>
            </w: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90805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DESCRIPTION OF ORGANIZATION AND BUSINESS OPERATIONS</w:t>
      </w:r>
    </w:p>
    <w:p>
      <w:pPr>
        <w:spacing w:after="0" w:line="202"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CompoSecure, Inc. (“CompoSecure” or the “Company”) is a manufacturer and designer of complex metal, composite and proprietary financial transaction cards. The Company was founded and commenced operations in 2000. The Company provides products and services primarily to global financial institutions, plastic card manufacturers, system integrators, and security specialists. The Company is located in Somerset, New Jersey. Since its inception, the Company has established itself as a technology partner to market leaders, fintechs and consumers enabling trust for millions of people around the globe. The Company combines elegance, simplicity and security to deliver exceptional experiences and peace of mind in the physical and digital world. The Company’s innovative payment card technology and metal cards with Arculus secure authentication and digital asset storage capabilities deliver unique, premium branded experiences, enable people to access and use their financial and digital assets, and ensure trust at the point of a transaction.</w:t>
      </w:r>
    </w:p>
    <w:p>
      <w:pPr>
        <w:spacing w:after="0" w:line="167"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The Company creates newly innovated, highly differentiated and customized quality financial payment products for banks and other payment card issuers to support and increase their customer acquisition, customer retention and organic customer spend. The Company’s customers consist primarily of leading international and domestic banks and other payment card issuers primarily within the United States (“U.S.”), with additional direct and indirect customers in Europe, Asia, Latin America, Canada, and the Middle East. The Company is a platform for next generation payment technology, security, and authentication solutions. The Company maintains trusted, highly-embedded and long-term customer relationships with an expanding set of global issuers. The Company has established a niche position in the financial payment card market with over 20 years of innovation and experience and is focused primarily on this attractive subsector of the financial technology market. The Company serves a diverse set of direct customers and indirect customers, including some of the largest issuers of credit cards in the U.S.</w:t>
      </w:r>
    </w:p>
    <w:p>
      <w:pPr>
        <w:spacing w:after="0" w:line="1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CompoSecure is operated as an umbrella partnership C corporation (“Up-C”) meaning that the sole asset of CompoSecure, Inc. is its interest in CompoSecure Holdings, L.L.C. ("Holdings") and the related deferred tax asset. Holdings has been an entity taxed as a partnership for U.S. federal income tax purposes and, until the Resolute transaction (described below), was owned by both the historical owners and CompoSecure, Inc. By virtue of control of the board of managers of Holdings, CompoSecure, Inc. operates and controls the business and affairs of CompoSecure. As a result, the Company consolidates the financial results of Holdings and reports a non-controlling interest related to the Holdings units not owned by CompoSecure, Inc.</w:t>
      </w:r>
    </w:p>
    <w:p>
      <w:pPr>
        <w:spacing w:after="0" w:line="159"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4"/>
          <w:szCs w:val="14"/>
          <w:color w:val="auto"/>
        </w:rPr>
        <w:t>On August 7, 2024, all of the Class B stockholders of the Company and affiliates of Resolute Compo Holdings, LLC, including Tungsten 2024 LLC ("Resolute") entered into stock purchase agreements, pursuant to which the selling shareholders would exchange their 51,908,422 Class B units (and corresponding Class B shares) for Class A shares, eliminating the Company's existing dual-share class structure. On September 17, 2024, the transactions (the "Resolute Transaction") closed and Resolute became the majority owner of the Company by acquiring 49,290,409 of the Class</w:t>
      </w:r>
    </w:p>
    <w:p>
      <w:pPr>
        <w:spacing w:after="0" w:line="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A Common Stock of the Company for an aggregate purchase price of approximately $372.1 million, or $7.55 per share, representing an approximately 60% voting interest. The Company was not party to stock purchase transactions. Prior to these transactions, Class B holders held Class B units in Holdings. Subsequent to the Resolute Transaction, CompoSecure owned 100% of Holdings. As a result of the Resolute Transaction, the Company no longer has Class B shares outstanding or a non-controlling interest as of September 30, 2024.</w:t>
      </w:r>
    </w:p>
    <w:p>
      <w:pPr>
        <w:spacing w:after="0" w:line="336" w:lineRule="exact"/>
        <w:rPr>
          <w:sz w:val="20"/>
          <w:szCs w:val="20"/>
          <w:color w:val="auto"/>
        </w:rPr>
      </w:pPr>
    </w:p>
    <w:p>
      <w:pPr>
        <w:ind w:right="7440" w:firstLine="5"/>
        <w:spacing w:after="0" w:line="381" w:lineRule="auto"/>
        <w:tabs>
          <w:tab w:leader="none" w:pos="141"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 Basis of Presentation</w:t>
      </w:r>
    </w:p>
    <w:p>
      <w:pPr>
        <w:ind w:firstLine="509"/>
        <w:spacing w:after="0" w:line="264" w:lineRule="auto"/>
        <w:rPr>
          <w:sz w:val="20"/>
          <w:szCs w:val="20"/>
          <w:color w:val="auto"/>
        </w:rPr>
      </w:pPr>
      <w:r>
        <w:rPr>
          <w:rFonts w:ascii="Times New Roman" w:cs="Times New Roman" w:eastAsia="Times New Roman" w:hAnsi="Times New Roman"/>
          <w:sz w:val="14"/>
          <w:szCs w:val="14"/>
          <w:color w:val="auto"/>
        </w:rPr>
        <w:t>The accompanying consolidated financial statements are presented in conformity with U.S. GAAP and pursuant to the rules and regulations of the U.S. Securities and Exchange Commission (“SEC”). Any reference in these notes to applicable guidance is meant to refer to U.S. GAAP as found in the Accounting Standards Codification (“ASC”) and Accounting Standards Updates (“ASU”) promulgated by the Financial Accounting Standards Board (“FASB”). The accompanying consolidated financial statements include the results of operations of the Company and its subsidiaries. All intercompany accounts and transactions have been eliminated in consolidation. Certain reclassifications have been made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conform to the current year presentation. All dollar amounts are in thousands, unless otherwise noted. Share and per share amounts are presented on a post-conversion basis for all periods presented, unless otherwise noted.</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Company's significant accounting policies are detailed in the Company's Annual Report on Form 10-K for the year ended December 31, 2023 filed with the SEC.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Interim Financial Statements</w:t>
      </w:r>
    </w:p>
    <w:p>
      <w:pPr>
        <w:spacing w:after="0" w:line="20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accordance with Generally Accepted Accounting Principles ("U.S. GAAP") and Article 10 of Regulation S-X of the SEC for interim financial information and should be read in conjunction with the Company’s Annual Report on Form 10-K for the year ended December 31, 2023. The financial statements presented in this Quarterly Report on Form 10-Q are unaudited; however, in the opinion of management, the financial statements reflect all adjustments, consisting solely of normal, recurring adjustments, necessary for the fair presentation of the financial statements for the periods presented. The results disclosed in the Consolidated Statements of Operations for the three and nine month periods ended September 30, 2024 are not necessarily indicative of the results to be expected for the full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20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The preparation of the consolidated financial statements requires management to make a number of estimates and assumptions relating to the reported amount of assets and liabilities at the date of the consolidated financial statements and the reported amounts of revenues and expenses during the period.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The Company evaluates the adequacy of its reserves and the estimates used in calculations on an on-going basis. Significant areas requiring management to make estimates include the valuation of equity instruments, measurement of changes in the fair value of earnout consideration liability, estimates of derivative liability associated with the Exchangeable Notes (as defined below), which are marked to market each quarter based on a Lattice model approach, derivative asset for the interest rate swap, changes in the fair value of warrant liabilities, valuation allowances on deferred tax assets which are based on an assessment of recoverability of the deferred tax assets against future taxable income and estimates of the inputs used to calculate the tax receivable agreement liability.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9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The Company recognizes revenue in accordance with ASC 606 when the performance obligations under the terms of the Company’s contracts with its customers have been satisfied. This occurs at the point in time when control of the specific goods or services as specified by each purchase order are transferred to customers. Specific goods refers to the products offered by the Company, including metal cards, high security documents, and pre-laminated materials. Transfer of control passes to customers upon shipment or upon receipt, depending on the agreement with the specific customers. ASC 606 requires entities to record a contract asset when a performance obligation has been satisfied or partially satisfied, but the amount of consideration has not yet been received because the receipt of the consideration is conditioned on something other than the passage of time. ASC 606 also requires an entity to present a revenue contract as a contract liability in instances when a customer pays consideration, or an entity has a right to an amount of consideration that is unconditional (e.g. receivable), before the entity transfers a good or service to the customer. The Company did not have any contract assets or liabilities as of September 30, 2024 or December 31, 2023.</w:t>
      </w:r>
    </w:p>
    <w:p>
      <w:pPr>
        <w:spacing w:after="0" w:line="62"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The Company invoices its customers at the time at which control is transferred, with payment terms ranging between 15 and 60 days depending on each individual contract. As the payment is due within 60 days of the invoice, a significant financing component is not included within the contracts.</w:t>
      </w:r>
    </w:p>
    <w:p>
      <w:pPr>
        <w:spacing w:after="0" w:line="39" w:lineRule="exact"/>
        <w:rPr>
          <w:sz w:val="20"/>
          <w:szCs w:val="20"/>
          <w:color w:val="auto"/>
        </w:rPr>
      </w:pPr>
    </w:p>
    <w:p>
      <w:pPr>
        <w:ind w:right="280" w:firstLine="509"/>
        <w:spacing w:after="0" w:line="287" w:lineRule="auto"/>
        <w:rPr>
          <w:sz w:val="20"/>
          <w:szCs w:val="20"/>
          <w:color w:val="auto"/>
        </w:rPr>
      </w:pPr>
      <w:r>
        <w:rPr>
          <w:rFonts w:ascii="Times New Roman" w:cs="Times New Roman" w:eastAsia="Times New Roman" w:hAnsi="Times New Roman"/>
          <w:sz w:val="14"/>
          <w:szCs w:val="14"/>
          <w:color w:val="auto"/>
        </w:rPr>
        <w:t>The majority of the Company’s contracts with its customers have the same performance obligation of manufacturing and transferring the specified number of cards to the customer. Each individual card included within an order constitutes a separate performance obligation, which is satisfied upon the transfer of goods to the customer. The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contract term as defined by ASC 606 is the length of time it takes to deliver the goods or services promised under the purchase order or statement of work. As such, the Company's contracts are generally short-term in nature.</w:t>
      </w:r>
    </w:p>
    <w:p>
      <w:pPr>
        <w:spacing w:after="0" w:line="39" w:lineRule="exact"/>
        <w:rPr>
          <w:sz w:val="20"/>
          <w:szCs w:val="20"/>
          <w:color w:val="auto"/>
        </w:rPr>
      </w:pPr>
    </w:p>
    <w:p>
      <w:pPr>
        <w:ind w:right="600" w:firstLine="509"/>
        <w:spacing w:after="0" w:line="287" w:lineRule="auto"/>
        <w:rPr>
          <w:sz w:val="20"/>
          <w:szCs w:val="20"/>
          <w:color w:val="auto"/>
        </w:rPr>
      </w:pPr>
      <w:r>
        <w:rPr>
          <w:rFonts w:ascii="Times New Roman" w:cs="Times New Roman" w:eastAsia="Times New Roman" w:hAnsi="Times New Roman"/>
          <w:sz w:val="14"/>
          <w:szCs w:val="14"/>
          <w:color w:val="auto"/>
        </w:rPr>
        <w:t>Revenue is measured in an amount that reflects the consideration the Company expects to receive in exchange for those products or services. Revenue is recognized net of variable consideration such as discounts, rebates, and returns.</w:t>
      </w:r>
    </w:p>
    <w:p>
      <w:pPr>
        <w:spacing w:after="0" w:line="39"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The Company’s products do not include an unmitigated right of return unless the product is non-conforming or defective. If the goods are non-conforming or defective, the defective goods are replaced or reworked or, in certain instances, a credit is issued for the portion of the order that was non-conforming or defective. A provision for sales returns and allowances is recorded based on experience with goods being returned. Most returned goods are re-worked and subsequently re-shipped to the customer and recognized as revenue. Historically, returns have not been material to the Company.</w:t>
      </w:r>
    </w:p>
    <w:p>
      <w:pPr>
        <w:spacing w:after="0" w:line="56" w:lineRule="exact"/>
        <w:rPr>
          <w:sz w:val="20"/>
          <w:szCs w:val="20"/>
          <w:color w:val="auto"/>
        </w:rPr>
      </w:pPr>
    </w:p>
    <w:p>
      <w:pPr>
        <w:ind w:right="360" w:firstLine="509"/>
        <w:spacing w:after="0" w:line="287" w:lineRule="auto"/>
        <w:rPr>
          <w:sz w:val="20"/>
          <w:szCs w:val="20"/>
          <w:color w:val="auto"/>
        </w:rPr>
      </w:pPr>
      <w:r>
        <w:rPr>
          <w:rFonts w:ascii="Times New Roman" w:cs="Times New Roman" w:eastAsia="Times New Roman" w:hAnsi="Times New Roman"/>
          <w:sz w:val="14"/>
          <w:szCs w:val="14"/>
          <w:color w:val="auto"/>
        </w:rPr>
        <w:t>Additionally, the Company has a rebate program with certain customers allowing for a rebate based on achieving a certain level of shipped sales during the calendar year. This rebate is estimated and updated throughout the year and recorded against revenues and the related accounts receivable.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Information</w:t>
      </w:r>
    </w:p>
    <w:p>
      <w:pPr>
        <w:spacing w:after="0" w:line="96"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The Company is managed and operated as one business, as the entire business is managed by a single management team that reports to the Chief Executive Officer and President. The Company's chief operating decision-maker ("CODM") is its Chief Executive Officer and President, who makes resource allocation decisions and assesses performance based on financial information presented on an aggregate basis. The Company does not operate separate lines of business with respect to any of its products and does not review discrete financial information to allocate resources to separate products or by location. Accordingly, the Company views its business as one reportable operating segment.</w:t>
      </w:r>
    </w:p>
    <w:p>
      <w:pPr>
        <w:spacing w:after="0" w:line="162"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Characteristics of the organization which were relied upon in making the determination that the Company operates in one reportable segment include the similar nature of all of the products that the Company sells, the functional alignment of the Company’s organizational structure, and the reports that are regularly reviewed by the CODM for the purpose of assessing performance and allocating resources.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Software Development Costs</w:t>
      </w:r>
    </w:p>
    <w:p>
      <w:pPr>
        <w:spacing w:after="0" w:line="200"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4"/>
          <w:szCs w:val="14"/>
          <w:color w:val="auto"/>
        </w:rPr>
        <w:t xml:space="preserve">The Company applies the principals of FASB ASC 350-40, </w:t>
      </w:r>
      <w:r>
        <w:rPr>
          <w:rFonts w:ascii="Times New Roman" w:cs="Times New Roman" w:eastAsia="Times New Roman" w:hAnsi="Times New Roman"/>
          <w:sz w:val="14"/>
          <w:szCs w:val="14"/>
          <w:i w:val="1"/>
          <w:iCs w:val="1"/>
          <w:color w:val="auto"/>
        </w:rPr>
        <w:t>Accounting for the Cost of Computer Software Developed or Obtained for Internal Use</w:t>
      </w:r>
      <w:r>
        <w:rPr>
          <w:rFonts w:ascii="Times New Roman" w:cs="Times New Roman" w:eastAsia="Times New Roman" w:hAnsi="Times New Roman"/>
          <w:sz w:val="14"/>
          <w:szCs w:val="14"/>
          <w:color w:val="auto"/>
        </w:rPr>
        <w:t xml:space="preserve"> ("ASC 350-40"). ASC 350-40 requires that software development costs incurred before the preliminary project stage be expensed as incurred. The Company capitalizes development costs related to these software applications once the preliminary project stage is complete and it is probable that the project will be completed and the software will be used to perform the functions intended. The Company capitalized $331 for the three months ended September 30, 2024 of software development costs. For the nine months ended September 30, 2024, the Company capitalized $729 of software development costs. No software development costs were capitalized during the three and nine months ended September 30,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Income Per Share</w:t>
      </w:r>
    </w:p>
    <w:p>
      <w:pPr>
        <w:spacing w:after="0" w:line="202" w:lineRule="exact"/>
        <w:rPr>
          <w:sz w:val="20"/>
          <w:szCs w:val="20"/>
          <w:color w:val="auto"/>
        </w:rPr>
      </w:pPr>
    </w:p>
    <w:p>
      <w:pPr>
        <w:ind w:right="240" w:firstLine="509"/>
        <w:spacing w:after="0" w:line="270" w:lineRule="auto"/>
        <w:rPr>
          <w:sz w:val="20"/>
          <w:szCs w:val="20"/>
          <w:color w:val="auto"/>
        </w:rPr>
      </w:pPr>
      <w:r>
        <w:rPr>
          <w:rFonts w:ascii="Times New Roman" w:cs="Times New Roman" w:eastAsia="Times New Roman" w:hAnsi="Times New Roman"/>
          <w:sz w:val="14"/>
          <w:szCs w:val="14"/>
          <w:color w:val="auto"/>
        </w:rPr>
        <w:t>The Company complies with accounting and disclosure requirements of FASB ASC Topic 260, “Earnings Per Share”. Net income per common share is computed by dividing net income attributable to controlling interest by the weighted-average number of common shares outstanding for the period. The weighted-average number of common shares outstanding during the period includes Class A common stock but is exclusive of Class B common stock as these shares have no economic or participating rights.</w:t>
      </w:r>
    </w:p>
    <w:p>
      <w:pPr>
        <w:spacing w:after="0" w:line="157"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Diluted net income per share is computed by dividing the net income allocated to potential dilutive instruments attributable to controlling interest by the basic weighted-average number of common shares outstanding during the period, adjusted for the potentially dilutive shares of common stock equivalents resulting from the assumed exercise of the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warrants, payment of the earnouts, exercise of the equity awards, exchange of the Class B units and Exchangeable Notes ("securities") only if the effect is not anti-dilutive.</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 – Adopted in current fiscal year</w:t>
      </w:r>
    </w:p>
    <w:p>
      <w:pPr>
        <w:spacing w:after="0" w:line="1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 xml:space="preserve">On December 2023, the FASB issued ASU 2023-09, </w:t>
      </w:r>
      <w:r>
        <w:rPr>
          <w:rFonts w:ascii="Times New Roman" w:cs="Times New Roman" w:eastAsia="Times New Roman" w:hAnsi="Times New Roman"/>
          <w:sz w:val="14"/>
          <w:szCs w:val="14"/>
          <w:i w:val="1"/>
          <w:iCs w:val="1"/>
          <w:color w:val="auto"/>
        </w:rPr>
        <w:t>Improvements to Income Tax Disclosures</w:t>
      </w:r>
      <w:r>
        <w:rPr>
          <w:rFonts w:ascii="Times New Roman" w:cs="Times New Roman" w:eastAsia="Times New Roman" w:hAnsi="Times New Roman"/>
          <w:sz w:val="14"/>
          <w:szCs w:val="14"/>
          <w:color w:val="auto"/>
        </w:rPr>
        <w:t>, which applies to all entities subject to income taxes. For public business entities ("PBEs"), the new requirements will be effective for annual periods beginning after December 15, 2024. For entities other than public business entities ("non-PBEs"), the requirements will be effective for annual periods beginning after December 15, 2025. The guidance will be applied on a prospective basis with the option to apply the standard retrospectively. Early adoption is permitted. The amendments in this update require that public business entities on an annual basis disclose specific categories in the rate reconciliation and provide additional information for reconciling items that meet a quantitative threshold if the effect of those reconciling items is equal to or greater than five percent of the amount computed by multiplying pretax income (or loss) by the applicable statutory income tax rate. The new guidance focuses on two specific disclosure areas: rate reconciliation and income taxes paid. The rate reconciliation disclosure requirements differ for PBEs as compared to non-PBEs. The income taxes paid disclosures are the same for all entities. The Company will adopt this ASU on January 1, 2025 and is still assessing the impact that the adoption of this ASU will have on the Company's consolidated financial statements.</w:t>
      </w:r>
    </w:p>
    <w:p>
      <w:pPr>
        <w:spacing w:after="0" w:line="143"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4"/>
          <w:szCs w:val="14"/>
          <w:color w:val="auto"/>
        </w:rPr>
        <w:t xml:space="preserve">On November 27, 2023, the FASB issued ASU 2023-07, </w:t>
      </w:r>
      <w:r>
        <w:rPr>
          <w:rFonts w:ascii="Times New Roman" w:cs="Times New Roman" w:eastAsia="Times New Roman" w:hAnsi="Times New Roman"/>
          <w:sz w:val="14"/>
          <w:szCs w:val="14"/>
          <w:i w:val="1"/>
          <w:iCs w:val="1"/>
          <w:color w:val="auto"/>
        </w:rPr>
        <w:t>Improvements to Reportable Segment Disclosures,</w:t>
      </w:r>
      <w:r>
        <w:rPr>
          <w:rFonts w:ascii="Times New Roman" w:cs="Times New Roman" w:eastAsia="Times New Roman" w:hAnsi="Times New Roman"/>
          <w:sz w:val="14"/>
          <w:szCs w:val="14"/>
          <w:color w:val="auto"/>
        </w:rPr>
        <w:t xml:space="preserve"> which applies to all public entities that are required to report segment information in accordance with Topic 280, Segment Reporting, The guidance will be applied retrospectively and is effective for fiscal years beginning after December 15, 2023, and interim periods within fiscal years beginning after December 15, 2024. Early adoption is permitted. The guidance improves financial reporting by requiring disclosure of incremental segment information on an annual and interim basis for all public entities to enable investors to develop more decision-useful financial analysis. The Company is in the process of evaluating the impact of this ASU on its year end financial reporting as required by the standard.</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3. INVENTORIES</w:t>
            </w: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55"/>
        </w:trPr>
        <w:tc>
          <w:tcPr>
            <w:tcW w:w="71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major classes of inventories were as follows:</w:t>
            </w: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97"/>
        </w:trPr>
        <w:tc>
          <w:tcPr>
            <w:tcW w:w="7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24"/>
                <w:szCs w:val="24"/>
                <w:color w:val="auto"/>
              </w:rPr>
            </w:pPr>
          </w:p>
        </w:tc>
        <w:tc>
          <w:tcPr>
            <w:tcW w:w="17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2"/>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9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54,855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50,867</w:t>
            </w:r>
          </w:p>
        </w:tc>
      </w:tr>
      <w:tr>
        <w:trPr>
          <w:trHeight w:val="19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 in process</w:t>
            </w:r>
          </w:p>
        </w:tc>
        <w:tc>
          <w:tcPr>
            <w:tcW w:w="2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4,110</w:t>
            </w:r>
          </w:p>
        </w:tc>
      </w:tr>
      <w:tr>
        <w:trPr>
          <w:trHeight w:val="32"/>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0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26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r>
      <w:tr>
        <w:trPr>
          <w:trHeight w:val="19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Inventory reserve</w:t>
            </w:r>
          </w:p>
        </w:tc>
        <w:tc>
          <w:tcPr>
            <w:tcW w:w="2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(3,099)</w:t>
            </w:r>
          </w:p>
        </w:tc>
      </w:tr>
      <w:tr>
        <w:trPr>
          <w:trHeight w:val="32"/>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8"/>
        </w:trPr>
        <w:tc>
          <w:tcPr>
            <w:tcW w:w="7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55,090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52,540</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440" w:firstLine="509"/>
        <w:spacing w:after="0" w:line="243" w:lineRule="auto"/>
        <w:rPr>
          <w:sz w:val="20"/>
          <w:szCs w:val="20"/>
          <w:color w:val="auto"/>
        </w:rPr>
      </w:pPr>
      <w:r>
        <w:rPr>
          <w:rFonts w:ascii="Times New Roman" w:cs="Times New Roman" w:eastAsia="Times New Roman" w:hAnsi="Times New Roman"/>
          <w:sz w:val="14"/>
          <w:szCs w:val="14"/>
          <w:color w:val="auto"/>
        </w:rPr>
        <w:t>The Company monitors inventory costs relative to selling prices and performs physical cycle count procedures on inventories throughout the year to determine if a lower cost or net realizable value reserve is necessary. The Company reviews inventory for slow-moving or obsolete amounts based on expected product sales volume and provides reserves against the carrying amount of inventory as appropriate. This reserve may fluctuate as the Company's assumptions change due to new information, discrete events, or changes in the business, such as entering new markets or discontinuing a specific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4. PROPERTY AND EQUIPMENT</w:t>
            </w:r>
          </w:p>
        </w:tc>
        <w:tc>
          <w:tcPr>
            <w:tcW w:w="2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Property and equipment consisted of the following:</w:t>
            </w:r>
          </w:p>
        </w:tc>
        <w:tc>
          <w:tcPr>
            <w:tcW w:w="2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4820" w:type="dxa"/>
            <w:vAlign w:val="bottom"/>
          </w:tcPr>
          <w:p>
            <w:pPr>
              <w:spacing w:after="0"/>
              <w:rPr>
                <w:sz w:val="24"/>
                <w:szCs w:val="24"/>
                <w:color w:val="auto"/>
              </w:rPr>
            </w:pP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60" w:type="dxa"/>
            <w:vAlign w:val="bottom"/>
          </w:tcPr>
          <w:p>
            <w:pPr>
              <w:spacing w:after="0"/>
              <w:rPr>
                <w:sz w:val="24"/>
                <w:szCs w:val="24"/>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24"/>
                <w:szCs w:val="24"/>
                <w:color w:val="auto"/>
              </w:rPr>
            </w:pPr>
          </w:p>
        </w:tc>
        <w:tc>
          <w:tcPr>
            <w:tcW w:w="174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2"/>
        </w:trPr>
        <w:tc>
          <w:tcPr>
            <w:tcW w:w="48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23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5 - 10 years</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30,311</w:t>
            </w:r>
          </w:p>
        </w:tc>
        <w:tc>
          <w:tcPr>
            <w:tcW w:w="0" w:type="dxa"/>
            <w:vAlign w:val="bottom"/>
          </w:tcPr>
          <w:p>
            <w:pPr>
              <w:spacing w:after="0"/>
              <w:rPr>
                <w:sz w:val="1"/>
                <w:szCs w:val="1"/>
                <w:color w:val="auto"/>
              </w:rPr>
            </w:pPr>
          </w:p>
        </w:tc>
      </w:tr>
      <w:tr>
        <w:trPr>
          <w:trHeight w:val="191"/>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3 - 5 years</w:t>
            </w:r>
          </w:p>
        </w:tc>
        <w:tc>
          <w:tcPr>
            <w:tcW w:w="2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32"/>
        </w:trPr>
        <w:tc>
          <w:tcPr>
            <w:tcW w:w="48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equipment</w:t>
            </w:r>
          </w:p>
        </w:tc>
        <w:tc>
          <w:tcPr>
            <w:tcW w:w="23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3 - 5 years</w:t>
            </w:r>
          </w:p>
        </w:tc>
        <w:tc>
          <w:tcPr>
            <w:tcW w:w="26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7"/>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Shorter of lease term or estimated</w:t>
            </w:r>
          </w:p>
        </w:tc>
        <w:tc>
          <w:tcPr>
            <w:tcW w:w="260" w:type="dxa"/>
            <w:vAlign w:val="bottom"/>
          </w:tcPr>
          <w:p>
            <w:pPr>
              <w:spacing w:after="0"/>
              <w:rPr>
                <w:sz w:val="16"/>
                <w:szCs w:val="16"/>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11,533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10,609</w:t>
            </w:r>
          </w:p>
        </w:tc>
        <w:tc>
          <w:tcPr>
            <w:tcW w:w="0" w:type="dxa"/>
            <w:vAlign w:val="bottom"/>
          </w:tcPr>
          <w:p>
            <w:pPr>
              <w:spacing w:after="0"/>
              <w:rPr>
                <w:sz w:val="1"/>
                <w:szCs w:val="1"/>
                <w:color w:val="auto"/>
              </w:rPr>
            </w:pPr>
          </w:p>
        </w:tc>
      </w:tr>
      <w:tr>
        <w:trPr>
          <w:trHeight w:val="89"/>
        </w:trPr>
        <w:tc>
          <w:tcPr>
            <w:tcW w:w="4820" w:type="dxa"/>
            <w:vAlign w:val="bottom"/>
          </w:tcPr>
          <w:p>
            <w:pPr>
              <w:spacing w:after="0"/>
              <w:rPr>
                <w:sz w:val="7"/>
                <w:szCs w:val="7"/>
                <w:color w:val="auto"/>
              </w:rPr>
            </w:pPr>
          </w:p>
        </w:tc>
        <w:tc>
          <w:tcPr>
            <w:tcW w:w="23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useful life</w:t>
            </w:r>
          </w:p>
        </w:tc>
        <w:tc>
          <w:tcPr>
            <w:tcW w:w="26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820" w:type="dxa"/>
            <w:vAlign w:val="bottom"/>
          </w:tcPr>
          <w:p>
            <w:pPr>
              <w:spacing w:after="0"/>
              <w:rPr>
                <w:sz w:val="8"/>
                <w:szCs w:val="8"/>
                <w:color w:val="auto"/>
              </w:rPr>
            </w:pPr>
          </w:p>
        </w:tc>
        <w:tc>
          <w:tcPr>
            <w:tcW w:w="23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8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23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1 - 3 years</w:t>
            </w:r>
          </w:p>
        </w:tc>
        <w:tc>
          <w:tcPr>
            <w:tcW w:w="26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0" w:type="dxa"/>
            <w:vAlign w:val="bottom"/>
          </w:tcPr>
          <w:p>
            <w:pPr>
              <w:spacing w:after="0"/>
              <w:rPr>
                <w:sz w:val="1"/>
                <w:szCs w:val="1"/>
                <w:color w:val="auto"/>
              </w:rPr>
            </w:pPr>
          </w:p>
        </w:tc>
      </w:tr>
      <w:tr>
        <w:trPr>
          <w:trHeight w:val="191"/>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2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4,189</w:t>
            </w:r>
          </w:p>
        </w:tc>
        <w:tc>
          <w:tcPr>
            <w:tcW w:w="0" w:type="dxa"/>
            <w:vAlign w:val="bottom"/>
          </w:tcPr>
          <w:p>
            <w:pPr>
              <w:spacing w:after="0"/>
              <w:rPr>
                <w:sz w:val="1"/>
                <w:szCs w:val="1"/>
                <w:color w:val="auto"/>
              </w:rPr>
            </w:pPr>
          </w:p>
        </w:tc>
      </w:tr>
      <w:tr>
        <w:trPr>
          <w:trHeight w:val="32"/>
        </w:trPr>
        <w:tc>
          <w:tcPr>
            <w:tcW w:w="482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51,644</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46,862</w:t>
            </w:r>
          </w:p>
        </w:tc>
        <w:tc>
          <w:tcPr>
            <w:tcW w:w="0" w:type="dxa"/>
            <w:vAlign w:val="bottom"/>
          </w:tcPr>
          <w:p>
            <w:pPr>
              <w:spacing w:after="0"/>
              <w:rPr>
                <w:sz w:val="1"/>
                <w:szCs w:val="1"/>
                <w:color w:val="auto"/>
              </w:rPr>
            </w:pPr>
          </w:p>
        </w:tc>
      </w:tr>
      <w:tr>
        <w:trPr>
          <w:trHeight w:val="191"/>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(28,582)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(21,650)</w:t>
            </w:r>
          </w:p>
        </w:tc>
        <w:tc>
          <w:tcPr>
            <w:tcW w:w="0" w:type="dxa"/>
            <w:vAlign w:val="bottom"/>
          </w:tcPr>
          <w:p>
            <w:pPr>
              <w:spacing w:after="0"/>
              <w:rPr>
                <w:sz w:val="1"/>
                <w:szCs w:val="1"/>
                <w:color w:val="auto"/>
              </w:rPr>
            </w:pPr>
          </w:p>
        </w:tc>
      </w:tr>
      <w:tr>
        <w:trPr>
          <w:trHeight w:val="32"/>
        </w:trPr>
        <w:tc>
          <w:tcPr>
            <w:tcW w:w="482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80" w:firstLine="509"/>
        <w:spacing w:after="0" w:line="287" w:lineRule="auto"/>
        <w:rPr>
          <w:sz w:val="20"/>
          <w:szCs w:val="20"/>
          <w:color w:val="auto"/>
        </w:rPr>
      </w:pPr>
      <w:r>
        <w:rPr>
          <w:rFonts w:ascii="Times New Roman" w:cs="Times New Roman" w:eastAsia="Times New Roman" w:hAnsi="Times New Roman"/>
          <w:sz w:val="14"/>
          <w:szCs w:val="14"/>
          <w:color w:val="auto"/>
        </w:rPr>
        <w:t>Depreciation and amortization expense on property and equipment was $2,331 and $2,078 for the three months ended September 30, 2024 and 2023, respectively. Depreciation and amortization expense on property and equipment was $6,932 and $6,249 for the nine months ended September 30, 2024 and 2023,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Exchangeable Senior Notes</w:t>
      </w:r>
    </w:p>
    <w:p>
      <w:pPr>
        <w:spacing w:after="0" w:line="20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On December 27, 2021, the Company merged with Roman DBDR Tech Acquisition Corp ("Roman DBDR") pursuant to a merger agreement dated April 19, 2021 (the "Merger Agreement"), by and among Roman DBDR, Roman Parent Merger Sub, LLC, a wholly-owned subsidiary of Roman DBDR incorporated in the State of Delaware ("Merger Sub"), and Holdings. Pursuant to the terms of the Merger Agreement, a business combination between the Company and Holdings was effected through the merger of Merger Sub with and into Holdings, with Holdings as the surviving company and as a wholly-owned subsidiary of Roman DBDR, now named CompoSecure, Inc. (the "Business Combination"). On April 19, 2021, concurrent with the execution of the Merger Agreement, the Company and its subsidiary, Holdings, entered into subscription agreements (the “Note Subscription Agreements”) with certain investors ("Notes Investors") pursuant to which such Notes Investors, severally and not jointly, purchased on December 27, 2021, the closing date of the Business Combination (the "Closing Date"), senior notes (the “Exchangeable Notes”) issued by Holdings and guaranteed by its operating subsidiaries, CompoSecure, L.L.C. and Arculus Holdings, L.L.C., in an aggregate principal amount of up to $130,000 that were exchangeable into shares of Class A common stock at a conversion price of $11.50 per share, subject to the terms and conditions of an indenture (the "Indenture") entered into by the Company and its subsidiary, Holdings, and the trustee under the Indenture.</w:t>
      </w:r>
    </w:p>
    <w:p>
      <w:pPr>
        <w:spacing w:after="0" w:line="167"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The Exchangeable Notes bear interest at a rate of 7% per year, payable semiannually in arrears on each June 15 and December 15, commencing on June 15, 2022, to holders of record at the close of business on the preceding June 1 and December 1 (whether or not such day is a Business Day), respectively. The Exchangeable Notes mature on December 27, 2026. The Company will settle any exchange of the Exchangeable Notes in shares of Class A common stock, with cash payable in lieu of any fractional shares. In connection with the issuance of the Exchangeable Notes, the Company entered into a Registration Rights Agreement, pursuant to which the Notes Investors received certain registration rights with respect to the Class A common stock.</w:t>
      </w:r>
    </w:p>
    <w:p>
      <w:pPr>
        <w:spacing w:after="0" w:line="162" w:lineRule="exact"/>
        <w:rPr>
          <w:sz w:val="20"/>
          <w:szCs w:val="20"/>
          <w:color w:val="auto"/>
        </w:rPr>
      </w:pPr>
    </w:p>
    <w:p>
      <w:pPr>
        <w:ind w:right="200" w:firstLine="509"/>
        <w:spacing w:after="0" w:line="270" w:lineRule="auto"/>
        <w:rPr>
          <w:sz w:val="20"/>
          <w:szCs w:val="20"/>
          <w:color w:val="auto"/>
        </w:rPr>
      </w:pPr>
      <w:r>
        <w:rPr>
          <w:rFonts w:ascii="Times New Roman" w:cs="Times New Roman" w:eastAsia="Times New Roman" w:hAnsi="Times New Roman"/>
          <w:sz w:val="14"/>
          <w:szCs w:val="14"/>
          <w:color w:val="auto"/>
        </w:rPr>
        <w:t>After the three-year anniversary of the Closing Date, which will occur on December 27, 2024, the Exchangeable Notes will be redeemable at any time and from time to time by the Company, in whole or in part, (i) if the Last Reported Sale Price of the Class A common stock exceeds 130% of the exchange price as defined in Indenture then in effect for at least 20 trading days (whether or not consecutive) during any 30 consecutive trading day period (including the last trading</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day of such period) ending on, and including, the trading day immediately preceding the date on which the Company provides notice of redemption and (ii) so long as a registration statement registering the resale of all Exchange Shares is effective and available for use by holders of Exchangeable Notes during the entirety of the period from and including the date notice of redemption is given to and including the date of redemption. The notice period for any redemption will be no less than 30 scheduled trading days. The redemption price in any such redemption shall be equal to (a) 100% of the principal amount of the Exchangeable Notes to be redeemed, plus (b) accrued and unpaid interest to, but excluding, the redemption date. The redemption price is payable in cash.</w:t>
      </w:r>
    </w:p>
    <w:p>
      <w:pPr>
        <w:spacing w:after="0" w:line="16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Per the terms of the Indenture, holders of Exchangeable Notes in connection with any such redemption will receive a make-whole payment equal to the aggregate dollar value of all interest payable from the date the Company delivers notice of such redemption through the maturity of the Exchangeable Notes. The redemption Make-Whole Amount is payable, at the Company’s option, in cash or through an increase in the exchange rate then applicable to the Exchangeable Notes by an amount equal to (i) the redemption Make-Whole Amount divided by (ii) the five day Volume Weighed Average Price ("VWAP") with regard to the Class A common stock during the five trading period beginning on the trading day immediately following the notice of redemption.</w:t>
      </w:r>
    </w:p>
    <w:p>
      <w:pPr>
        <w:spacing w:after="0" w:line="162"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Holders of Exchangeable Notes may exchange their notes in whole or in part, at any time or from time to time, for shares of the Company’s Class A common stock, par value $0.0001 per share up, to a maximum exchange rate of 99.9999 shares per $1,000 principal amount after adjustments as defined in the Indenture.</w:t>
      </w:r>
    </w:p>
    <w:p>
      <w:pPr>
        <w:spacing w:after="0" w:line="145"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The Exchangeable Notes contain customary anti-dilution adjustments, taking into account the agreed terms in the Indenture. To avoid doubt, among other customary adjustments, this includes anti-dilution protections for dividends and distributions of the Company's capital stock, assets and indebtedness. Per the terms of the Indenture, the following are the anti-dilution adjustments of the exchange rate:</w:t>
      </w:r>
    </w:p>
    <w:p>
      <w:pPr>
        <w:spacing w:after="0" w:line="157" w:lineRule="exact"/>
        <w:rPr>
          <w:sz w:val="20"/>
          <w:szCs w:val="20"/>
          <w:color w:val="auto"/>
        </w:rPr>
      </w:pPr>
    </w:p>
    <w:p>
      <w:pPr>
        <w:ind w:left="500" w:hanging="240"/>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exclusively issues shares of common stock as a dividend or distribution on shares of the common stock, or if the Company effects a share split or share combination;</w:t>
      </w:r>
    </w:p>
    <w:p>
      <w:pPr>
        <w:spacing w:after="0" w:line="199" w:lineRule="exact"/>
        <w:rPr>
          <w:rFonts w:ascii="Times New Roman" w:cs="Times New Roman" w:eastAsia="Times New Roman" w:hAnsi="Times New Roman"/>
          <w:sz w:val="14"/>
          <w:szCs w:val="14"/>
          <w:color w:val="auto"/>
        </w:rPr>
      </w:pPr>
    </w:p>
    <w:p>
      <w:pPr>
        <w:ind w:left="520" w:right="60" w:hanging="260"/>
        <w:spacing w:after="0" w:line="264"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issues to all or substantially all holders of the common stock any rights, options or warrants (other than pursuant to a stockholders' rights plan)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w:t>
      </w:r>
    </w:p>
    <w:p>
      <w:pPr>
        <w:spacing w:after="0" w:line="161"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1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distributes shares of its capital stock, evidences of its indebtedness, other assets or property of the Company or rights, options or warrants to acquire its capital stock or other securities of the Company, to all or substantially all holders of the common stock;</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cash dividend or distribution is made to all or substantially all holders of the common stock;</w:t>
      </w:r>
    </w:p>
    <w:p>
      <w:pPr>
        <w:spacing w:after="0" w:line="199" w:lineRule="exact"/>
        <w:rPr>
          <w:rFonts w:ascii="Times New Roman" w:cs="Times New Roman" w:eastAsia="Times New Roman" w:hAnsi="Times New Roman"/>
          <w:sz w:val="14"/>
          <w:szCs w:val="14"/>
          <w:color w:val="auto"/>
        </w:rPr>
      </w:pPr>
    </w:p>
    <w:p>
      <w:pPr>
        <w:ind w:left="520" w:right="60" w:hanging="260"/>
        <w:spacing w:after="0" w:line="270" w:lineRule="auto"/>
        <w:tabs>
          <w:tab w:leader="none" w:pos="51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or any of its Subsidiaries make a payment in respect of a tender or exchange offer for the common stock,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w:t>
      </w:r>
    </w:p>
    <w:p>
      <w:pPr>
        <w:spacing w:after="0" w:line="156"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rate will in no event be adjusted down pursuant to the provisions described above, except to the extent a tender or exchange offer is announced but not consummated.</w:t>
      </w:r>
    </w:p>
    <w:p>
      <w:pPr>
        <w:spacing w:after="0" w:line="200" w:lineRule="exact"/>
        <w:rPr>
          <w:sz w:val="20"/>
          <w:szCs w:val="20"/>
          <w:color w:val="auto"/>
        </w:rPr>
      </w:pPr>
    </w:p>
    <w:p>
      <w:pPr>
        <w:ind w:right="280" w:firstLine="509"/>
        <w:spacing w:after="0" w:line="287" w:lineRule="auto"/>
        <w:rPr>
          <w:sz w:val="20"/>
          <w:szCs w:val="20"/>
          <w:color w:val="auto"/>
        </w:rPr>
      </w:pPr>
      <w:r>
        <w:rPr>
          <w:rFonts w:ascii="Times New Roman" w:cs="Times New Roman" w:eastAsia="Times New Roman" w:hAnsi="Times New Roman"/>
          <w:sz w:val="14"/>
          <w:szCs w:val="14"/>
          <w:color w:val="auto"/>
        </w:rPr>
        <w:t>If the Company undergoes a “fundamental change” (as defined in the Indenture), subject to certain conditions, the exchange rate will be adjusted per the adjustment table included in the Indenture. If a fundamental change occurs at any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time prior to the maturity date, each holder shall have the right, at such holder’s option, to require the Company to repurchase for cash all of such holder’s Exchangeable Notes at a repurchase price equal to 100% of the principal amount of the Exchangeable Notes to be repurchased, plus accrued and unpaid interest thereon. There is no make-whole payment associated with a fundamental change redemption.</w:t>
      </w:r>
    </w:p>
    <w:p>
      <w:pPr>
        <w:spacing w:after="0" w:line="157" w:lineRule="exact"/>
        <w:rPr>
          <w:sz w:val="20"/>
          <w:szCs w:val="20"/>
          <w:color w:val="auto"/>
        </w:rPr>
      </w:pPr>
    </w:p>
    <w:p>
      <w:pPr>
        <w:ind w:firstLine="509"/>
        <w:spacing w:after="0" w:line="237" w:lineRule="auto"/>
        <w:rPr>
          <w:sz w:val="20"/>
          <w:szCs w:val="20"/>
          <w:color w:val="auto"/>
        </w:rPr>
      </w:pPr>
      <w:r>
        <w:rPr>
          <w:rFonts w:ascii="Times New Roman" w:cs="Times New Roman" w:eastAsia="Times New Roman" w:hAnsi="Times New Roman"/>
          <w:sz w:val="14"/>
          <w:szCs w:val="14"/>
          <w:color w:val="auto"/>
        </w:rPr>
        <w:t>Holders of Exchangeable Notes will be entitled to the resale registration rights under the resale Registration Rights Agreement. If a Registration default occurs, additional interest will accrue, equal to 0.25% in the first 90 days and 0.50% after the 91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day after the Registration Default (which includes that the Registration Statement has not been filed, or deemed effective or ceases to be effective).</w:t>
      </w:r>
    </w:p>
    <w:p>
      <w:pPr>
        <w:spacing w:after="0" w:line="178" w:lineRule="exact"/>
        <w:rPr>
          <w:sz w:val="20"/>
          <w:szCs w:val="20"/>
          <w:color w:val="auto"/>
        </w:rPr>
      </w:pPr>
    </w:p>
    <w:p>
      <w:pPr>
        <w:ind w:right="140" w:firstLine="509"/>
        <w:spacing w:after="0" w:line="264" w:lineRule="auto"/>
        <w:rPr>
          <w:sz w:val="20"/>
          <w:szCs w:val="20"/>
          <w:color w:val="auto"/>
        </w:rPr>
      </w:pPr>
      <w:r>
        <w:rPr>
          <w:rFonts w:ascii="Times New Roman" w:cs="Times New Roman" w:eastAsia="Times New Roman" w:hAnsi="Times New Roman"/>
          <w:sz w:val="14"/>
          <w:szCs w:val="14"/>
          <w:color w:val="auto"/>
        </w:rPr>
        <w:t>The Indenture contains customary terms and covenants and events of default. Upon an event of default as defined in the Indenture, the trustee or the holders of at least 25% in aggregate principal amount of the Exchangeable Notes may declare 100% of the principal of, and accrued and unpaid interest on, all the Exchangeable Notes to be due and payable immediately, and upon any such declaration, the same shall become and shall automatically be immediately due and payable. Upon an event of default in the payment of interest, the Company may elect the sole remedy to be the payment of additional interest of 0.25% for the first 90 days after the occurrence of such an event of default and 0.50% for days 91-180 after the occurrence of such an event of default.</w:t>
      </w:r>
    </w:p>
    <w:p>
      <w:pPr>
        <w:spacing w:after="0" w:line="151" w:lineRule="exact"/>
        <w:rPr>
          <w:sz w:val="20"/>
          <w:szCs w:val="20"/>
          <w:color w:val="auto"/>
        </w:rPr>
      </w:pPr>
    </w:p>
    <w:p>
      <w:pPr>
        <w:ind w:right="100" w:firstLine="509"/>
        <w:spacing w:after="0" w:line="248" w:lineRule="auto"/>
        <w:rPr>
          <w:sz w:val="20"/>
          <w:szCs w:val="20"/>
          <w:color w:val="auto"/>
        </w:rPr>
      </w:pPr>
      <w:r>
        <w:rPr>
          <w:rFonts w:ascii="Times New Roman" w:cs="Times New Roman" w:eastAsia="Times New Roman" w:hAnsi="Times New Roman"/>
          <w:sz w:val="14"/>
          <w:szCs w:val="14"/>
          <w:color w:val="auto"/>
        </w:rPr>
        <w:t>On June 11, 2024, the Company paid a special cash dividend to Class A shareholders of CompoSecure, Inc., and made a corresponding distribution to Class B unitholders of Holdings. As a result of the special cash dividend and distribution, the conversion price was adjusted to $10.98 per share, which resulted in an adjustment to the exchange rate to 91.0972 shares of the Company’s Class A Common Stock per $1,000 principal amount of Notes exchanged. On September 17, 2024, the Resolute Transaction closed, where a majority interest of the Company was acquired through privately negotiated sales. See Note 6 for additional information on the special cash dividend and sale of the majority interest.</w:t>
      </w:r>
    </w:p>
    <w:p>
      <w:pPr>
        <w:spacing w:after="0" w:line="162"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4"/>
          <w:szCs w:val="14"/>
          <w:color w:val="auto"/>
        </w:rPr>
        <w:t>The sale of the majority interest and subsequent filing of a Schedule 13D report with the SEC by Resolute on September 19, 2024 triggered the occurrence of a “Make-Whole Fundamental Change” (as defined in the Indenture), pursuant to which the Company, on September 20, 2024, issued a Notice of Make-Whole Fundamental Change to the holders of the Exchangeable Notes to notify the holders that the exchange rate for the Exchangeable Notes has been temporarily increased from 91.0972 shares of Class A Common Stock per $1,000 principal amount of Notes to 104.5199 shares of Class A Common Stock per $1,000 principal amount of notes. This temporary increase in the exchange rate resulted in an adjustment of the conversion price to $9.57 per share from September 19, 2024 to November 29, 2024. Following that date, the conversion price will revert back to $10.98 per share and the exchange rate will revert back to 91.0972 shares of the Company’s Class A Common Stock per $1,000 principal amount of Notes. A notice was sent to all holders of Exchangeable Notes on October 9, 2024 providing details of these choices.</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The Company assessed all of the terms and features of the Exchangeable Notes in order to identify any potential embedded features that would require bifurcation. As part of this analysis, the Company assessed the economic characteristics and risks of the Exchangeable Notes, including the conversion, put and call features. In consideration of these provisions, the Company determined that the optional redemption with a make-whole provision feature required bifurcation as it is a derivative. The fair value of this derivative was determined based on the difference between the fair value of the Exchangeable Notes with the redemption with a make-whole provision feature and the fair value of the Exchangeable Notes without the redemption with a make-whole provision feature. The Company employed a Lattice model to determine the fair value of the derivative. Upon issuance of the Exchangeable Notes, the fair value of the derivative was $552 and was recognized as a derivative liability with an offsetting amount recorded as a debt discount reducing the carrying value of the Exchangeable Notes on the Closing Date, or December 27, 2021. The optional redemption with a make-whole provision feature is measured at fair value on a quarterly basis and the change in the fair value for the period is recorded on the consolidated statements of operations. The Company performed a valuation of the derivative liability and determined that the fair value of the derivative liability was $0 at September 30, 2024 and $425 at December 31, 2023. The Company recorded a favorable change in fair value of $544 and $149 for the three months ended September 30, 2024 and September 30, 2023, respectively. The Company recorded a favorable change in fair value of $425 for the nine months ended September 30, 2024 and an unfavorable change in fair value of $364 for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expected term of the Exchangeable Notes was equal to the period through December 27, 2026 as this represents the point at which the Exchangeable Notes will mature unless earlier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exchanged in accordance with their terms prior to such date. For the quarters ended September 30, 2024 and September 30, 2023, the Company recognized $2,425 and $2,416 of interest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respectively, related to the Exchangeable Notes at the effective interest rate of 7.4%. For the nine months ended September 30, 2024 and September 30, 2023, the Company recognized $7,219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$7,167 of interest expense, respectively, related to the Exchangeable Notes at the effective interest rate of 7.4%. The fair value of the Company’s Exchangeable Notes without the make-whole feature,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was approximately $190,000 and $118,000, as of September 30, 2024 and December 31, 2023 respectively.</w:t>
      </w:r>
    </w:p>
    <w:p>
      <w:pPr>
        <w:spacing w:after="0" w:line="185"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In connection with the issuance of the Exchangeable Notes, the Company incurred approximately $2,600 of debt issuance costs, which primarily consisted of underwriting fees, and allocated these costs to the liability component and recorded as a reduction in the carrying amount of the debt liability on the balance sheet. The portion allocated to the Exchangeable Notes is amortized to interest expense over the expected term of the Exchangeable Notes using the effective interest method.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Credit Facility</w:t>
      </w:r>
    </w:p>
    <w:p>
      <w:pPr>
        <w:spacing w:after="0" w:line="202"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4"/>
          <w:szCs w:val="14"/>
          <w:color w:val="auto"/>
        </w:rPr>
        <w:t>On July 26, 2016, the Company, through its subsidiary, Holdings, entered into a $120,000 credit facility (the “2016 Credit Facility”) with J.P. Morgan Chase (“JPMC”) as the lending agent that provided the Company with a revolving credit facility with a maximum borrowing capacity of $40,000 (the “2016 Revolver”) and a term loan of $80,000 (the “2016 Term Loan”) that was scheduled to mature in July 2021. The 2016 Credit Facility was subsequently amended in July 2019, November 2020 and December 2021 (the “2021 Credit Facility”) to increase the borrowing capacity of the 2016 Revolver and the 2016 Term Loan and to extend the maturity date of the 2016 Credit Facility. The 2021 Credit Facility increased the overall borrowing capacity of the credit facility to $310,000 comprised of a revolving credit facility with a maximum borrowing capacity of $60,000 (the “2021 Revolver”) and a term loan of $250,000 (the “2021 Term Loan”). The 2021 Credit Facility was set to mature on December 16, 2025. The 2021 Credit Facility was also amended in February 2023, May 2023 and March 2024 to (i) transition the 2021 Credit Facility from bearing interest based on LIBOR to SOFR, (ii) to remove certain lenders who no longer wanted to participate in the 2021 Credit Facility, and (iii) to allow the Company to repurchase outstanding shares of common stock, common stock warrants and Exchangeable Notes in an aggregate amount not to exceed $40,000 The 2021 Credit Facility was accounted for as a modification and approximately $1,800 of additional costs incurred in connection with the modification were capitalized as debt issuance costs.</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August 7, 2024, the Company entered into a Fourth Amended and Restated Credit Agreement with JPMC (the “2024 Credit Facility” and collectively with the 2021 Credit Facility, the</w:t>
      </w:r>
    </w:p>
    <w:p>
      <w:pPr>
        <w:spacing w:after="0" w:line="3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“Credit Facilities”) and the lenders party thereto to refinance the 2021 Credit Facility. The 2024 Credit Facility amended and restated the 2021 Credit Facility in its entirety. In conjunction with the 2024 Credit Facility, the maximum borrowing capacity of the overall credit facility was increased to $330,000 comprised of a term loan of $200,000 (the “2024 Term Loan”) and a revolving credit facility of $130,000 (the “2024 Revolver”). Two lenders who participated in the 2021 Credit Facility did not participate in the 2024 Credit Facility and transferred their debt to other lenders. The 2024 Credit Facility is set to mature on August 7, 2029. The 2024 Credit Facility was accounted for as an extinguishment for the two lenders who transferred their debt and as a modification for all other remaining lenders. As a result, the Company wrote-off approximately $148 in unamortized debt issuance costs related to the lenders who did not participate in the 2024 Credit Facility which is included in Loss on Extinguishment of Debt in Other Expense in the accompanying consolidated statements of operations.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conjunction with the 2024 Credit Facility, the Company incurred approximately $686 in lender fees and $147 in other third-party fees related to the 2024 Revolver and approximately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$1,056 in lender fees and $225 in other third-party fees related to the 2024 Term Loan. The $1,056 of lender fees related to the 2024 Term Loan have been capitalized and these fees, along with $832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unamortized debt issuance costs related to the 2021 Credit Facility, will be amortized into interest expense through the maturity date of the 2024 Term Loan using the effective interest method.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Similarly, $686 of lender fees and $147 of other third-party fees related to the 2024 Revolver have been capitalized as an other long-term asset and will be amortized into interest expense through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maturity date of the 2024 Revolver using the straight-line method. The $225 other third-party fees related to the 2024 Term Loan were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The Company’s Credit Facilities, including the 2024 Credit Facility, require the Company to make quarterly principal payments until maturity, at which point a balloon principal payment is due for the outstanding principal. The Credit Facilities also require the Company to make monthly interest payments as well as pay a quarterly unused commitment fee of 0.35% for any unused portion of the revolving credit facilities. Both the 2021 Credit Facility and the 2024 Credit Facility provide for the Company to prepay the term loans without penalty or premium. The Credit Facilities are secured by substantially all of the assets of the Company.</w:t>
      </w:r>
    </w:p>
    <w:p>
      <w:pPr>
        <w:spacing w:after="0" w:line="162" w:lineRule="exact"/>
        <w:rPr>
          <w:sz w:val="20"/>
          <w:szCs w:val="20"/>
          <w:color w:val="auto"/>
        </w:rPr>
      </w:pPr>
    </w:p>
    <w:p>
      <w:pPr>
        <w:ind w:right="180" w:firstLine="509"/>
        <w:spacing w:after="0" w:line="270" w:lineRule="auto"/>
        <w:rPr>
          <w:sz w:val="20"/>
          <w:szCs w:val="20"/>
          <w:color w:val="auto"/>
        </w:rPr>
      </w:pPr>
      <w:r>
        <w:rPr>
          <w:rFonts w:ascii="Times New Roman" w:cs="Times New Roman" w:eastAsia="Times New Roman" w:hAnsi="Times New Roman"/>
          <w:sz w:val="14"/>
          <w:szCs w:val="14"/>
          <w:color w:val="auto"/>
        </w:rPr>
        <w:t>Interest on the revolving credit facilities and the term loans are based on the outstanding principal amount during the interest period multiplied by the quoted SOFR rate plus the which can range from 1.75% to 2.75% based on the Company's leverage ratio. As of September 30, 2024 the effective interest rate on the 2024 Revolver and 2024 Term Loan was 7.30% per year. As of September 30, 2023 the effective interest rate on the 2021 Revolver and 2021 Term Loan was 7.99% per year.</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recognized $4,257 and $4,997 of interest expense related to the Revolver and the Term Loan for the quarter ended September 30, 2024 and September 30, 2023, respectively.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recognized $13,077 and $14,870 of interest expense related to the Revolver and the Term Loan for the nine months ended September 30, 2024 and September 30, 2023, respectively.</w:t>
      </w:r>
    </w:p>
    <w:p>
      <w:pPr>
        <w:spacing w:after="0" w:line="185"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The Credit Facilities contain certain financial covenants including a minimum interest coverage ratio, a maximum total debt to EBITDA ratio and a minimum fixed charge coverage ratio. As of September 30, 2024 and December 31, 2023, the Company was in compliance with all financial covenants. The fair value of the Company's credit facilities approximate the carrying value for all periods presented.</w:t>
      </w:r>
    </w:p>
    <w:p>
      <w:pPr>
        <w:spacing w:after="0" w:line="157"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As of September 30, 2024 and December 31, 2023, there were no balances outstanding on the Revolver. As of September 30, 2024, there was $130,000 available for borrowing under the 2024 Revolver.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balances payable under all borrowing facilities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92"/>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3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Term Loan</w:t>
            </w: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Exchangeable Notes</w:t>
            </w:r>
          </w:p>
        </w:tc>
        <w:tc>
          <w:tcPr>
            <w:tcW w:w="2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Total debt</w:t>
            </w: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Term Loan</w:t>
            </w: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Exchangeable Notes</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Total debt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Loan Balance</w:t>
            </w:r>
          </w:p>
        </w:tc>
        <w:tc>
          <w:tcPr>
            <w:tcW w:w="2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199,980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329,980</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210,313</w:t>
            </w: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color w:val="auto"/>
              </w:rPr>
              <w:t>$340,313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 of term loan (scheduled</w:t>
            </w:r>
          </w:p>
        </w:tc>
        <w:tc>
          <w:tcPr>
            <w:tcW w:w="2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center"/>
              <w:ind w:right="110"/>
              <w:spacing w:after="0"/>
              <w:rPr>
                <w:sz w:val="20"/>
                <w:szCs w:val="20"/>
                <w:color w:val="auto"/>
              </w:rPr>
            </w:pPr>
            <w:r>
              <w:rPr>
                <w:rFonts w:ascii="Times New Roman" w:cs="Times New Roman" w:eastAsia="Times New Roman" w:hAnsi="Times New Roman"/>
                <w:sz w:val="14"/>
                <w:szCs w:val="14"/>
                <w:color w:val="auto"/>
              </w:rPr>
              <w:t>(10,313)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net deferred financing costs</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rPr>
              <w:t>(3,837)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3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Long Term debt</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188,149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128,220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316,369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198,331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127,832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Derivative liability - redemption with make-whole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2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provision</w:t>
            </w: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32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6"/>
        </w:trPr>
        <w:tc>
          <w:tcPr>
            <w:tcW w:w="4520" w:type="dxa"/>
            <w:vAlign w:val="bottom"/>
            <w:gridSpan w:val="4"/>
          </w:tcPr>
          <w:p>
            <w:pPr>
              <w:ind w:left="520"/>
              <w:spacing w:after="0"/>
              <w:rPr>
                <w:sz w:val="20"/>
                <w:szCs w:val="20"/>
                <w:color w:val="auto"/>
              </w:rPr>
            </w:pPr>
            <w:r>
              <w:rPr>
                <w:rFonts w:ascii="Times New Roman" w:cs="Times New Roman" w:eastAsia="Times New Roman" w:hAnsi="Times New Roman"/>
                <w:sz w:val="14"/>
                <w:szCs w:val="14"/>
                <w:color w:val="auto"/>
              </w:rPr>
              <w:t>The maturity of all the borrowings facilities is as follows:</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Remainder of 2024</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Borders>
              <w:top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329,980</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In order to hedge the Company’s exposure to variable interest rate fluctuations related to the $310,000 of borrowings under its 2021 Credit Facility, the Company entered into two interest rate swap agreements with Bank of America on January 11, 2022, the first of which had an effective date of January 5, 2022 (the “January 2022 Swap”), and the second of which had an effective date of December 5, 2023 (the “December 2023 Swap” and, collectively with the January 2022 Swap, the “Interest Rate Swap Agreements”). The January 2022 Swap expired on December 5, 2023 while the December 2023 Swap is set to expire on December 2025. Both the January 2022 Swap and the December 2023 Swap are settled at the end of the month between the parties. The December 2023 Swap has a notional amount of $125,000 and was designated as a cash flow hedge for accounting purposes.</w:t>
      </w:r>
    </w:p>
    <w:p>
      <w:pPr>
        <w:spacing w:after="0" w:line="16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The Company determined the fair value of the Interest Rate Swap Agreements to be zero at the inception of the agreements and $2,775 and $5,258 at September 30, 2024 and December 31, 2023 respectively. The Company reflects the realized gains and losses of the actual monthly settlement activity of the Interest Rate Swap Agreements through interest income or expense in its consolidated statements of operations. The Company reflects the unrealized changes in fair value of the Interest Rate Swap Agreements at each reporting period in other comprehensive income. A derivative asset or liability is recognized at each reporting period in the Company’s consolidated balance sheets for the Interest Rate Swap Agreements. Interest related to the Interest Rate Swap Agreements converted from LIBOR to SOFR at the same time as the amendment of 2021 Credit Facility in February 2023.</w:t>
      </w:r>
    </w:p>
    <w:p>
      <w:pPr>
        <w:spacing w:after="0" w:line="200" w:lineRule="exact"/>
        <w:rPr>
          <w:sz w:val="20"/>
          <w:szCs w:val="20"/>
          <w:color w:val="auto"/>
        </w:rPr>
      </w:pPr>
    </w:p>
    <w:p>
      <w:pPr>
        <w:spacing w:after="0" w:line="323" w:lineRule="exact"/>
        <w:rPr>
          <w:sz w:val="20"/>
          <w:szCs w:val="20"/>
          <w:color w:val="auto"/>
        </w:rPr>
      </w:pPr>
    </w:p>
    <w:p>
      <w:pPr>
        <w:ind w:right="9640" w:firstLine="5"/>
        <w:spacing w:after="0" w:line="416" w:lineRule="auto"/>
        <w:tabs>
          <w:tab w:leader="none" w:pos="141"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EQUITY STRUCTURE Shares Authorized</w:t>
      </w:r>
    </w:p>
    <w:p>
      <w:pPr>
        <w:spacing w:after="0" w:line="59"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As of September 30, 2024, the Company had authorized a total of 250,000,000 shares for issuance designated as Class A common stock, 75,000,000 designated as Class B common stock and 10,000,000 shares designated as preferred stock. As of September 30, 2024, there were 82,677,354 shares of Class A common stock issued and outstanding, no shares of Class B common stock issued and outstanding and no shares of Preferred Stock issued and outstanding.</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Issuance of Common Stock</w:t>
      </w:r>
    </w:p>
    <w:p>
      <w:pPr>
        <w:spacing w:after="0" w:line="96"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In the quarter ended September 30, 2024, the Company issued 921,594 new shares of Class A common stock pursuant primarily to the vesting of certain restricted stock units ("RSUs"), and exercises of stock options, as well as employee stock purchase plan transactions ("ESPP") and warrants during the quarter. The Class A common stock issued pursuant to the vesting of RSUs were issued net of shares withheld for applicable taxes.</w:t>
      </w:r>
    </w:p>
    <w:p>
      <w:pPr>
        <w:spacing w:after="0" w:line="51"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In the nine months ended September 30, 2024, the Company issued 3,303,809 new shares of Class A common stock pursuant primarily to the vesting of certain RSUs, and exercises of stock options, as well as ESPP and warrants during the quarter. The Class A common stock issued pursuant to the vesting of RSUs were issued net of shares withheld for applicable taxes.</w:t>
      </w:r>
    </w:p>
    <w:p>
      <w:pPr>
        <w:spacing w:after="0" w:line="3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4"/>
          <w:szCs w:val="14"/>
          <w:color w:val="auto"/>
        </w:rPr>
        <w:t>During May 2024, certain holders of the shares of Class B common stock exchanged an aggregate of 8,050,000 Class B units in Holdings (together with the corresponding number of shares of the Company's Class B common stock) in exchange for 8,050,000 shares of Class A common stock (the "Exchange"). Upon the Exchange, the exchanged shares of Class B common stock and the corresponding number of shares of Class B units were canceled. Immediately following the Exchange, pursuant to the Underwriting Agreement, dated as of May 8, 2024, (the “Underwriting Agreement”), by and among the Company, Holdings, the Representatives, the Underwriters and the Selling Stockholders named therein, the Selling Stockholders sold 8,050,000 shares of the Company’s Class A common stock to the Underwriters (the "Secondary Offering"). The Company did not receive any proceeds from the sale of the shares of Class A common stock by the selling stockholders. As a result of these transactions, the number of outstanding shares of the Company’s Class B common stock decreased by 8,050,000 and the number of outstanding shares of the Company’s Class A common stock increased by 8,050,000. Transaction costs of $586 were incurred and expensed related to this transaction.</w:t>
      </w:r>
    </w:p>
    <w:p>
      <w:pPr>
        <w:spacing w:after="0" w:line="62"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On August 9, 2024, all of the Class B stockholders of the Company and Resolute entered into the Resolute Transaction was completed on September 17, 2024, eliminating the Company's existing dual-share class structure. At the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4"/>
          <w:szCs w:val="14"/>
          <w:color w:val="auto"/>
        </w:rPr>
        <w:t>closing, the selling stockholders exchanged their 51,908,422 Class B units (and corresponding Class B shares) for Class A shares and Resolute became the majority owner of the Company by acquiring 49,290,409 of such Class A shares. Prior to the Resolute Transaction, Class B holders held units in Holdings. Subsequent to the Resolute Transaction, CompoSecure owned 100% of Holdings. The Company did not receive any proceeds from the sale of the shares of Class A company stock by the selling shareholders. Transaction costs of $2,726 were incurred and expensed related to this transaction.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181"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As of September 30, 2024, the Company had 22,415,189 public warrants outstanding. Until the expiration date of December 27, 2026, each public warrant entitles the registered holder to purchase one share of the Company’s Class A common stock at a price of $11.50 per share, subject to adjustment, at any time commencing 30 days after the completion of the Business Combination. Pursuant to the warrant agreement, a warrant holder may exercise its warrants only for a whole number of shares.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Dividend and Distribution</w:t>
      </w:r>
    </w:p>
    <w:p>
      <w:pPr>
        <w:spacing w:after="0" w:line="287"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On May 6, 2024, the Company announced a special cash dividend of $0.30 per share to Class A stockholders. A corresponding distribution of $0.30 per share was also announced for Class B unitholders of Holdings. Both the dividend and the distribution were paid on June 11, 2024. Dividends of $8,922 were disbursed to Class A stockholders and distributions of $15,573 were disbursed to Class B unitholders.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Non-Controlling Interest</w:t>
      </w:r>
    </w:p>
    <w:p>
      <w:pPr>
        <w:spacing w:after="0" w:line="181"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Non-controlling interests represent direct interests held in Holdings other than by the Company immediately after the Business Combination. The non-controlling interests in the Company are represented by Class B units, or such other equity securities in the Company as the Board may establish in accordance with the terms hereof. Since the potential cash redemptions of the non-controlling interests are outside the control of the Company, such non-controlling interests are classified as temporary equity on the consolidated balance sheet in accordance with ASC 480. Income tax benefit or expense is applied to the income attributable to the controlling interest as the income attributable to the non-controlling interest is pass-through income.</w:t>
      </w:r>
    </w:p>
    <w:p>
      <w:pPr>
        <w:spacing w:after="0" w:line="247"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As of September 30, 2024, the Company did not have any non-controlling interest as a result of the exchange of all Class B shares for Class A shares, in connection with the acquisition of a majority interest in the Company by Resolute, as described above.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STOCK-BASED COMPENSATION</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share-based compensation expense included in Selling, general and administrative expenses within the consolidated statements of operations: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3080" w:type="dxa"/>
            <w:vAlign w:val="bottom"/>
            <w:gridSpan w:val="4"/>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4"/>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Pr>
          <w:p>
            <w:pPr>
              <w:spacing w:after="0"/>
              <w:rPr>
                <w:sz w:val="16"/>
                <w:szCs w:val="16"/>
                <w:color w:val="auto"/>
              </w:rPr>
            </w:pPr>
          </w:p>
        </w:tc>
      </w:tr>
      <w:tr>
        <w:trPr>
          <w:trHeight w:val="32"/>
        </w:trPr>
        <w:tc>
          <w:tcPr>
            <w:tcW w:w="39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3"/>
        </w:trPr>
        <w:tc>
          <w:tcPr>
            <w:tcW w:w="39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CCEEFF"/>
            </w:tcBorders>
            <w:shd w:val="clear" w:color="auto" w:fill="CCEEFF"/>
          </w:tcPr>
          <w:p>
            <w:pPr>
              <w:spacing w:after="0"/>
              <w:rPr>
                <w:sz w:val="18"/>
                <w:szCs w:val="18"/>
                <w:color w:val="auto"/>
              </w:rPr>
            </w:pPr>
          </w:p>
        </w:tc>
      </w:tr>
      <w:tr>
        <w:trPr>
          <w:trHeight w:val="181"/>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 expense</w:t>
            </w:r>
          </w:p>
        </w:tc>
        <w:tc>
          <w:tcPr>
            <w:tcW w:w="1200" w:type="dxa"/>
            <w:vAlign w:val="bottom"/>
            <w:tcBorders>
              <w:top w:val="single" w:sz="8" w:color="auto"/>
            </w:tcBorders>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40" w:type="dxa"/>
            <w:vAlign w:val="bottom"/>
            <w:tcBorders>
              <w:top w:val="single" w:sz="8" w:color="auto"/>
            </w:tcBorders>
          </w:tcPr>
          <w:p>
            <w:pPr>
              <w:jc w:val="right"/>
              <w:ind w:right="10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1140" w:type="dxa"/>
            <w:vAlign w:val="bottom"/>
            <w:tcBorders>
              <w:top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140" w:type="dxa"/>
            <w:vAlign w:val="bottom"/>
            <w:tcBorders>
              <w:top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w:t>
            </w:r>
          </w:p>
        </w:tc>
      </w:tr>
      <w:tr>
        <w:trPr>
          <w:trHeight w:val="32"/>
        </w:trPr>
        <w:tc>
          <w:tcPr>
            <w:tcW w:w="3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03"/>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 expense</w:t>
            </w:r>
          </w:p>
        </w:tc>
        <w:tc>
          <w:tcPr>
            <w:tcW w:w="1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4,784</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3,875</w:t>
            </w: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13,326</w:t>
            </w: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10,880</w:t>
            </w:r>
          </w:p>
        </w:tc>
      </w:tr>
      <w:tr>
        <w:trPr>
          <w:trHeight w:val="191"/>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Performance stock unit expense</w:t>
            </w:r>
          </w:p>
        </w:tc>
        <w:tc>
          <w:tcPr>
            <w:tcW w:w="1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w:t>
            </w:r>
          </w:p>
        </w:tc>
      </w:tr>
      <w:tr>
        <w:trPr>
          <w:trHeight w:val="32"/>
        </w:trPr>
        <w:tc>
          <w:tcPr>
            <w:tcW w:w="3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23"/>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81"/>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1200" w:type="dxa"/>
            <w:vAlign w:val="bottom"/>
            <w:tcBorders>
              <w:top w:val="single" w:sz="8" w:color="auto"/>
            </w:tcBorders>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5,634</w:t>
            </w:r>
          </w:p>
        </w:tc>
        <w:tc>
          <w:tcPr>
            <w:tcW w:w="80" w:type="dxa"/>
            <w:vAlign w:val="bottom"/>
          </w:tcPr>
          <w:p>
            <w:pPr>
              <w:spacing w:after="0"/>
              <w:rPr>
                <w:sz w:val="15"/>
                <w:szCs w:val="15"/>
                <w:color w:val="auto"/>
              </w:rPr>
            </w:pPr>
          </w:p>
        </w:tc>
        <w:tc>
          <w:tcPr>
            <w:tcW w:w="1240" w:type="dxa"/>
            <w:vAlign w:val="bottom"/>
            <w:tcBorders>
              <w:top w:val="single" w:sz="8" w:color="auto"/>
            </w:tcBorders>
          </w:tcPr>
          <w:p>
            <w:pPr>
              <w:jc w:val="right"/>
              <w:ind w:right="10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4,637</w:t>
            </w:r>
          </w:p>
        </w:tc>
        <w:tc>
          <w:tcPr>
            <w:tcW w:w="80" w:type="dxa"/>
            <w:vAlign w:val="bottom"/>
          </w:tcPr>
          <w:p>
            <w:pPr>
              <w:spacing w:after="0"/>
              <w:rPr>
                <w:sz w:val="15"/>
                <w:szCs w:val="15"/>
                <w:color w:val="auto"/>
              </w:rPr>
            </w:pPr>
          </w:p>
        </w:tc>
        <w:tc>
          <w:tcPr>
            <w:tcW w:w="1140" w:type="dxa"/>
            <w:vAlign w:val="bottom"/>
            <w:tcBorders>
              <w:top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15,269</w:t>
            </w:r>
          </w:p>
        </w:tc>
        <w:tc>
          <w:tcPr>
            <w:tcW w:w="80" w:type="dxa"/>
            <w:vAlign w:val="bottom"/>
          </w:tcPr>
          <w:p>
            <w:pPr>
              <w:spacing w:after="0"/>
              <w:rPr>
                <w:sz w:val="15"/>
                <w:szCs w:val="15"/>
                <w:color w:val="auto"/>
              </w:rPr>
            </w:pPr>
          </w:p>
        </w:tc>
        <w:tc>
          <w:tcPr>
            <w:tcW w:w="1140" w:type="dxa"/>
            <w:vAlign w:val="bottom"/>
            <w:tcBorders>
              <w:top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13,052</w:t>
            </w:r>
          </w:p>
        </w:tc>
      </w:tr>
      <w:tr>
        <w:trPr>
          <w:trHeight w:val="32"/>
        </w:trPr>
        <w:tc>
          <w:tcPr>
            <w:tcW w:w="39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
        </w:trPr>
        <w:tc>
          <w:tcPr>
            <w:tcW w:w="39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sets forth the options activity under the Holdings' equity plan, which was assumed by the Company, for the nine month period ended September 30, 2024:</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 Activity</w:t>
            </w: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6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Weighted Average Exercise</w:t>
            </w:r>
          </w:p>
        </w:tc>
        <w:tc>
          <w:tcPr>
            <w:tcW w:w="1600" w:type="dxa"/>
            <w:vAlign w:val="bottom"/>
            <w:gridSpan w:val="2"/>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w w:val="98"/>
              </w:rPr>
              <w:t>Contractual Term</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7"/>
        </w:trPr>
        <w:tc>
          <w:tcPr>
            <w:tcW w:w="3660" w:type="dxa"/>
            <w:vAlign w:val="bottom"/>
          </w:tcPr>
          <w:p>
            <w:pPr>
              <w:spacing w:after="0"/>
              <w:rPr>
                <w:sz w:val="17"/>
                <w:szCs w:val="17"/>
                <w:color w:val="auto"/>
              </w:rPr>
            </w:pPr>
          </w:p>
        </w:tc>
        <w:tc>
          <w:tcPr>
            <w:tcW w:w="19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7"/>
                <w:szCs w:val="17"/>
                <w:color w:val="auto"/>
              </w:rPr>
            </w:pPr>
          </w:p>
        </w:tc>
        <w:tc>
          <w:tcPr>
            <w:tcW w:w="1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 Per Shares</w:t>
            </w:r>
          </w:p>
        </w:tc>
        <w:tc>
          <w:tcPr>
            <w:tcW w:w="160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January 1, 2024</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3,278,463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11,780</w:t>
            </w:r>
          </w:p>
        </w:tc>
        <w:tc>
          <w:tcPr>
            <w:tcW w:w="0" w:type="dxa"/>
            <w:vAlign w:val="bottom"/>
          </w:tcPr>
          <w:p>
            <w:pPr>
              <w:spacing w:after="0"/>
              <w:rPr>
                <w:sz w:val="1"/>
                <w:szCs w:val="1"/>
                <w:color w:val="auto"/>
              </w:rPr>
            </w:pPr>
          </w:p>
        </w:tc>
      </w:tr>
      <w:tr>
        <w:trPr>
          <w:trHeight w:val="191"/>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3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(2,493,194)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19,241</w:t>
            </w:r>
          </w:p>
        </w:tc>
        <w:tc>
          <w:tcPr>
            <w:tcW w:w="0" w:type="dxa"/>
            <w:vAlign w:val="bottom"/>
          </w:tcPr>
          <w:p>
            <w:pPr>
              <w:spacing w:after="0"/>
              <w:rPr>
                <w:sz w:val="1"/>
                <w:szCs w:val="1"/>
                <w:color w:val="auto"/>
              </w:rPr>
            </w:pPr>
          </w:p>
        </w:tc>
      </w:tr>
      <w:tr>
        <w:trPr>
          <w:trHeight w:val="181"/>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September 30, 2024</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785,269</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5"/>
                <w:szCs w:val="15"/>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7,379</w:t>
            </w:r>
          </w:p>
        </w:tc>
        <w:tc>
          <w:tcPr>
            <w:tcW w:w="0" w:type="dxa"/>
            <w:vAlign w:val="bottom"/>
          </w:tcPr>
          <w:p>
            <w:pPr>
              <w:spacing w:after="0"/>
              <w:rPr>
                <w:sz w:val="1"/>
                <w:szCs w:val="1"/>
                <w:color w:val="auto"/>
              </w:rPr>
            </w:pPr>
          </w:p>
        </w:tc>
      </w:tr>
      <w:tr>
        <w:trPr>
          <w:trHeight w:val="32"/>
        </w:trPr>
        <w:tc>
          <w:tcPr>
            <w:tcW w:w="3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at September 30, 2024</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785,269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7,379</w:t>
            </w:r>
          </w:p>
        </w:tc>
        <w:tc>
          <w:tcPr>
            <w:tcW w:w="0" w:type="dxa"/>
            <w:vAlign w:val="bottom"/>
          </w:tcPr>
          <w:p>
            <w:pPr>
              <w:spacing w:after="0"/>
              <w:rPr>
                <w:sz w:val="1"/>
                <w:szCs w:val="1"/>
                <w:color w:val="auto"/>
              </w:rPr>
            </w:pPr>
          </w:p>
        </w:tc>
      </w:tr>
      <w:tr>
        <w:trPr>
          <w:trHeight w:val="191"/>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Exercisable at September 30, 2024</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785,269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7,379</w:t>
            </w:r>
          </w:p>
        </w:tc>
        <w:tc>
          <w:tcPr>
            <w:tcW w:w="0" w:type="dxa"/>
            <w:vAlign w:val="bottom"/>
          </w:tcPr>
          <w:p>
            <w:pPr>
              <w:spacing w:after="0"/>
              <w:rPr>
                <w:sz w:val="1"/>
                <w:szCs w:val="1"/>
                <w:color w:val="auto"/>
              </w:rPr>
            </w:pPr>
          </w:p>
        </w:tc>
      </w:tr>
      <w:tr>
        <w:trPr>
          <w:trHeight w:val="637"/>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 Activity</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0" w:type="dxa"/>
            <w:vAlign w:val="bottom"/>
            <w:gridSpan w:val="4"/>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32"/>
        </w:trPr>
        <w:tc>
          <w:tcPr>
            <w:tcW w:w="36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January 1, 2024</w:t>
            </w:r>
          </w:p>
        </w:tc>
        <w:tc>
          <w:tcPr>
            <w:tcW w:w="1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5,651,895</w:t>
            </w:r>
          </w:p>
        </w:tc>
        <w:tc>
          <w:tcPr>
            <w:tcW w:w="0" w:type="dxa"/>
            <w:vAlign w:val="bottom"/>
          </w:tcPr>
          <w:p>
            <w:pPr>
              <w:spacing w:after="0"/>
              <w:rPr>
                <w:sz w:val="1"/>
                <w:szCs w:val="1"/>
                <w:color w:val="auto"/>
              </w:rPr>
            </w:pPr>
          </w:p>
        </w:tc>
      </w:tr>
      <w:tr>
        <w:trPr>
          <w:trHeight w:val="191"/>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2,124,016</w:t>
            </w:r>
          </w:p>
        </w:tc>
        <w:tc>
          <w:tcPr>
            <w:tcW w:w="0" w:type="dxa"/>
            <w:vAlign w:val="bottom"/>
          </w:tcPr>
          <w:p>
            <w:pPr>
              <w:spacing w:after="0"/>
              <w:rPr>
                <w:sz w:val="1"/>
                <w:szCs w:val="1"/>
                <w:color w:val="auto"/>
              </w:rPr>
            </w:pPr>
          </w:p>
        </w:tc>
      </w:tr>
      <w:tr>
        <w:trPr>
          <w:trHeight w:val="32"/>
        </w:trPr>
        <w:tc>
          <w:tcPr>
            <w:tcW w:w="3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Equivalent Units on Deferred RSU's</w:t>
            </w:r>
          </w:p>
        </w:tc>
        <w:tc>
          <w:tcPr>
            <w:tcW w:w="1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6,085</w:t>
            </w:r>
          </w:p>
        </w:tc>
        <w:tc>
          <w:tcPr>
            <w:tcW w:w="0" w:type="dxa"/>
            <w:vAlign w:val="bottom"/>
          </w:tcPr>
          <w:p>
            <w:pPr>
              <w:spacing w:after="0"/>
              <w:rPr>
                <w:sz w:val="1"/>
                <w:szCs w:val="1"/>
                <w:color w:val="auto"/>
              </w:rPr>
            </w:pPr>
          </w:p>
        </w:tc>
      </w:tr>
      <w:tr>
        <w:trPr>
          <w:trHeight w:val="191"/>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(2,204,090)</w:t>
            </w:r>
          </w:p>
        </w:tc>
        <w:tc>
          <w:tcPr>
            <w:tcW w:w="0" w:type="dxa"/>
            <w:vAlign w:val="bottom"/>
          </w:tcPr>
          <w:p>
            <w:pPr>
              <w:spacing w:after="0"/>
              <w:rPr>
                <w:sz w:val="1"/>
                <w:szCs w:val="1"/>
                <w:color w:val="auto"/>
              </w:rPr>
            </w:pPr>
          </w:p>
        </w:tc>
      </w:tr>
      <w:tr>
        <w:trPr>
          <w:trHeight w:val="32"/>
        </w:trPr>
        <w:tc>
          <w:tcPr>
            <w:tcW w:w="3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(51,850)</w:t>
            </w:r>
          </w:p>
        </w:tc>
        <w:tc>
          <w:tcPr>
            <w:tcW w:w="0" w:type="dxa"/>
            <w:vAlign w:val="bottom"/>
          </w:tcPr>
          <w:p>
            <w:pPr>
              <w:spacing w:after="0"/>
              <w:rPr>
                <w:sz w:val="1"/>
                <w:szCs w:val="1"/>
                <w:color w:val="auto"/>
              </w:rPr>
            </w:pPr>
          </w:p>
        </w:tc>
      </w:tr>
      <w:tr>
        <w:trPr>
          <w:trHeight w:val="204"/>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Nonvested at September 30, 2024</w:t>
            </w: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5,526,056</w:t>
            </w:r>
          </w:p>
        </w:tc>
        <w:tc>
          <w:tcPr>
            <w:tcW w:w="0" w:type="dxa"/>
            <w:vAlign w:val="bottom"/>
          </w:tcPr>
          <w:p>
            <w:pPr>
              <w:spacing w:after="0"/>
              <w:rPr>
                <w:sz w:val="1"/>
                <w:szCs w:val="1"/>
                <w:color w:val="auto"/>
              </w:rPr>
            </w:pPr>
          </w:p>
        </w:tc>
      </w:tr>
      <w:tr>
        <w:trPr>
          <w:trHeight w:val="21"/>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 and Market based Stock Unit Activity</w:t>
            </w: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0"/>
        </w:trPr>
        <w:tc>
          <w:tcPr>
            <w:tcW w:w="366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0" w:type="dxa"/>
            <w:vAlign w:val="bottom"/>
            <w:gridSpan w:val="4"/>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32"/>
        </w:trPr>
        <w:tc>
          <w:tcPr>
            <w:tcW w:w="36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January 1, 2024</w:t>
            </w:r>
          </w:p>
        </w:tc>
        <w:tc>
          <w:tcPr>
            <w:tcW w:w="1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1,107,536</w:t>
            </w:r>
          </w:p>
        </w:tc>
        <w:tc>
          <w:tcPr>
            <w:tcW w:w="0" w:type="dxa"/>
            <w:vAlign w:val="bottom"/>
          </w:tcPr>
          <w:p>
            <w:pPr>
              <w:spacing w:after="0"/>
              <w:rPr>
                <w:sz w:val="1"/>
                <w:szCs w:val="1"/>
                <w:color w:val="auto"/>
              </w:rPr>
            </w:pPr>
          </w:p>
        </w:tc>
      </w:tr>
      <w:tr>
        <w:trPr>
          <w:trHeight w:val="191"/>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872,685</w:t>
            </w:r>
          </w:p>
        </w:tc>
        <w:tc>
          <w:tcPr>
            <w:tcW w:w="0" w:type="dxa"/>
            <w:vAlign w:val="bottom"/>
          </w:tcPr>
          <w:p>
            <w:pPr>
              <w:spacing w:after="0"/>
              <w:rPr>
                <w:sz w:val="1"/>
                <w:szCs w:val="1"/>
                <w:color w:val="auto"/>
              </w:rPr>
            </w:pPr>
          </w:p>
        </w:tc>
      </w:tr>
      <w:tr>
        <w:trPr>
          <w:trHeight w:val="32"/>
        </w:trPr>
        <w:tc>
          <w:tcPr>
            <w:tcW w:w="3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Nonvested at September 30, 2024</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1,980,221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Earnouts</w:t>
            </w:r>
          </w:p>
        </w:tc>
        <w:tc>
          <w:tcPr>
            <w:tcW w:w="3060" w:type="dxa"/>
            <w:vAlign w:val="bottom"/>
          </w:tcPr>
          <w:p>
            <w:pPr>
              <w:spacing w:after="0"/>
              <w:rPr>
                <w:sz w:val="16"/>
                <w:szCs w:val="16"/>
                <w:color w:val="auto"/>
              </w:rPr>
            </w:pPr>
          </w:p>
        </w:tc>
      </w:tr>
      <w:tr>
        <w:trPr>
          <w:trHeight w:val="297"/>
        </w:trPr>
        <w:tc>
          <w:tcPr>
            <w:tcW w:w="8220" w:type="dxa"/>
            <w:vAlign w:val="bottom"/>
          </w:tcPr>
          <w:p>
            <w:pPr>
              <w:spacing w:after="0"/>
              <w:rPr>
                <w:sz w:val="24"/>
                <w:szCs w:val="24"/>
                <w:color w:val="auto"/>
              </w:rPr>
            </w:pPr>
          </w:p>
        </w:tc>
        <w:tc>
          <w:tcPr>
            <w:tcW w:w="3060" w:type="dxa"/>
            <w:vAlign w:val="bottom"/>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32"/>
        </w:trPr>
        <w:tc>
          <w:tcPr>
            <w:tcW w:w="8220" w:type="dxa"/>
            <w:vAlign w:val="bottom"/>
            <w:tcBorders>
              <w:bottom w:val="single" w:sz="8" w:color="CCEEFF"/>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19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January 1, 2024</w:t>
            </w:r>
          </w:p>
        </w:tc>
        <w:tc>
          <w:tcPr>
            <w:tcW w:w="3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657,160</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3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822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2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3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Nonvested at September 30, 2024</w:t>
            </w:r>
          </w:p>
        </w:tc>
        <w:tc>
          <w:tcPr>
            <w:tcW w:w="3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657,160</w:t>
            </w:r>
          </w:p>
        </w:tc>
      </w:tr>
      <w:tr>
        <w:trPr>
          <w:trHeight w:val="20"/>
        </w:trPr>
        <w:tc>
          <w:tcPr>
            <w:tcW w:w="8220" w:type="dxa"/>
            <w:vAlign w:val="bottom"/>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Incentive Units</w:t>
      </w:r>
    </w:p>
    <w:p>
      <w:pPr>
        <w:spacing w:after="0" w:line="96"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Upon consummation of the Business Combination on December 27, 2021, all of the incentive units, whether vested or unvested, outstanding immediately prior to the merger that were not settled as part of the transaction, were assumed by the Company and converted into Class B common stock. No such shares of converted Class B common stock were outstanding as of September 30, 2024.</w:t>
      </w:r>
    </w:p>
    <w:p>
      <w:pPr>
        <w:spacing w:after="0" w:line="51"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Unrecognized compensation cost for restricted stock awards and performance and market based stock units as of September 30, 2024 totaled $32,465, and is expected to be recognized over a weighted average period of approximately 1.8 years. No unrecognized compensation expense remained for the incentive units as of September 30, 2024.</w:t>
      </w:r>
    </w:p>
    <w:p>
      <w:pPr>
        <w:spacing w:after="0" w:line="122" w:lineRule="exact"/>
        <w:rPr>
          <w:sz w:val="20"/>
          <w:szCs w:val="20"/>
          <w:color w:val="auto"/>
        </w:rPr>
      </w:pPr>
    </w:p>
    <w:p>
      <w:pPr>
        <w:jc w:val="both"/>
        <w:ind w:right="9660" w:firstLine="5"/>
        <w:spacing w:after="0" w:line="416" w:lineRule="auto"/>
        <w:tabs>
          <w:tab w:leader="none" w:pos="141"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RETIREMENT PLANS Defined Contribution Plan</w:t>
      </w:r>
    </w:p>
    <w:p>
      <w:pPr>
        <w:spacing w:after="0" w:line="59"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The Company has a 401(k) profit sharing plan for all full-time employees who have attained the age of 21 and completed 90 days of service. The Company matches 100% of the first 1% and then 50% of the next 5% of employee contributions. Retirement plan expense for the three months ended September 30, 2024 and 2023 was approximately $431 and $405, respectively. Retirement plan expense for the nine months ended September 30, 2024 and 2023 was approximately $1,483 and $1,326,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FAIR VALUE MEASUREMENTS</w:t>
      </w:r>
    </w:p>
    <w:p>
      <w:pPr>
        <w:spacing w:after="0" w:line="202"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In accordance with ASC 820-10, the Company evaluates assets and liabilities subject to fair value measurements on a recurring basis to determine the appropriate level at which to classify them for each reporting period. This determination requires significant judgments to be made by the Company.</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Company’s financial assets and liabilities measured at fair value on a recurring basis, consisted of the following types of instruments as of the following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2"/>
        </w:trPr>
        <w:tc>
          <w:tcPr>
            <w:tcW w:w="5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81"/>
        </w:trPr>
        <w:tc>
          <w:tcPr>
            <w:tcW w:w="5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Assets Carried at Fair Value:</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2"/>
        </w:trPr>
        <w:tc>
          <w:tcPr>
            <w:tcW w:w="5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asset - interest rate swap</w:t>
            </w:r>
          </w:p>
        </w:tc>
        <w:tc>
          <w:tcPr>
            <w:tcW w:w="980" w:type="dxa"/>
            <w:vAlign w:val="bottom"/>
            <w:tcBorders>
              <w:bottom w:val="single" w:sz="8" w:color="CCEEFF"/>
            </w:tcBorders>
            <w:gridSpan w:val="2"/>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2,775</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2,775</w:t>
            </w:r>
          </w:p>
        </w:tc>
      </w:tr>
      <w:tr>
        <w:trPr>
          <w:trHeight w:val="191"/>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Carried at Fair Value:</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2"/>
        </w:trPr>
        <w:tc>
          <w:tcPr>
            <w:tcW w:w="5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 warrants</w:t>
            </w:r>
          </w:p>
        </w:tc>
        <w:tc>
          <w:tcPr>
            <w:tcW w:w="980" w:type="dxa"/>
            <w:vAlign w:val="bottom"/>
            <w:tcBorders>
              <w:bottom w:val="single" w:sz="8" w:color="CCEEFF"/>
            </w:tcBorders>
            <w:gridSpan w:val="2"/>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84,505</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84,505</w:t>
            </w:r>
          </w:p>
        </w:tc>
      </w:tr>
      <w:tr>
        <w:trPr>
          <w:trHeight w:val="191"/>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Earnout consideration</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34,913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34,913</w:t>
            </w:r>
          </w:p>
        </w:tc>
      </w:tr>
      <w:tr>
        <w:trPr>
          <w:trHeight w:val="32"/>
        </w:trPr>
        <w:tc>
          <w:tcPr>
            <w:tcW w:w="5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liability - redemption with make-whole provision</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2"/>
        </w:trPr>
        <w:tc>
          <w:tcPr>
            <w:tcW w:w="5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19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Carried at Fair Value:</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191"/>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asset - interest rate swap</w:t>
            </w:r>
          </w:p>
        </w:tc>
        <w:tc>
          <w:tcPr>
            <w:tcW w:w="980" w:type="dxa"/>
            <w:vAlign w:val="bottom"/>
            <w:gridSpan w:val="2"/>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5,258</w:t>
            </w:r>
          </w:p>
        </w:tc>
        <w:tc>
          <w:tcPr>
            <w:tcW w:w="100" w:type="dxa"/>
            <w:vAlign w:val="bottom"/>
          </w:tcPr>
          <w:p>
            <w:pPr>
              <w:spacing w:after="0"/>
              <w:rPr>
                <w:sz w:val="16"/>
                <w:szCs w:val="16"/>
                <w:color w:val="auto"/>
              </w:rPr>
            </w:pP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5,258</w:t>
            </w:r>
          </w:p>
        </w:tc>
      </w:tr>
      <w:tr>
        <w:trPr>
          <w:trHeight w:val="32"/>
        </w:trPr>
        <w:tc>
          <w:tcPr>
            <w:tcW w:w="5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Carried at Fair Value:</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91"/>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Public warrants</w:t>
            </w:r>
          </w:p>
        </w:tc>
        <w:tc>
          <w:tcPr>
            <w:tcW w:w="980" w:type="dxa"/>
            <w:vAlign w:val="bottom"/>
            <w:gridSpan w:val="2"/>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8,294</w:t>
            </w:r>
          </w:p>
        </w:tc>
        <w:tc>
          <w:tcPr>
            <w:tcW w:w="100" w:type="dxa"/>
            <w:vAlign w:val="bottom"/>
          </w:tcPr>
          <w:p>
            <w:pPr>
              <w:spacing w:after="0"/>
              <w:rPr>
                <w:sz w:val="16"/>
                <w:szCs w:val="16"/>
                <w:color w:val="auto"/>
              </w:rPr>
            </w:pPr>
          </w:p>
        </w:tc>
        <w:tc>
          <w:tcPr>
            <w:tcW w:w="92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8,294</w:t>
            </w:r>
          </w:p>
        </w:tc>
      </w:tr>
      <w:tr>
        <w:trPr>
          <w:trHeight w:val="32"/>
        </w:trPr>
        <w:tc>
          <w:tcPr>
            <w:tcW w:w="5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Earnout consideration</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r>
      <w:tr>
        <w:trPr>
          <w:trHeight w:val="191"/>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liability - redemption with make-whole provision</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r>
    </w:tbl>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Additional information is provided below about assets and liabilities remeasured at fair value on a recurring basis and for which the Company utilizes Level 3 inputs to determine fair value.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asset - interest rate swap</w:t>
      </w:r>
    </w:p>
    <w:p>
      <w:pPr>
        <w:spacing w:after="0" w:line="181"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The Company is exposed to interest rate risk on variable interest rate debt obligations. To manage interest rate risk, the Company entered into an interest rate swap agreement on January 5, 2022. See Note 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 liabilities</w:t>
      </w:r>
    </w:p>
    <w:p>
      <w:pPr>
        <w:spacing w:after="0" w:line="202" w:lineRule="exact"/>
        <w:rPr>
          <w:sz w:val="20"/>
          <w:szCs w:val="20"/>
          <w:color w:val="auto"/>
        </w:rPr>
      </w:pPr>
    </w:p>
    <w:p>
      <w:pPr>
        <w:ind w:right="280" w:firstLine="509"/>
        <w:spacing w:after="0" w:line="270" w:lineRule="auto"/>
        <w:rPr>
          <w:sz w:val="20"/>
          <w:szCs w:val="20"/>
          <w:color w:val="auto"/>
        </w:rPr>
      </w:pPr>
      <w:r>
        <w:rPr>
          <w:rFonts w:ascii="Times New Roman" w:cs="Times New Roman" w:eastAsia="Times New Roman" w:hAnsi="Times New Roman"/>
          <w:sz w:val="14"/>
          <w:szCs w:val="14"/>
          <w:color w:val="auto"/>
        </w:rPr>
        <w:t>As a result of the Business Combination, the Company assumed a warrant liability related to previously issued warrants in connection with Roman DBDR's initial public offering. The warrants were accounted for as liabilities in accordance with ASC 815-40 and are presented within warrant liabilities on the consolidated balance sheet. The warrant liabilities were remeasured at September 30, 2024, with changes in fair value presented within revaluation of warrant liabilities in the consolidated statement of operations.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following table provides a reconciliation of the ending balances for the warrant liabilities remeasured at fair value:</w:t>
            </w:r>
          </w:p>
        </w:tc>
        <w:tc>
          <w:tcPr>
            <w:tcW w:w="3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12"/>
        </w:trPr>
        <w:tc>
          <w:tcPr>
            <w:tcW w:w="8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Warrant Liabilities</w:t>
            </w:r>
          </w:p>
        </w:tc>
      </w:tr>
      <w:tr>
        <w:trPr>
          <w:trHeight w:val="32"/>
        </w:trPr>
        <w:tc>
          <w:tcPr>
            <w:tcW w:w="8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193"/>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fair value at December 31, 2023</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8,294</w:t>
            </w:r>
          </w:p>
        </w:tc>
      </w:tr>
      <w:tr>
        <w:trPr>
          <w:trHeight w:val="191"/>
        </w:trPr>
        <w:tc>
          <w:tcPr>
            <w:tcW w:w="8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estimated fair value</w:t>
            </w:r>
          </w:p>
        </w:tc>
        <w:tc>
          <w:tcPr>
            <w:tcW w:w="38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76,211</w:t>
            </w:r>
          </w:p>
        </w:tc>
      </w:tr>
      <w:tr>
        <w:trPr>
          <w:trHeight w:val="32"/>
        </w:trPr>
        <w:tc>
          <w:tcPr>
            <w:tcW w:w="8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3"/>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fair value at September 30, 2024</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84,505</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public warrants were valued using the quoted market price as the fair value at the end of each balance sheet 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Earnout Consideration</w:t>
      </w:r>
    </w:p>
    <w:p>
      <w:pPr>
        <w:spacing w:after="0" w:line="202"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Certain prior holders of Holdings equity interests have the right to receive an aggregate of up to 7,500,000 additional shares of the Company's common stock in earnout consideration based on the achievement of certain stock price thresholds. The earnout consideration mat be payable as (a) 3,750,000 additional shares of in the event the volume-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4"/>
          <w:szCs w:val="14"/>
          <w:color w:val="auto"/>
        </w:rPr>
        <w:t>weighted average price of the Company's Class A Common Stock equals or exceeds $15.00 per share for any 20 trading days within any 30 consecutive trading day period ending on or prior to December 27, 2024, and (b) 3,750,000 additional shares in the event the volume-weighted average price of the Company's Class A Common Stock equals or exceeds $20.00 per share for any 20 trading days within any 30 consecutive trading day period ending on or prior to December 27, 2025.</w:t>
      </w:r>
    </w:p>
    <w:p>
      <w:pPr>
        <w:spacing w:after="0" w:line="157"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Earnout consideration (not including the holders under ASC 718) was determined to be a derivative instrument in accordance with ASC 815 and were accounted as derivative liabilities, initially valued at fair value in accordance with ASC 815-40-30-1. The liability for earnout consideration is remeasured at each reporting period at fair value, with changes in fair value recorded in earnings in accordance with ASC 815. The Company established the initial fair value for the earnout consideration at the Closing Date on December 27, 2021 using a Monte Carlo simulation model. The following table provides a reconciliation of the ending balances for the earnout consideration liabilities remeasured at fair value: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3300" w:type="dxa"/>
            <w:vAlign w:val="bottom"/>
            <w:gridSpan w:val="3"/>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Earnout Consideration Liability</w:t>
            </w:r>
          </w:p>
        </w:tc>
        <w:tc>
          <w:tcPr>
            <w:tcW w:w="0" w:type="dxa"/>
            <w:vAlign w:val="bottom"/>
          </w:tcPr>
          <w:p>
            <w:pPr>
              <w:spacing w:after="0"/>
              <w:rPr>
                <w:sz w:val="1"/>
                <w:szCs w:val="1"/>
                <w:color w:val="auto"/>
              </w:rPr>
            </w:pPr>
          </w:p>
        </w:tc>
      </w:tr>
      <w:tr>
        <w:trPr>
          <w:trHeight w:val="32"/>
        </w:trPr>
        <w:tc>
          <w:tcPr>
            <w:tcW w:w="79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fair value at December 31, 2023</w:t>
            </w:r>
          </w:p>
        </w:tc>
        <w:tc>
          <w:tcPr>
            <w:tcW w:w="1300" w:type="dxa"/>
            <w:vAlign w:val="bottom"/>
            <w:tcBorders>
              <w:bottom w:val="single" w:sz="8" w:color="CCEEFF"/>
            </w:tcBorders>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0" w:type="dxa"/>
            <w:vAlign w:val="bottom"/>
          </w:tcPr>
          <w:p>
            <w:pPr>
              <w:spacing w:after="0"/>
              <w:rPr>
                <w:sz w:val="1"/>
                <w:szCs w:val="1"/>
                <w:color w:val="auto"/>
              </w:rPr>
            </w:pPr>
          </w:p>
        </w:tc>
      </w:tr>
      <w:tr>
        <w:trPr>
          <w:trHeight w:val="191"/>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estimated fair value</w:t>
            </w: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34,060</w:t>
            </w:r>
          </w:p>
        </w:tc>
        <w:tc>
          <w:tcPr>
            <w:tcW w:w="0" w:type="dxa"/>
            <w:vAlign w:val="bottom"/>
          </w:tcPr>
          <w:p>
            <w:pPr>
              <w:spacing w:after="0"/>
              <w:rPr>
                <w:sz w:val="1"/>
                <w:szCs w:val="1"/>
                <w:color w:val="auto"/>
              </w:rPr>
            </w:pPr>
          </w:p>
        </w:tc>
      </w:tr>
      <w:tr>
        <w:trPr>
          <w:trHeight w:val="32"/>
        </w:trPr>
        <w:tc>
          <w:tcPr>
            <w:tcW w:w="79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fair value at September 30, 2024</w:t>
            </w:r>
          </w:p>
        </w:tc>
        <w:tc>
          <w:tcPr>
            <w:tcW w:w="1300" w:type="dxa"/>
            <w:vAlign w:val="bottom"/>
            <w:tcBorders>
              <w:bottom w:val="single" w:sz="8" w:color="auto"/>
            </w:tcBorders>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34,913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520"/>
              <w:spacing w:after="0"/>
              <w:rPr>
                <w:sz w:val="20"/>
                <w:szCs w:val="20"/>
                <w:color w:val="auto"/>
              </w:rPr>
            </w:pPr>
            <w:r>
              <w:rPr>
                <w:rFonts w:ascii="Times New Roman" w:cs="Times New Roman" w:eastAsia="Times New Roman" w:hAnsi="Times New Roman"/>
                <w:sz w:val="14"/>
                <w:szCs w:val="14"/>
                <w:color w:val="auto"/>
              </w:rPr>
              <w:t>The following assumptions were used to determine the fair value of the Earnout considerations as of September 30, 2024:</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4"/>
        </w:trPr>
        <w:tc>
          <w:tcPr>
            <w:tcW w:w="798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32"/>
        </w:trPr>
        <w:tc>
          <w:tcPr>
            <w:tcW w:w="79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market value</w:t>
            </w: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14.02</w:t>
            </w:r>
          </w:p>
        </w:tc>
        <w:tc>
          <w:tcPr>
            <w:tcW w:w="0" w:type="dxa"/>
            <w:vAlign w:val="bottom"/>
          </w:tcPr>
          <w:p>
            <w:pPr>
              <w:spacing w:after="0"/>
              <w:rPr>
                <w:sz w:val="1"/>
                <w:szCs w:val="1"/>
                <w:color w:val="auto"/>
              </w:rPr>
            </w:pPr>
          </w:p>
        </w:tc>
      </w:tr>
      <w:tr>
        <w:trPr>
          <w:trHeight w:val="191"/>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 - 4.73%</w:t>
            </w:r>
          </w:p>
        </w:tc>
        <w:tc>
          <w:tcPr>
            <w:tcW w:w="0" w:type="dxa"/>
            <w:vAlign w:val="bottom"/>
          </w:tcPr>
          <w:p>
            <w:pPr>
              <w:spacing w:after="0"/>
              <w:rPr>
                <w:sz w:val="1"/>
                <w:szCs w:val="1"/>
                <w:color w:val="auto"/>
              </w:rPr>
            </w:pPr>
          </w:p>
        </w:tc>
      </w:tr>
      <w:tr>
        <w:trPr>
          <w:trHeight w:val="32"/>
        </w:trPr>
        <w:tc>
          <w:tcPr>
            <w:tcW w:w="7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 - 37.5%</w:t>
            </w:r>
          </w:p>
        </w:tc>
        <w:tc>
          <w:tcPr>
            <w:tcW w:w="0" w:type="dxa"/>
            <w:vAlign w:val="bottom"/>
          </w:tcPr>
          <w:p>
            <w:pPr>
              <w:spacing w:after="0"/>
              <w:rPr>
                <w:sz w:val="1"/>
                <w:szCs w:val="1"/>
                <w:color w:val="auto"/>
              </w:rPr>
            </w:pPr>
          </w:p>
        </w:tc>
      </w:tr>
      <w:tr>
        <w:trPr>
          <w:trHeight w:val="191"/>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dividends</w:t>
            </w: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0" w:type="dxa"/>
            <w:vAlign w:val="bottom"/>
          </w:tcPr>
          <w:p>
            <w:pPr>
              <w:spacing w:after="0"/>
              <w:rPr>
                <w:sz w:val="1"/>
                <w:szCs w:val="1"/>
                <w:color w:val="auto"/>
              </w:rPr>
            </w:pPr>
          </w:p>
        </w:tc>
      </w:tr>
      <w:tr>
        <w:trPr>
          <w:trHeight w:val="32"/>
        </w:trPr>
        <w:tc>
          <w:tcPr>
            <w:tcW w:w="7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(years)</w:t>
            </w:r>
          </w:p>
        </w:tc>
        <w:tc>
          <w:tcPr>
            <w:tcW w:w="1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0.2-1.2 years</w:t>
            </w:r>
          </w:p>
        </w:tc>
        <w:tc>
          <w:tcPr>
            <w:tcW w:w="0" w:type="dxa"/>
            <w:vAlign w:val="bottom"/>
          </w:tcPr>
          <w:p>
            <w:pPr>
              <w:spacing w:after="0"/>
              <w:rPr>
                <w:sz w:val="1"/>
                <w:szCs w:val="1"/>
                <w:color w:val="auto"/>
              </w:rPr>
            </w:pPr>
          </w:p>
        </w:tc>
      </w:tr>
      <w:tr>
        <w:trPr>
          <w:trHeight w:val="32"/>
        </w:trPr>
        <w:tc>
          <w:tcPr>
            <w:tcW w:w="79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firstLine="509"/>
        <w:spacing w:after="0" w:line="271" w:lineRule="auto"/>
        <w:rPr>
          <w:sz w:val="20"/>
          <w:szCs w:val="20"/>
          <w:color w:val="auto"/>
        </w:rPr>
      </w:pPr>
      <w:r>
        <w:rPr>
          <w:rFonts w:ascii="Times New Roman" w:cs="Times New Roman" w:eastAsia="Times New Roman" w:hAnsi="Times New Roman"/>
          <w:sz w:val="14"/>
          <w:szCs w:val="14"/>
          <w:color w:val="auto"/>
        </w:rPr>
        <w:t>The fair value of Earnouts has been classified as a Level 3 liability as its valuation requires substantial judgment and estimation of factors that are not currently readily observable in the market. If different assumptions were used for the various inputs to the valuation approach, the estimated fair value could be significantly higher or lower than the fair value determined.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GEOGRAPHIC INFORMATION AND CONCENTRATIONS</w:t>
      </w:r>
    </w:p>
    <w:p>
      <w:pPr>
        <w:spacing w:after="0" w:line="96"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The Company's headquarters and substantially all of its operations, including its long-lived assets, are located in the United States. Geographical sales information based on the location of the customer was as follows: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3000" w:type="dxa"/>
            <w:vAlign w:val="bottom"/>
            <w:gridSpan w:val="4"/>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0" w:type="dxa"/>
            <w:vAlign w:val="bottom"/>
            <w:gridSpan w:val="4"/>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2"/>
        </w:trPr>
        <w:tc>
          <w:tcPr>
            <w:tcW w:w="40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1"/>
        </w:trPr>
        <w:tc>
          <w:tcPr>
            <w:tcW w:w="4000" w:type="dxa"/>
            <w:vAlign w:val="bottom"/>
          </w:tcPr>
          <w:p>
            <w:pPr>
              <w:spacing w:after="0"/>
              <w:rPr>
                <w:sz w:val="15"/>
                <w:szCs w:val="15"/>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40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3"/>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 by region:</w:t>
            </w:r>
          </w:p>
        </w:tc>
        <w:tc>
          <w:tcPr>
            <w:tcW w:w="1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r>
      <w:tr>
        <w:trPr>
          <w:trHeight w:val="191"/>
        </w:trPr>
        <w:tc>
          <w:tcPr>
            <w:tcW w:w="4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Domestic</w:t>
            </w:r>
          </w:p>
        </w:tc>
        <w:tc>
          <w:tcPr>
            <w:tcW w:w="114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80,033</w:t>
            </w:r>
          </w:p>
        </w:tc>
        <w:tc>
          <w:tcPr>
            <w:tcW w:w="80" w:type="dxa"/>
            <w:vAlign w:val="bottom"/>
          </w:tcPr>
          <w:p>
            <w:pPr>
              <w:spacing w:after="0"/>
              <w:rPr>
                <w:sz w:val="16"/>
                <w:szCs w:val="16"/>
                <w:color w:val="auto"/>
              </w:rPr>
            </w:pPr>
          </w:p>
        </w:tc>
        <w:tc>
          <w:tcPr>
            <w:tcW w:w="1160" w:type="dxa"/>
            <w:vAlign w:val="bottom"/>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84,277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258,007</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235,933</w:t>
            </w:r>
          </w:p>
        </w:tc>
      </w:tr>
      <w:tr>
        <w:trPr>
          <w:trHeight w:val="32"/>
        </w:trPr>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4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International</w:t>
            </w:r>
          </w:p>
        </w:tc>
        <w:tc>
          <w:tcPr>
            <w:tcW w:w="1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27,102</w:t>
            </w: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12,609</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61,705</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54,796</w:t>
            </w:r>
          </w:p>
        </w:tc>
      </w:tr>
      <w:tr>
        <w:trPr>
          <w:trHeight w:val="18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40" w:type="dxa"/>
            <w:vAlign w:val="bottom"/>
            <w:tcBorders>
              <w:top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107,135</w:t>
            </w:r>
          </w:p>
        </w:tc>
        <w:tc>
          <w:tcPr>
            <w:tcW w:w="80" w:type="dxa"/>
            <w:vAlign w:val="bottom"/>
          </w:tcPr>
          <w:p>
            <w:pPr>
              <w:spacing w:after="0"/>
              <w:rPr>
                <w:sz w:val="15"/>
                <w:szCs w:val="15"/>
                <w:color w:val="auto"/>
              </w:rPr>
            </w:pPr>
          </w:p>
        </w:tc>
        <w:tc>
          <w:tcPr>
            <w:tcW w:w="1160" w:type="dxa"/>
            <w:vAlign w:val="bottom"/>
            <w:tcBorders>
              <w:top w:val="single" w:sz="8" w:color="auto"/>
            </w:tcBorders>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96,886</w:t>
            </w: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319,712</w:t>
            </w: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290,729</w:t>
            </w:r>
          </w:p>
        </w:tc>
      </w:tr>
      <w:tr>
        <w:trPr>
          <w:trHeight w:val="32"/>
        </w:trPr>
        <w:tc>
          <w:tcPr>
            <w:tcW w:w="40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The Company’s principal direct customers as of September 30, 2024 consist primarily of leading international and domestic banks and other payment card issuers primarily within the U.S., with additional direct and indirect customers in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4"/>
          <w:szCs w:val="14"/>
          <w:color w:val="auto"/>
        </w:rPr>
        <w:t>Europe, Asia, Latin America, Canada, and the Middle East. The Company periodically assesses the financial strength of these customers and establishes allowances for anticipated losses, if necessary.</w:t>
      </w:r>
    </w:p>
    <w:p>
      <w:pPr>
        <w:spacing w:after="0" w:line="39"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Two customers individually accounted for more than 10% of the Company’s revenue, or 58.5% combined, of total revenue for the three months ended September 30, 2024. Three customers individually accounted for more than 10% of the Company’s revenue, or 84.6%, combined, of total revenue for the three months ended September 30, 2023. Two customers individually accounted for more than 10% of the Company’s revenue or 66.1% combined, of total revenue for the nine months ended September 30, 2024. Three customers individually accounted for more than 10% of the Company’s revenue or 79.1%, combined, of total revenue for the nine months ended September 30, 2023. Four customers individually accounted for more than 10% of the Company’s accounts receivable or approximately 70% and two customers individually accounted for more than 10% or approximately 73% of total accounts receivable as of September 30, 2024 and December 31, 2023, respectively.</w:t>
      </w:r>
    </w:p>
    <w:p>
      <w:pPr>
        <w:spacing w:after="0" w:line="61" w:lineRule="exact"/>
        <w:rPr>
          <w:sz w:val="20"/>
          <w:szCs w:val="20"/>
          <w:color w:val="auto"/>
        </w:rPr>
      </w:pPr>
    </w:p>
    <w:p>
      <w:pPr>
        <w:ind w:right="380" w:firstLine="509"/>
        <w:spacing w:after="0" w:line="287" w:lineRule="auto"/>
        <w:rPr>
          <w:sz w:val="20"/>
          <w:szCs w:val="20"/>
          <w:color w:val="auto"/>
        </w:rPr>
      </w:pPr>
      <w:r>
        <w:rPr>
          <w:rFonts w:ascii="Times New Roman" w:cs="Times New Roman" w:eastAsia="Times New Roman" w:hAnsi="Times New Roman"/>
          <w:sz w:val="14"/>
          <w:szCs w:val="14"/>
          <w:color w:val="auto"/>
        </w:rPr>
        <w:t>One individual vendor accounted for more than 10% of purchases of supplies, or approximately 10% of total purchases, for the nine months ended September 30, 2024. One individual vendor accounted for more than 10% of purchases of supplies, or approximately 15% of total purchases, for the nine months ended September 30, 2023.</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INCOME TAXES</w:t>
      </w:r>
    </w:p>
    <w:p>
      <w:pPr>
        <w:spacing w:after="0" w:line="202"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The Company recorded income tax provision of $629 and $949 for the three months ended September 30, 2024, and September 30, 2023, respectively. The Company recorded income tax provision of $51 and $656 for the nine months ended September 30, 2024, and September 30, 2023, respectively.</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During the quarter ended September 30, 2024, federal tax authorities completed their audit of fiscal 2020. There were no proposed adjustments resulting from the examination.</w:t>
      </w:r>
    </w:p>
    <w:p>
      <w:pPr>
        <w:spacing w:after="0" w:line="200"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In calculating the provision for income taxes on an interim basis, the Company uses an estimate of the annual effective tax rate based upon currently known facts and circumstances and applies that rate to its year-to-date earnings or losses. The Company’s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 The Company's interim effective tax rate, inclusive of any discrete items, was (0.74)% and 1.48% for the three months ended September 30, 2024 and September 30, 2023, respectively. The Company's interim effective tax rate, inclusive of any discrete items, was (0.15)% and 0.80% for the nine months ended September 30, 2024 and September 30, 2023, respectively. The Company’s effective income tax rate differs from the U.S. statutory rate primarily due to the non-controlling interest adjustment as the income attributable to the non-controlling interest is pass-through income.</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(LOSS) EARNINGS PER SHARE</w:t>
      </w:r>
    </w:p>
    <w:p>
      <w:pPr>
        <w:spacing w:after="0" w:line="202"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sets forth the computation of net (loss) income used to compute basic and diluted net earnings per share of Class A common stock for the three and nine months ended September 30, 2024 and September 30, 2023, respectively. Shares of Class B common stock did not participate in the Company's income or loss and are, therefore, not participating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00" w:type="dxa"/>
            <w:vAlign w:val="bottom"/>
          </w:tcPr>
          <w:p>
            <w:pPr>
              <w:spacing w:after="0"/>
              <w:rPr>
                <w:sz w:val="14"/>
                <w:szCs w:val="14"/>
                <w:color w:val="auto"/>
              </w:rPr>
            </w:pPr>
          </w:p>
        </w:tc>
        <w:tc>
          <w:tcPr>
            <w:tcW w:w="2900" w:type="dxa"/>
            <w:vAlign w:val="bottom"/>
            <w:gridSpan w:val="4"/>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gridSpan w:val="4"/>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26"/>
        </w:trPr>
        <w:tc>
          <w:tcPr>
            <w:tcW w:w="3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2"/>
        </w:trPr>
        <w:tc>
          <w:tcPr>
            <w:tcW w:w="39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7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6"/>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Basic and diluted:</w:t>
            </w:r>
          </w:p>
        </w:tc>
        <w:tc>
          <w:tcPr>
            <w:tcW w:w="10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r>
      <w:tr>
        <w:trPr>
          <w:trHeight w:val="26"/>
        </w:trPr>
        <w:tc>
          <w:tcPr>
            <w:tcW w:w="3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2"/>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income</w:t>
            </w:r>
          </w:p>
        </w:tc>
        <w:tc>
          <w:tcPr>
            <w:tcW w:w="1060" w:type="dxa"/>
            <w:vAlign w:val="bottom"/>
            <w:tcBorders>
              <w:bottom w:val="single" w:sz="8" w:color="CCEEFF"/>
            </w:tcBorders>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(85,474)</w:t>
            </w:r>
          </w:p>
        </w:tc>
        <w:tc>
          <w:tcPr>
            <w:tcW w:w="1160" w:type="dxa"/>
            <w:vAlign w:val="bottom"/>
            <w:tcBorders>
              <w:bottom w:val="single" w:sz="8" w:color="CCEEFF"/>
            </w:tcBorders>
            <w:gridSpan w:val="2"/>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38,049</w:t>
            </w:r>
          </w:p>
        </w:tc>
        <w:tc>
          <w:tcPr>
            <w:tcW w:w="1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(34,804)</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81,496</w:t>
            </w:r>
          </w:p>
        </w:tc>
      </w:tr>
      <w:tr>
        <w:trPr>
          <w:trHeight w:val="176"/>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Net loss (income) attributable to non-controlling interest</w:t>
            </w:r>
          </w:p>
        </w:tc>
        <w:tc>
          <w:tcPr>
            <w:tcW w:w="10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43,414</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(30,574)</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18,414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(65,653)</w:t>
            </w:r>
          </w:p>
        </w:tc>
      </w:tr>
      <w:tr>
        <w:trPr>
          <w:trHeight w:val="26"/>
        </w:trPr>
        <w:tc>
          <w:tcPr>
            <w:tcW w:w="3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72"/>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income attributable to Class A Common Stockholders - basic</w:t>
            </w:r>
          </w:p>
        </w:tc>
        <w:tc>
          <w:tcPr>
            <w:tcW w:w="1060" w:type="dxa"/>
            <w:vAlign w:val="bottom"/>
            <w:tcBorders>
              <w:bottom w:val="single" w:sz="8" w:color="CCEEFF"/>
            </w:tcBorders>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(42,060)</w:t>
            </w:r>
          </w:p>
        </w:tc>
        <w:tc>
          <w:tcPr>
            <w:tcW w:w="1160" w:type="dxa"/>
            <w:vAlign w:val="bottom"/>
            <w:tcBorders>
              <w:bottom w:val="single" w:sz="8" w:color="CCEEFF"/>
            </w:tcBorders>
            <w:gridSpan w:val="2"/>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7,475</w:t>
            </w:r>
          </w:p>
        </w:tc>
        <w:tc>
          <w:tcPr>
            <w:tcW w:w="1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(16,390)</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15,843</w:t>
            </w:r>
          </w:p>
        </w:tc>
      </w:tr>
      <w:tr>
        <w:trPr>
          <w:trHeight w:val="170"/>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Plus: adjustment to net income due to net effect of equity awards,</w:t>
            </w: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5"/>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exchangeable notes</w:t>
            </w: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4,810</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10,705</w:t>
            </w:r>
          </w:p>
        </w:tc>
      </w:tr>
      <w:tr>
        <w:trPr>
          <w:trHeight w:val="26"/>
        </w:trPr>
        <w:tc>
          <w:tcPr>
            <w:tcW w:w="3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5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income attributable to Class A Common Stockholders after</w:t>
            </w:r>
          </w:p>
        </w:tc>
        <w:tc>
          <w:tcPr>
            <w:tcW w:w="10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91"/>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w:t>
            </w:r>
          </w:p>
        </w:tc>
        <w:tc>
          <w:tcPr>
            <w:tcW w:w="1060" w:type="dxa"/>
            <w:vAlign w:val="bottom"/>
            <w:tcBorders>
              <w:bottom w:val="single" w:sz="8" w:color="CCEEFF"/>
            </w:tcBorders>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(42,060)</w:t>
            </w:r>
          </w:p>
        </w:tc>
        <w:tc>
          <w:tcPr>
            <w:tcW w:w="1160" w:type="dxa"/>
            <w:vAlign w:val="bottom"/>
            <w:tcBorders>
              <w:bottom w:val="single" w:sz="8" w:color="CCEEFF"/>
            </w:tcBorders>
            <w:gridSpan w:val="2"/>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12,285</w:t>
            </w:r>
          </w:p>
        </w:tc>
        <w:tc>
          <w:tcPr>
            <w:tcW w:w="1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(16,390)</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26,548</w:t>
            </w:r>
          </w:p>
        </w:tc>
      </w:tr>
      <w:tr>
        <w:trPr>
          <w:trHeight w:val="150"/>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common shares outstanding used in computing net</w:t>
            </w:r>
          </w:p>
        </w:tc>
        <w:tc>
          <w:tcPr>
            <w:tcW w:w="10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r>
      <w:tr>
        <w:trPr>
          <w:trHeight w:val="165"/>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income per share - basic</w:t>
            </w: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38,212,440</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19,074,679</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28,109,632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18,420,069</w:t>
            </w:r>
          </w:p>
        </w:tc>
      </w:tr>
      <w:tr>
        <w:trPr>
          <w:trHeight w:val="26"/>
        </w:trPr>
        <w:tc>
          <w:tcPr>
            <w:tcW w:w="3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Plus: net effect of dilutive equity awards, exchangeable notes and Class B</w:t>
            </w: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91"/>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 - diluted</w:t>
            </w:r>
          </w:p>
        </w:tc>
        <w:tc>
          <w:tcPr>
            <w:tcW w:w="10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16,689,975</w:t>
            </w:r>
          </w:p>
        </w:tc>
        <w:tc>
          <w:tcPr>
            <w:tcW w:w="1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16,941,990</w:t>
            </w:r>
          </w:p>
        </w:tc>
      </w:tr>
      <w:tr>
        <w:trPr>
          <w:trHeight w:val="150"/>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common shares outstanding used in computing net</w:t>
            </w:r>
          </w:p>
        </w:tc>
        <w:tc>
          <w:tcPr>
            <w:tcW w:w="10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r>
      <w:tr>
        <w:trPr>
          <w:trHeight w:val="165"/>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income per share - diluted</w:t>
            </w: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38,212,440</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35,764,654</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28,109,632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35,362,059</w:t>
            </w:r>
          </w:p>
        </w:tc>
      </w:tr>
      <w:tr>
        <w:trPr>
          <w:trHeight w:val="26"/>
        </w:trPr>
        <w:tc>
          <w:tcPr>
            <w:tcW w:w="3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2"/>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income per share—basic</w:t>
            </w:r>
          </w:p>
        </w:tc>
        <w:tc>
          <w:tcPr>
            <w:tcW w:w="1060" w:type="dxa"/>
            <w:vAlign w:val="bottom"/>
            <w:tcBorders>
              <w:bottom w:val="single" w:sz="8" w:color="BFE4FF"/>
            </w:tcBorders>
            <w:shd w:val="clear" w:color="auto" w:fill="BFE4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160" w:type="dxa"/>
            <w:vAlign w:val="bottom"/>
            <w:tcBorders>
              <w:bottom w:val="single" w:sz="8" w:color="CCEEFF"/>
            </w:tcBorders>
            <w:gridSpan w:val="2"/>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0.39</w:t>
            </w:r>
          </w:p>
        </w:tc>
        <w:tc>
          <w:tcPr>
            <w:tcW w:w="1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(0.58)</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0.86</w:t>
            </w:r>
          </w:p>
        </w:tc>
      </w:tr>
      <w:tr>
        <w:trPr>
          <w:trHeight w:val="167"/>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income per share—diluted</w:t>
            </w:r>
          </w:p>
        </w:tc>
        <w:tc>
          <w:tcPr>
            <w:tcW w:w="1060" w:type="dxa"/>
            <w:vAlign w:val="bottom"/>
            <w:tcBorders>
              <w:top w:val="single" w:sz="8" w:color="auto"/>
            </w:tcBorders>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tcPr>
          <w:p>
            <w:pPr>
              <w:spacing w:after="0"/>
              <w:rPr>
                <w:sz w:val="14"/>
                <w:szCs w:val="14"/>
                <w:color w:val="auto"/>
              </w:rPr>
            </w:pPr>
          </w:p>
        </w:tc>
        <w:tc>
          <w:tcPr>
            <w:tcW w:w="1060" w:type="dxa"/>
            <w:vAlign w:val="bottom"/>
            <w:tcBorders>
              <w:top w:val="single" w:sz="8" w:color="auto"/>
            </w:tcBorders>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0.34</w:t>
            </w:r>
          </w:p>
        </w:tc>
        <w:tc>
          <w:tcPr>
            <w:tcW w:w="160" w:type="dxa"/>
            <w:vAlign w:val="bottom"/>
          </w:tcPr>
          <w:p>
            <w:pPr>
              <w:spacing w:after="0"/>
              <w:rPr>
                <w:sz w:val="14"/>
                <w:szCs w:val="14"/>
                <w:color w:val="auto"/>
              </w:rPr>
            </w:pPr>
          </w:p>
        </w:tc>
        <w:tc>
          <w:tcPr>
            <w:tcW w:w="42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(0.58)</w:t>
            </w:r>
          </w:p>
        </w:tc>
        <w:tc>
          <w:tcPr>
            <w:tcW w:w="100" w:type="dxa"/>
            <w:vAlign w:val="bottom"/>
          </w:tcPr>
          <w:p>
            <w:pPr>
              <w:spacing w:after="0"/>
              <w:rPr>
                <w:sz w:val="14"/>
                <w:szCs w:val="14"/>
                <w:color w:val="auto"/>
              </w:rPr>
            </w:pPr>
          </w:p>
        </w:tc>
        <w:tc>
          <w:tcPr>
            <w:tcW w:w="42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0.75</w:t>
            </w:r>
          </w:p>
        </w:tc>
      </w:tr>
      <w:tr>
        <w:trPr>
          <w:trHeight w:val="26"/>
        </w:trPr>
        <w:tc>
          <w:tcPr>
            <w:tcW w:w="3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05"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Basic loss per share for the three months ended September 30, 2024 was calculated by dividing net loss attributable to Class A Common stockholders of $42,060 divided by 38,212,440 of weighted average Class A common shares outstanding at September 30, 2024. Diluted loss per share for the three months ended September 30, 2024 was calculated by dividing net loss adjusted for the net effect of dilutive equity awards, exchangeable notes and Class B units of $42,060 divided by 38,212,440 of weighted average common shares after adjusting for the net effect of dilutive equity awards, exchangeable notes and Class B units outstanding at September 30, 2024.</w:t>
      </w:r>
    </w:p>
    <w:p>
      <w:pPr>
        <w:spacing w:after="0" w:line="140"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Basic earnings per share for the three months ended September 30, 2023 was calculated by dividing net income attributable to Class A Common stockholders of $7,475 divided by 19,074,679 of weighted average Class A common shares outstanding at September 30, 2023. Diluted earnings per share for the three months ended September 30, 2023 was calculated by dividing net income adjusted for the net effect of dilutive equity awards and exchangeable notes of $12,285, divided by 35,764,654 of weighted average common shares after adjusting for the net effect of dilutive equity awards and exchangeable notes outstanding at September 30, 2023.</w:t>
      </w:r>
    </w:p>
    <w:p>
      <w:pPr>
        <w:spacing w:after="0" w:line="247"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Basic loss per share for the nine months ended September 30, 2024 was calculated by dividing net loss attributable to Class A Common stockholders of $16,390 divided by 28,109,632 of weighted average Class A common shares outstanding at September 30, 2024. Diluted loss per share for the nine months ended September 30, 2024 was calculated by dividing net loss adjusted for the net effect of dilutive equity awards exchangeable notes and Class B units of $16,390 divided by 28,109,632 of weighted average common shares after adjusting for the net effect of dilutive equity awards, exchangeable notes and Class B units outstanding at September 30, 2024.</w:t>
      </w:r>
    </w:p>
    <w:p>
      <w:pPr>
        <w:spacing w:after="0" w:line="140" w:lineRule="exact"/>
        <w:rPr>
          <w:sz w:val="20"/>
          <w:szCs w:val="20"/>
          <w:color w:val="auto"/>
        </w:rPr>
      </w:pPr>
    </w:p>
    <w:p>
      <w:pPr>
        <w:ind w:right="600" w:firstLine="509"/>
        <w:spacing w:after="0" w:line="287" w:lineRule="auto"/>
        <w:rPr>
          <w:sz w:val="20"/>
          <w:szCs w:val="20"/>
          <w:color w:val="auto"/>
        </w:rPr>
      </w:pPr>
      <w:r>
        <w:rPr>
          <w:rFonts w:ascii="Times New Roman" w:cs="Times New Roman" w:eastAsia="Times New Roman" w:hAnsi="Times New Roman"/>
          <w:sz w:val="14"/>
          <w:szCs w:val="14"/>
          <w:color w:val="auto"/>
        </w:rPr>
        <w:t>Basic earnings per share for the nine months ended September 30, 2023 was calculated by dividing net income attributable to Class A Common stockholders of $15,843 divided by 18,420,069 of weighted average Class A common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380"/>
        <w:spacing w:after="0" w:line="270" w:lineRule="auto"/>
        <w:rPr>
          <w:sz w:val="20"/>
          <w:szCs w:val="20"/>
          <w:color w:val="auto"/>
        </w:rPr>
      </w:pPr>
      <w:r>
        <w:rPr>
          <w:rFonts w:ascii="Times New Roman" w:cs="Times New Roman" w:eastAsia="Times New Roman" w:hAnsi="Times New Roman"/>
          <w:sz w:val="14"/>
          <w:szCs w:val="14"/>
          <w:color w:val="auto"/>
        </w:rPr>
        <w:t>shares outstanding at September 30, 2023. Diluted earnings per share for the nine months ended September 30, 2023 was calculated by dividing net income adjusted for the net effect of dilutive equity awards and exchangeable notes of $26,548, divided by 35,362,059 of weighted average common shares after adjusting for the net effect of dilutive equity awards and exchangeable notes outstanding at September 30, 2023.</w:t>
      </w:r>
    </w:p>
    <w:p>
      <w:pPr>
        <w:spacing w:after="0" w:line="157" w:lineRule="exact"/>
        <w:rPr>
          <w:sz w:val="20"/>
          <w:szCs w:val="20"/>
          <w:color w:val="auto"/>
        </w:rPr>
      </w:pPr>
    </w:p>
    <w:p>
      <w:pPr>
        <w:jc w:val="both"/>
        <w:ind w:right="280" w:firstLine="509"/>
        <w:spacing w:after="0" w:line="270" w:lineRule="auto"/>
        <w:rPr>
          <w:sz w:val="20"/>
          <w:szCs w:val="20"/>
          <w:color w:val="auto"/>
        </w:rPr>
      </w:pPr>
      <w:r>
        <w:rPr>
          <w:rFonts w:ascii="Times New Roman" w:cs="Times New Roman" w:eastAsia="Times New Roman" w:hAnsi="Times New Roman"/>
          <w:sz w:val="14"/>
          <w:szCs w:val="14"/>
          <w:color w:val="auto"/>
        </w:rPr>
        <w:t>Securities that could potentially be dilutive are excluded from the computation of diluted earnings per share when the exercise price exceeds the average closing price of the Company’s common stock during the period, because their inclusion would result in an antidilutive effect on per share amounts. The Company applied the if-converted method for the Exchangeable Notes to calculate diluted earnings per share in accordance with ASU 2020-06.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gridSpan w:val="7"/>
          </w:tcPr>
          <w:p>
            <w:pPr>
              <w:ind w:left="520"/>
              <w:spacing w:after="0"/>
              <w:rPr>
                <w:sz w:val="20"/>
                <w:szCs w:val="20"/>
                <w:color w:val="auto"/>
              </w:rPr>
            </w:pPr>
            <w:r>
              <w:rPr>
                <w:rFonts w:ascii="Times New Roman" w:cs="Times New Roman" w:eastAsia="Times New Roman" w:hAnsi="Times New Roman"/>
                <w:sz w:val="14"/>
                <w:szCs w:val="14"/>
                <w:color w:val="auto"/>
              </w:rPr>
              <w:t>The following amounts were not included in the calculation of net earnings per diluted share because their effects were anti-dilutive:</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403"/>
        </w:trPr>
        <w:tc>
          <w:tcPr>
            <w:tcW w:w="4060" w:type="dxa"/>
            <w:vAlign w:val="bottom"/>
          </w:tcPr>
          <w:p>
            <w:pPr>
              <w:spacing w:after="0"/>
              <w:rPr>
                <w:sz w:val="24"/>
                <w:szCs w:val="24"/>
                <w:color w:val="auto"/>
              </w:rPr>
            </w:pPr>
          </w:p>
        </w:tc>
        <w:tc>
          <w:tcPr>
            <w:tcW w:w="4160" w:type="dxa"/>
            <w:vAlign w:val="bottom"/>
            <w:gridSpan w:val="6"/>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60" w:type="dxa"/>
            <w:vAlign w:val="bottom"/>
            <w:gridSpan w:val="3"/>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2"/>
        </w:trPr>
        <w:tc>
          <w:tcPr>
            <w:tcW w:w="40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3"/>
        </w:trPr>
        <w:tc>
          <w:tcPr>
            <w:tcW w:w="406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Potentially dilutive securities:</w:t>
            </w:r>
          </w:p>
        </w:tc>
        <w:tc>
          <w:tcPr>
            <w:tcW w:w="1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r>
      <w:tr>
        <w:trPr>
          <w:trHeight w:val="32"/>
        </w:trPr>
        <w:tc>
          <w:tcPr>
            <w:tcW w:w="4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03"/>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22,415,200</w:t>
            </w:r>
          </w:p>
        </w:tc>
        <w:tc>
          <w:tcPr>
            <w:tcW w:w="8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22,415,400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22,415,200</w:t>
            </w:r>
          </w:p>
        </w:tc>
        <w:tc>
          <w:tcPr>
            <w:tcW w:w="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22,415,400</w:t>
            </w:r>
          </w:p>
        </w:tc>
      </w:tr>
      <w:tr>
        <w:trPr>
          <w:trHeight w:val="191"/>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units</w:t>
            </w: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59,958,422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59,958,422</w:t>
            </w:r>
          </w:p>
        </w:tc>
      </w:tr>
      <w:tr>
        <w:trPr>
          <w:trHeight w:val="32"/>
        </w:trPr>
        <w:tc>
          <w:tcPr>
            <w:tcW w:w="4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03"/>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Earnout consideration shares</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7,500,000</w:t>
            </w:r>
          </w:p>
        </w:tc>
        <w:tc>
          <w:tcPr>
            <w:tcW w:w="8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7,500,000</w:t>
            </w:r>
          </w:p>
        </w:tc>
        <w:tc>
          <w:tcPr>
            <w:tcW w:w="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7,500,000</w:t>
            </w:r>
          </w:p>
        </w:tc>
      </w:tr>
      <w:tr>
        <w:trPr>
          <w:trHeight w:val="191"/>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awards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5,978</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174,091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80,978</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2,654,012</w:t>
            </w:r>
          </w:p>
        </w:tc>
      </w:tr>
      <w:tr>
        <w:trPr>
          <w:trHeight w:val="637"/>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13. COMMITMENTS AND CONTINGENCIES</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5"/>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361"/>
        </w:trPr>
        <w:tc>
          <w:tcPr>
            <w:tcW w:w="596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Future minimum commitments under all non-cancelable operating leases are as follows:</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07"/>
        </w:trPr>
        <w:tc>
          <w:tcPr>
            <w:tcW w:w="40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gridSpan w:val="3"/>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03"/>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6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r>
      <w:tr>
        <w:trPr>
          <w:trHeight w:val="191"/>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2,502</w:t>
            </w:r>
          </w:p>
        </w:tc>
      </w:tr>
      <w:tr>
        <w:trPr>
          <w:trHeight w:val="32"/>
        </w:trPr>
        <w:tc>
          <w:tcPr>
            <w:tcW w:w="4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03"/>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w:t>
            </w:r>
          </w:p>
        </w:tc>
      </w:tr>
      <w:tr>
        <w:trPr>
          <w:trHeight w:val="191"/>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w:t>
            </w:r>
          </w:p>
        </w:tc>
      </w:tr>
      <w:tr>
        <w:trPr>
          <w:trHeight w:val="32"/>
        </w:trPr>
        <w:tc>
          <w:tcPr>
            <w:tcW w:w="4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03"/>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r>
      <w:tr>
        <w:trPr>
          <w:trHeight w:val="191"/>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Later years</w:t>
            </w: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r>
      <w:tr>
        <w:trPr>
          <w:trHeight w:val="32"/>
        </w:trPr>
        <w:tc>
          <w:tcPr>
            <w:tcW w:w="40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93"/>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undiscounted lease payments</w:t>
            </w:r>
          </w:p>
        </w:tc>
        <w:tc>
          <w:tcPr>
            <w:tcW w:w="1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7,474</w:t>
            </w:r>
          </w:p>
        </w:tc>
      </w:tr>
      <w:tr>
        <w:trPr>
          <w:trHeight w:val="191"/>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w:t>
            </w:r>
          </w:p>
        </w:tc>
      </w:tr>
      <w:tr>
        <w:trPr>
          <w:trHeight w:val="32"/>
        </w:trPr>
        <w:tc>
          <w:tcPr>
            <w:tcW w:w="40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1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6,560</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 Receivable Agreement</w:t>
      </w:r>
    </w:p>
    <w:p>
      <w:pPr>
        <w:spacing w:after="0" w:line="202" w:lineRule="exact"/>
        <w:rPr>
          <w:sz w:val="20"/>
          <w:szCs w:val="20"/>
          <w:color w:val="auto"/>
        </w:rPr>
      </w:pPr>
    </w:p>
    <w:p>
      <w:pPr>
        <w:ind w:right="180" w:firstLine="509"/>
        <w:spacing w:after="0" w:line="259" w:lineRule="auto"/>
        <w:rPr>
          <w:sz w:val="20"/>
          <w:szCs w:val="20"/>
          <w:color w:val="auto"/>
        </w:rPr>
      </w:pPr>
      <w:r>
        <w:rPr>
          <w:rFonts w:ascii="Times New Roman" w:cs="Times New Roman" w:eastAsia="Times New Roman" w:hAnsi="Times New Roman"/>
          <w:sz w:val="14"/>
          <w:szCs w:val="14"/>
          <w:color w:val="auto"/>
        </w:rPr>
        <w:t>The Company is obligated to make certain payments under a tax receivable agreement to certain historical unitholders of Holdings. The agreement was amended in connection with the closing of the Resolute Transaction as of September 17, 2024 to exclude the Resolute Transaction from being a change of control event that would have resulted in the acceleration of the payments due under the tax receivable agreement and to adjust the discount rate used in the event of a payment due as the result of an early termination . Although the actual timing and amount of any payments that may be made under the agreement will vary, the Company expects the cash obligation required will be significant. Any payments made under the tax receivable agreement will generally reduce the amount of overall cash flows that might have otherwise been available to the Company. To the extent that the Company is unable to make payments under the tax receivable agreement for any reason, the unpaid amounts generally will be deferred and will accrue interest until paid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Company. The tax receivable agreement liability includes amounts to be paid assuming the Company will have sufficient taxable income over the term of the tax receivable agreement to utilize the related tax benefits. In determining the estimated timing of payments, the current year’s taxable income was used to extrapolate an estimate of future taxable income.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As of September 30, 2024, the Company had the following obligations expected to be paid pursuant to the tax receivable agreement</w:t>
            </w:r>
            <w:r>
              <w:rPr>
                <w:rFonts w:ascii="Times New Roman" w:cs="Times New Roman" w:eastAsia="Times New Roman" w:hAnsi="Times New Roman"/>
                <w:sz w:val="14"/>
                <w:szCs w:val="14"/>
                <w:color w:val="CC0099"/>
              </w:rPr>
              <w:t>:</w:t>
            </w: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3"/>
        </w:trPr>
        <w:tc>
          <w:tcPr>
            <w:tcW w:w="8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3"/>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 (excluding the nine months ended September 30, 2024))</w:t>
            </w:r>
          </w:p>
        </w:tc>
        <w:tc>
          <w:tcPr>
            <w:tcW w:w="92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91"/>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9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4,961</w:t>
            </w:r>
          </w:p>
        </w:tc>
      </w:tr>
      <w:tr>
        <w:trPr>
          <w:trHeight w:val="32"/>
        </w:trPr>
        <w:tc>
          <w:tcPr>
            <w:tcW w:w="8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3"/>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9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13,063</w:t>
            </w:r>
          </w:p>
        </w:tc>
      </w:tr>
      <w:tr>
        <w:trPr>
          <w:trHeight w:val="191"/>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9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13,200</w:t>
            </w:r>
          </w:p>
        </w:tc>
      </w:tr>
      <w:tr>
        <w:trPr>
          <w:trHeight w:val="32"/>
        </w:trPr>
        <w:tc>
          <w:tcPr>
            <w:tcW w:w="8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3"/>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9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13,408</w:t>
            </w:r>
          </w:p>
        </w:tc>
      </w:tr>
      <w:tr>
        <w:trPr>
          <w:trHeight w:val="191"/>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Later years</w:t>
            </w:r>
          </w:p>
        </w:tc>
        <w:tc>
          <w:tcPr>
            <w:tcW w:w="9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189,485</w:t>
            </w:r>
          </w:p>
        </w:tc>
      </w:tr>
      <w:tr>
        <w:trPr>
          <w:trHeight w:val="32"/>
        </w:trPr>
        <w:tc>
          <w:tcPr>
            <w:tcW w:w="87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3"/>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payments</w:t>
            </w:r>
          </w:p>
        </w:tc>
        <w:tc>
          <w:tcPr>
            <w:tcW w:w="92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234,239</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In addition to the above, the Company's tax receivable agreement liability and future payments thereunder increased as we realized an increase in tax basis of Holdings’ assets resulting from the exchange of Holdings' equity by unitholders in connection with the Resolute Transaction.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Litigation</w:t>
      </w:r>
    </w:p>
    <w:p>
      <w:pPr>
        <w:spacing w:after="0" w:line="96" w:lineRule="exact"/>
        <w:rPr>
          <w:sz w:val="20"/>
          <w:szCs w:val="20"/>
          <w:color w:val="auto"/>
        </w:rPr>
      </w:pPr>
    </w:p>
    <w:p>
      <w:pPr>
        <w:ind w:right="320" w:firstLine="509"/>
        <w:spacing w:after="0" w:line="287" w:lineRule="auto"/>
        <w:rPr>
          <w:sz w:val="20"/>
          <w:szCs w:val="20"/>
          <w:color w:val="auto"/>
        </w:rPr>
      </w:pPr>
      <w:r>
        <w:rPr>
          <w:rFonts w:ascii="Times New Roman" w:cs="Times New Roman" w:eastAsia="Times New Roman" w:hAnsi="Times New Roman"/>
          <w:sz w:val="14"/>
          <w:szCs w:val="14"/>
          <w:color w:val="auto"/>
        </w:rPr>
        <w:t>The Company may be, from time to time, party to various disputes and claims arising from normal business activities. The Company accrues for amounts related to legal matters if it is probable that a liability has been incurred and the amount is reasonably estimable. Litigation costs are expensed as incurred.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RELATED PARTY TRANSACTIONS</w:t>
      </w:r>
    </w:p>
    <w:p>
      <w:pPr>
        <w:spacing w:after="0" w:line="202"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4"/>
          <w:szCs w:val="14"/>
          <w:color w:val="auto"/>
        </w:rPr>
        <w:t>As a result of the Business Combination, the Company entered into a tax receivable agreement with Holdings and unitholders of Holdings, which was amended upon the Resolute Transaction closing as of September 17, 2024. See Note 13. The Company is obligated to make certain payments under the tax receivable agreement to certain historical unitholders of Holdings. The Company made no payment related to the tax receivable agreement liability in the nine months ended September 30, 2024.</w:t>
      </w:r>
    </w:p>
    <w:p>
      <w:pPr>
        <w:spacing w:after="0" w:line="17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4"/>
          <w:szCs w:val="14"/>
          <w:color w:val="auto"/>
        </w:rPr>
        <w:t>Pursuant to the Holdings Second Amended and Restated LLC Agreement, the Company makes pro rata tax distributions to the unitholders of Holdings (i.e., non-controlling interest) in an amount sufficient to fund all or part of their tax obligations with respect to the taxable income of Holdings that is allocated to them. For the three months ended September 30, 2024, Holdings distributed a total of $13,699 of tax distributions to its members, of which $5,003 was paid to CompoSecure, Inc. (the parent company), resulting in a net tax distribution to all other members of $8,696. For the nine months ended September 30, 2024, Holdings distributed a total of $50,082 of tax distributions to its members, of which $15,219 was paid to CompoSecure, Inc. (the parent company), resulting in a net tax distribution to all other members of $34,863.</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connection with the special distribution discussed in Note 6, $15,573 was disbursed to Class B unitholders of Holdings on June 11, 2024.</w:t>
      </w:r>
    </w:p>
    <w:p>
      <w:pPr>
        <w:spacing w:after="0" w:line="200"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In connection with the Resolute transaction, on September 17, 2024, the Company and Resolute entered into the Governance Agreement, pursuant to which the Company and Resolute and certain of its affiliates (collectively, the “Stockholder”) shall take all reasonable actions within their respective control to (i) fix and maintain the number of directors that will constitute the whole Board at eleven (11) directors, (ii) maintain on the Board at all times no less than six (6) directors who each qualify as an “independent director” under the Exchange Act and the Nasdaq listing rules (collectively, the “Independent Directors”), as such individuals may be designated by the Nominating Committee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7"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auto"/>
        </w:rPr>
        <w:t>COMPOSECURE,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Unaudited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Board (the “Nominating Committee”), (iii) maintain on the Board at all times the then serving Chief Executive Officer of the Company (the “Executive Director”), (iv) maintain at all times a Nominating Committee that is comprised of a majority of Independent Directors, (v) maintain on the Board, for so long as the Stockholder owns or holds (whether beneficially, of record or otherwise) at least 35% of the outstanding shares of Common Stock, no less than six (6) designees of the Stockholder (collectively, the “Stockholder Directors”), of whom two (2) shall qualify as Independent Directors and be subject to approval of the Nominating Committee, which approval shall not be unreasonably withheld (collectively, the “Stockholder-Designated Independent Directors”), and (vi) cause to be elected or appointed to the Board each such designated Independent Director (including the Stockholder-Designated Independent Directors, as applicable), each other Stockholder Director (as applicable) and the Executive Director. In addition, the Governance Agreement provides for a twelve (12) month lock-up period, during which time the Stockholder and its affiliates may not, subject to the terms of the Governance Agreement, sell, dispose of or otherwise Transfer (as defined in the Governance Agreement) any Voting Shares (as defined in the Governance Agreement), except for certain Permitted Transfers (as defined in the Governance Agreement). Additionally, the Governance Agreement provides for a twelve (12) month standstill period, during which time the Stockholder and its affiliates, subsidiaries, or associates may not, amongst other matters and subject to the terms of the Governance Agreement, acquire, offer or propose to acquire, or participate in a "group" (within the meaning of Section 13(d)(3) of the Exchange Act) to acquire additional securities of the Company if such acquisition or participation in a group would result in the Stockholder and its controlled affiliates owning securities of the Company representing more than that percentage of the total issued and outstanding shares of Class A Common Stock owned by the Stockholder as of the effective date of the Governance Agreement. The Governance Agreement further prohibits, for a period of twenty-four (24) months following the effective date of the Governance Agreement and subject to the terms contained therein, (i) the Company and the Stockholder from entering into any Rule 13e-3 Transaction (as defined in the Governance Agreement), and (ii) the Stockholder or its affiliates from effecting any short-form merger with the Company pursuant to Section 253 of the General Corporation Law of the State of Delaware. The Governance Agreement also provides that, unless and until the Governance Agreement is terminated, none of the Company, the Board or the Stockholder will authorize, approve or ratify a voluntary delisting of the shares of Class A Common Stock from the Nasdaq stock exchange or voluntary deregistration of shares of Class A Common Stock under the Exchange Act, in either case, without the prior approval of a majority of the Independent Directors. The foregoing summary of the Governance Agreement is not complete and is qualified in its entirety by reference to the full text of such document, attached hereto as Exhibit 10.4, which is incorporated herein by reference.</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SUBSEQUENT EVENT</w:t>
      </w:r>
    </w:p>
    <w:p>
      <w:pPr>
        <w:spacing w:after="0" w:line="20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Effective September 19, 2024, Resolute’s acquisition of a majority of the Company’s common stock caused a Fundamental Change, as defined in the Indenture pursuant to which</w:t>
      </w:r>
    </w:p>
    <w:p>
      <w:pPr>
        <w:spacing w:after="0" w:line="2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4"/>
          <w:szCs w:val="14"/>
          <w:color w:val="auto"/>
        </w:rPr>
        <w:t>$130 million of 7% Exchangeable Senior Notes, due 2026 (“Notes”) were issued by a subsidiary of the Company. This Fundamental Change provides holders of the Notes a choice to: (1) exchange the Notes for shares of Class A Common Stock at a temporarily increased exchange rate of 104.5199 shares per $1,000 principal amount of Notes until November 27, 2024 (with the exchange rate then reverting to the existing 91.0972 shares per $1,000 principal amount of Notes); (2) have the Company repurchase for cash of all of such holder’s Notes on November 29, 2024 at a repurchase price equal to 100% of the principal amount of the Notes to be repurchased plus accrued and unpaid interest; or (3) continue to hold the Notes. Through November 6, 2024, an aggregate of $51.4 million of the Notes have been surrendered and exchanged for an aggregate of 5.4 million newly-issued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9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The following discussion and analysis of our consolidated financial condition and results of operations should be read in conjunction with the Company's audited consolidated financial statements and related notes thereto included in the Annual Report on Form 10-K for the year ended December 31, 2023 filed with the SEC. The following discussion contains forward-looking statements that reflect the Company’s plans, estimates and beliefs. The Company’s actual results could differ materially from those discussed in the forward-looking statements. Factors that could cause or contribute to these differences include those discussed below and elsewhere particularly in the sections titled “Risk Factors” and “Cautionary Note Regarding Forward-Looking Statements” included in this Quarterly Report on Form 10-Q.</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4"/>
          <w:szCs w:val="14"/>
          <w:color w:val="auto"/>
        </w:rPr>
        <w:t>The Company creates innovative, highly differentiated and customized financial payment card products for banks and other payment card issuers to support and increase their customer acquisition, customer retention and organic customer spend. The Company’s customers consist primarily of leading international and domestic banks and other payment card issuers primarily within the United States (“U.S.”), with additional direct and indirect customers in Europe, Asia, Latin America, Canada, and the Middle East. The Company is a platform for next generation payment technology, security, and authentication solutions. The Company maintains trusted, highly-embedded and long-term customer relationships with an expanding set of global issuers. The Company has established a niche position in the financial payment card market through over 20 years of innovation and experience and is focused primarily on this attractive subsector of the financial technology market. The Company serves a diverse set of direct customers and indirect customers, including some of the largest issuers of credit cards in the U.S.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91"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4"/>
          <w:szCs w:val="14"/>
          <w:color w:val="auto"/>
        </w:rPr>
        <w:t>On June 11, 2024, the Company paid a special cash dividend to Class A shareholders of CompoSecure, Inc., and made a corresponding distribution to Class B unitholders of Holdings. As a result of the special cash dividend and distribution, the conversion price of the exchangeable notes was adjusted to $10.98 per share, which resulted in an adjustment to the exchange rate to 91.0972 shares of the Company’s Class A Common Stock per $1,000 principal amount of Notes exchanged. On September 17, 2024, as a result of the Resolute Transaction a majority interest of the Company was acquired through privately negotiated sales. See Note 6 for additional information on the special cash dividend and sale of the majority interest.</w:t>
      </w:r>
    </w:p>
    <w:p>
      <w:pPr>
        <w:spacing w:after="0" w:line="162"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4"/>
          <w:szCs w:val="14"/>
          <w:color w:val="auto"/>
        </w:rPr>
        <w:t>The sale of the majority interest and subsequent filing of a Schedule 13D report with the SEC by Resolute on September 19, 2024 triggered the occurrence of a “Make-Whole Fundamental Change” (as defined in the Indenture under which the exchangeable notes were issued), pursuant to which the Company, on September 20, 2024, issued a Notice of Make-Whole Fundamental Change to the holders of the exchangeable notes to notify the holders that the exchange rate for the exchangeable notes has been temporarily increased from 91.0972 shares of Class A Common Stock per $1,000 principal amount of notes to 104.5199 shares of Class A Common Stock per $1,000 principal amount of notes. This temporary increase in the exchange rate resulted in an adjustment of the conversion price to $9.57 per share from September 19, 2024 to November 29, 2024. Following that date, the conversion price will revert back to $10.98 per share and the exchange rate will revert back to 91.0972 shares of the Company’s Class A Common Stock per $1,000 principal amount of notes.</w:t>
      </w:r>
    </w:p>
    <w:p>
      <w:pPr>
        <w:spacing w:after="0" w:line="180"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Effective September 19, 2024, Resolute’s acquisition of a majority of the Company’s common stock caused a "Fundamental Change" (as defined in the Indenture). This Fundamental Change provides holders of the exchangeable notes a choice to: (1) exchange the Notes for shares of Class A Common Stock at a temporarily increased exchange rate of 104.5199 shares per $1,000 principal amount of notes until November 27, 2024 (with the exchange rate then reverting to the existing 91.0972 shares per $1,000 principal amount of Notes); (2) have the Company repurchase for cash of all of such holder’s notes on November 29, 2024 at a repurchase price equal to 100% of the principal amount of the notes to be repurchased plus accrued and unpaid interest; or (3) continue to hold the Notes. A notice was sent to all holders of notes on October 9, 2024 providing details of these choices. Through November 6, 2024, an aggregate of $51.4 million of the Notes have been surrendered and exchanged for an aggregate of 5.4 million newly-issued shares of Class A Common Stock.</w:t>
      </w:r>
    </w:p>
    <w:p>
      <w:pPr>
        <w:spacing w:after="0" w:line="167"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On August 7, 2024, the Company entered into a Fourth Amended and Restated Credit Agreement with JPMC and and the lenders party thereto to refinance its senior secured indebtedness, which increased the maximum borrowing</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color w:val="auto"/>
        </w:rPr>
        <w:t>capacity of the credit facility to $330,000 comprising of a term loan of $200,000 and a revolving credit facility of $130,000. The senior credit facility is set to mature on August 7, 2029.</w:t>
      </w:r>
    </w:p>
    <w:p>
      <w:pPr>
        <w:spacing w:after="0" w:line="189" w:lineRule="exact"/>
        <w:rPr>
          <w:sz w:val="20"/>
          <w:szCs w:val="20"/>
          <w:color w:val="auto"/>
        </w:rPr>
      </w:pPr>
    </w:p>
    <w:p>
      <w:pPr>
        <w:ind w:right="220" w:firstLine="509"/>
        <w:spacing w:after="0" w:line="253" w:lineRule="auto"/>
        <w:rPr>
          <w:sz w:val="20"/>
          <w:szCs w:val="20"/>
          <w:color w:val="auto"/>
        </w:rPr>
      </w:pPr>
      <w:r>
        <w:rPr>
          <w:rFonts w:ascii="Times New Roman" w:cs="Times New Roman" w:eastAsia="Times New Roman" w:hAnsi="Times New Roman"/>
          <w:sz w:val="14"/>
          <w:szCs w:val="14"/>
          <w:color w:val="auto"/>
        </w:rPr>
        <w:t>On August 7, 2024, all of the Class B stockholders of the Company and Resolute entered into stock purchase agreements, pursuant to which the selling shareholders would exchange their 51,908,422 Class B units (and corresponding Class B shares) for Class A shares, eliminating the Company's existing dual-share class structure. On September 17, 2024, the Resolute Transaction closed and Resolute became the majority owner of the Company by acquiring 49,290,409 of the Class A Common Stock of the Company for an aggregate purchase price of approximately</w:t>
      </w:r>
    </w:p>
    <w:p>
      <w:pPr>
        <w:spacing w:after="0" w:line="248" w:lineRule="auto"/>
        <w:rPr>
          <w:sz w:val="20"/>
          <w:szCs w:val="20"/>
          <w:color w:val="auto"/>
        </w:rPr>
      </w:pPr>
      <w:r>
        <w:rPr>
          <w:rFonts w:ascii="Times New Roman" w:cs="Times New Roman" w:eastAsia="Times New Roman" w:hAnsi="Times New Roman"/>
          <w:sz w:val="14"/>
          <w:szCs w:val="14"/>
          <w:color w:val="auto"/>
        </w:rPr>
        <w:t>$372.1 million, or $7.55 per share, representing an approximately 60% voting interest. The Company was not party to stock purchase transactions. Prior to these transactions, Class B holders held Class B units in Holdings. Subsequent to the Resolute Transaction, CompoSecure owned 100% of Holdings. As a result of the Resolute Transaction, the Company no longer has Class B shares outstanding or a non-controlling interest as of September 30, 2024. The Company's tax receivable agreement liability and future payments thereunder increased as the Company realized an increase in tax basis of Holdings’ assets resulting from the exchange of Holdings' equity by unitholders in connection with the Resolute Transaction.</w:t>
      </w:r>
    </w:p>
    <w:p>
      <w:pPr>
        <w:spacing w:after="0" w:line="152" w:lineRule="exact"/>
        <w:rPr>
          <w:sz w:val="20"/>
          <w:szCs w:val="20"/>
          <w:color w:val="auto"/>
        </w:rPr>
      </w:pPr>
    </w:p>
    <w:p>
      <w:pPr>
        <w:ind w:right="280" w:firstLine="509"/>
        <w:spacing w:after="0" w:line="254" w:lineRule="auto"/>
        <w:rPr>
          <w:sz w:val="20"/>
          <w:szCs w:val="20"/>
          <w:color w:val="auto"/>
        </w:rPr>
      </w:pPr>
      <w:r>
        <w:rPr>
          <w:rFonts w:ascii="Times New Roman" w:cs="Times New Roman" w:eastAsia="Times New Roman" w:hAnsi="Times New Roman"/>
          <w:sz w:val="14"/>
          <w:szCs w:val="14"/>
          <w:color w:val="auto"/>
        </w:rPr>
        <w:t>During the quarter ended September 30, 2024, the trading price of the Company's Class A Common Stock increased from $6.89 on July 1, 2024 to $14.02 on September 30, 2024. The increase in the stock price was a primary driver to changes in the fair value of earnout consideration liability and warrant liability of $125.0 million, which had a material effect on the Company's operating results included in this report.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Economic Conditions - Globally and in the Digital Asset Marketplace</w:t>
      </w:r>
    </w:p>
    <w:p>
      <w:pPr>
        <w:spacing w:after="0" w:line="191"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4"/>
          <w:szCs w:val="14"/>
          <w:color w:val="auto"/>
        </w:rPr>
        <w:t>U.S. and international markets and, in particular, the rapidly evolving digital assets industry, are experiencing uncertain and volatile economic conditions, including Russian aggression in Ukraine, the ongoing conflict in Israel, Gaza and the surrounding areas, sustained inflation, threats or concerns of recession, and supply chain disruptions. These conditions make it extremely difficult for us and our suppliers to accurately forecast and plan future business activities. Additionally, a significant downturn in the domestic or global economy may cause our existing customers to pause or delay orders and prospective customers to defer new projects. Together, these circumstances create an environment in which it is challenging for us to predict future operating results. If these uncertain business, macroeconomic or political conditions continue or further decline, our business, financial condition and results of operations could be materially adversely affected.</w:t>
      </w:r>
    </w:p>
    <w:p>
      <w:pPr>
        <w:spacing w:after="0" w:line="176"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The Company’s Arculus platform offers a broad range of secure authentication and digital asset storage solutions and enables our consumer Arculus Cold Storage Wallet for digital assets. We believe consumers can achieve enhanced protection by controlling their private keys with a cold storage wallet, such as the Arculus Cold Storage Wallet. At the same time, this market cycle has created uncertainty in timing for our anticipated Arculus ramp up, as some of our partners and targets have been impacted. Therefore, we are taking a measured approach to better target the timing of our investments to support near-term and long-term opportunities.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Components of Results of Operations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p>
      <w:pPr>
        <w:spacing w:after="0" w:line="181"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Net sales reflect the Company’s revenue generated primarily from the sale of its products. Product sales primarily include the design and manufacturing of metal cards, including contact and dual interface cards. The Company also generates revenue from the sale of Prelams (which refers to pre-laminated, sub-assemblies consisting of a composite of material layers which are partially laminated to be used as a component in the multiple layers of a final payment card or other card construction). Net sales include the effect of discounts and allowances which consist primarily of volume-based rebates.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Cost of Sales</w:t>
      </w:r>
    </w:p>
    <w:p>
      <w:pPr>
        <w:spacing w:after="0" w:line="181" w:lineRule="exact"/>
        <w:rPr>
          <w:sz w:val="20"/>
          <w:szCs w:val="20"/>
          <w:color w:val="auto"/>
        </w:rPr>
      </w:pPr>
    </w:p>
    <w:p>
      <w:pPr>
        <w:jc w:val="both"/>
        <w:ind w:right="340" w:firstLine="509"/>
        <w:spacing w:after="0" w:line="237" w:lineRule="auto"/>
        <w:rPr>
          <w:sz w:val="20"/>
          <w:szCs w:val="20"/>
          <w:color w:val="auto"/>
        </w:rPr>
      </w:pPr>
      <w:r>
        <w:rPr>
          <w:rFonts w:ascii="Times New Roman" w:cs="Times New Roman" w:eastAsia="Times New Roman" w:hAnsi="Times New Roman"/>
          <w:sz w:val="14"/>
          <w:szCs w:val="14"/>
          <w:color w:val="auto"/>
        </w:rPr>
        <w:t>The Company’s cost of sales includes the direct and indirect costs related to manufacturing products and providing related services. Product costs include the cost of raw materials and supplies, including various metals, EMV</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chips, holograms, adhesives, magnetic stripes, and NFC assemblies; the cost of labor; equipment and facilities; operational overhead; depreciation and amortization; leases and rental charges; shipping and handling; and freight and insurance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color w:val="auto"/>
        </w:rPr>
        <w:t>Cost of sales can be impacted by many factors, including volume, operational efficiencies, procurement costs, and promotional activity.</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Gross Profit and Gross Margin</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Company’s gross profit represents its net sales less cost of sales, and its gross margin represents gross profit as a percentage of its net sales.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81"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The Company’s operating expenses are primarily comprised of selling, general, and administrative expenses, which generally consist of personnel-related expenses for its corporate, executive, finance, information technology, and other administrative functions, and expenses for outside professional services, including legal, audit and accounting services, as well as expenses for facilities, depreciation, amortization, travel, sales and marketing.</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Income from Operations and Operating Margin</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Income from operations consists of the Company’s gross profit less its operating expenses. Operating margin is income from the Company’s operations as a percentage of its net sales.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Other Expense, net</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Other expense primarily consists of changes in fair value of warrant liability, earnout consideration liability and interest expense net of any interest income.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Net (Loss) Income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Net (loss) income consists of the Company’s income from operations, less other expenses and income tax provision or benefit.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Affecting the Company’s Operating Results</w:t>
      </w:r>
    </w:p>
    <w:p>
      <w:pPr>
        <w:spacing w:after="0" w:line="191" w:lineRule="exact"/>
        <w:rPr>
          <w:sz w:val="20"/>
          <w:szCs w:val="20"/>
          <w:color w:val="auto"/>
        </w:rPr>
      </w:pPr>
    </w:p>
    <w:p>
      <w:pPr>
        <w:ind w:right="260" w:firstLine="509"/>
        <w:spacing w:after="0" w:line="254" w:lineRule="auto"/>
        <w:rPr>
          <w:sz w:val="20"/>
          <w:szCs w:val="20"/>
          <w:color w:val="auto"/>
        </w:rPr>
      </w:pPr>
      <w:r>
        <w:rPr>
          <w:rFonts w:ascii="Times New Roman" w:cs="Times New Roman" w:eastAsia="Times New Roman" w:hAnsi="Times New Roman"/>
          <w:sz w:val="14"/>
          <w:szCs w:val="14"/>
          <w:color w:val="auto"/>
        </w:rPr>
        <w:t>We believe that our performance and future success depend on a number of factors that present significant opportunities for us but also pose risks and challenges. Please see the factors discussed in this Quarterly Report on Form 10-Q, including those discussed in the sections entitled “Risk Factors,” “Cautionary Note Regarding Forward-Looking Statements” and "Recent Developments"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931" w:right="4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6"/>
        </w:trPr>
        <w:tc>
          <w:tcPr>
            <w:tcW w:w="5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29"/>
        </w:trPr>
        <w:tc>
          <w:tcPr>
            <w:tcW w:w="5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September 30, 2024 vs. three months ended September 30, 2023</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49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66"/>
        </w:trPr>
        <w:tc>
          <w:tcPr>
            <w:tcW w:w="58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The following table presents the Company’s results of operations for the periods indicated:</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97"/>
        </w:trPr>
        <w:tc>
          <w:tcPr>
            <w:tcW w:w="4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00" w:type="dxa"/>
            <w:vAlign w:val="bottom"/>
          </w:tcPr>
          <w:p>
            <w:pPr>
              <w:spacing w:after="0"/>
              <w:rPr>
                <w:sz w:val="24"/>
                <w:szCs w:val="24"/>
                <w:color w:val="auto"/>
              </w:rPr>
            </w:pPr>
          </w:p>
        </w:tc>
      </w:tr>
      <w:tr>
        <w:trPr>
          <w:trHeight w:val="32"/>
        </w:trPr>
        <w:tc>
          <w:tcPr>
            <w:tcW w:w="4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1"/>
        </w:trPr>
        <w:tc>
          <w:tcPr>
            <w:tcW w:w="4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2"/>
        </w:trPr>
        <w:tc>
          <w:tcPr>
            <w:tcW w:w="4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1"/>
        </w:trPr>
        <w:tc>
          <w:tcPr>
            <w:tcW w:w="4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2"/>
        </w:trPr>
        <w:tc>
          <w:tcPr>
            <w:tcW w:w="58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107,135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96,886</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10,249</w:t>
            </w: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r>
      <w:tr>
        <w:trPr>
          <w:trHeight w:val="191"/>
        </w:trPr>
        <w:tc>
          <w:tcPr>
            <w:tcW w:w="58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Cost of sales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47,990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3,737</w:t>
            </w:r>
          </w:p>
        </w:tc>
        <w:tc>
          <w:tcPr>
            <w:tcW w:w="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r>
      <w:tr>
        <w:trPr>
          <w:trHeight w:val="32"/>
        </w:trPr>
        <w:tc>
          <w:tcPr>
            <w:tcW w:w="586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3"/>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55,408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48,896</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6,512</w:t>
            </w: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w:t>
            </w:r>
          </w:p>
        </w:tc>
      </w:tr>
      <w:tr>
        <w:trPr>
          <w:trHeight w:val="191"/>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2"/>
        </w:trPr>
        <w:tc>
          <w:tcPr>
            <w:tcW w:w="58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58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20,095</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6,221</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w:t>
            </w:r>
          </w:p>
        </w:tc>
      </w:tr>
      <w:tr>
        <w:trPr>
          <w:trHeight w:val="181"/>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29,092</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28,801</w:t>
            </w:r>
          </w:p>
        </w:tc>
        <w:tc>
          <w:tcPr>
            <w:tcW w:w="8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80" w:type="dxa"/>
            <w:vAlign w:val="bottom"/>
          </w:tcPr>
          <w:p>
            <w:pPr>
              <w:spacing w:after="0"/>
              <w:rPr>
                <w:sz w:val="15"/>
                <w:szCs w:val="15"/>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r>
      <w:tr>
        <w:trPr>
          <w:trHeight w:val="32"/>
        </w:trPr>
        <w:tc>
          <w:tcPr>
            <w:tcW w:w="58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58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(expense) income, net</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(113,937)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10,197</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(124,134)</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(1,217)%</w:t>
            </w:r>
          </w:p>
        </w:tc>
      </w:tr>
      <w:tr>
        <w:trPr>
          <w:trHeight w:val="181"/>
        </w:trPr>
        <w:tc>
          <w:tcPr>
            <w:tcW w:w="5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(84,845)</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38,998</w:t>
            </w:r>
          </w:p>
        </w:tc>
        <w:tc>
          <w:tcPr>
            <w:tcW w:w="8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(123,843)</w:t>
            </w:r>
          </w:p>
        </w:tc>
        <w:tc>
          <w:tcPr>
            <w:tcW w:w="80" w:type="dxa"/>
            <w:vAlign w:val="bottom"/>
          </w:tcPr>
          <w:p>
            <w:pPr>
              <w:spacing w:after="0"/>
              <w:rPr>
                <w:sz w:val="15"/>
                <w:szCs w:val="15"/>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(318)%</w:t>
            </w:r>
          </w:p>
        </w:tc>
      </w:tr>
      <w:tr>
        <w:trPr>
          <w:trHeight w:val="32"/>
        </w:trPr>
        <w:tc>
          <w:tcPr>
            <w:tcW w:w="58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58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w:t>
            </w:r>
          </w:p>
        </w:tc>
      </w:tr>
      <w:tr>
        <w:trPr>
          <w:trHeight w:val="181"/>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(85,474)</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38,049</w:t>
            </w:r>
          </w:p>
        </w:tc>
        <w:tc>
          <w:tcPr>
            <w:tcW w:w="8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(123,523)</w:t>
            </w:r>
          </w:p>
        </w:tc>
        <w:tc>
          <w:tcPr>
            <w:tcW w:w="80" w:type="dxa"/>
            <w:vAlign w:val="bottom"/>
          </w:tcPr>
          <w:p>
            <w:pPr>
              <w:spacing w:after="0"/>
              <w:rPr>
                <w:sz w:val="15"/>
                <w:szCs w:val="15"/>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(325)%</w:t>
            </w:r>
          </w:p>
        </w:tc>
      </w:tr>
      <w:tr>
        <w:trPr>
          <w:trHeight w:val="32"/>
        </w:trPr>
        <w:tc>
          <w:tcPr>
            <w:tcW w:w="58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redeemable non-controlling interests</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(43,414)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30,574</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(73,988)</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(242)%</w:t>
            </w:r>
          </w:p>
        </w:tc>
      </w:tr>
      <w:tr>
        <w:trPr>
          <w:trHeight w:val="208"/>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CompoSecure, Inc</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(42,060)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7,475</w:t>
            </w:r>
          </w:p>
        </w:tc>
        <w:tc>
          <w:tcPr>
            <w:tcW w:w="8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(49,535)</w:t>
            </w:r>
          </w:p>
        </w:tc>
        <w:tc>
          <w:tcPr>
            <w:tcW w:w="8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(663)%</w:t>
            </w:r>
          </w:p>
        </w:tc>
      </w:tr>
      <w:tr>
        <w:trPr>
          <w:trHeight w:val="20"/>
        </w:trPr>
        <w:tc>
          <w:tcPr>
            <w:tcW w:w="4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32"/>
        </w:trPr>
        <w:tc>
          <w:tcPr>
            <w:tcW w:w="5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1"/>
        </w:trPr>
        <w:tc>
          <w:tcPr>
            <w:tcW w:w="5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53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3"/>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8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91"/>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margin</w:t>
            </w: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r>
      <w:tr>
        <w:trPr>
          <w:trHeight w:val="541"/>
        </w:trPr>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97"/>
        </w:trPr>
        <w:tc>
          <w:tcPr>
            <w:tcW w:w="5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520" w:type="dxa"/>
            <w:vAlign w:val="bottom"/>
          </w:tcPr>
          <w:p>
            <w:pPr>
              <w:spacing w:after="0"/>
              <w:rPr>
                <w:sz w:val="24"/>
                <w:szCs w:val="24"/>
                <w:color w:val="auto"/>
              </w:rPr>
            </w:pPr>
          </w:p>
        </w:tc>
      </w:tr>
      <w:tr>
        <w:trPr>
          <w:trHeight w:val="32"/>
        </w:trPr>
        <w:tc>
          <w:tcPr>
            <w:tcW w:w="53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1"/>
        </w:trPr>
        <w:tc>
          <w:tcPr>
            <w:tcW w:w="53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2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2"/>
        </w:trPr>
        <w:tc>
          <w:tcPr>
            <w:tcW w:w="53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7"/>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1"/>
        </w:trPr>
        <w:tc>
          <w:tcPr>
            <w:tcW w:w="5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80" w:type="dxa"/>
            <w:vAlign w:val="bottom"/>
            <w:gridSpan w:val="7"/>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tcPr>
          <w:p>
            <w:pPr>
              <w:spacing w:after="0"/>
              <w:rPr>
                <w:sz w:val="15"/>
                <w:szCs w:val="15"/>
                <w:color w:val="auto"/>
              </w:rPr>
            </w:pPr>
          </w:p>
        </w:tc>
      </w:tr>
      <w:tr>
        <w:trPr>
          <w:trHeight w:val="32"/>
        </w:trPr>
        <w:tc>
          <w:tcPr>
            <w:tcW w:w="5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03"/>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 by region</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r>
      <w:tr>
        <w:trPr>
          <w:trHeight w:val="191"/>
        </w:trPr>
        <w:tc>
          <w:tcPr>
            <w:tcW w:w="5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Domestic</w:t>
            </w: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80,033</w:t>
            </w:r>
          </w:p>
        </w:tc>
        <w:tc>
          <w:tcPr>
            <w:tcW w:w="80" w:type="dxa"/>
            <w:vAlign w:val="bottom"/>
          </w:tcPr>
          <w:p>
            <w:pPr>
              <w:spacing w:after="0"/>
              <w:rPr>
                <w:sz w:val="16"/>
                <w:szCs w:val="16"/>
                <w:color w:val="auto"/>
              </w:rPr>
            </w:pPr>
          </w:p>
        </w:tc>
        <w:tc>
          <w:tcPr>
            <w:tcW w:w="84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84,277</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tcPr>
          <w:p>
            <w:pPr>
              <w:ind w:left="880"/>
              <w:spacing w:after="0"/>
              <w:rPr>
                <w:sz w:val="20"/>
                <w:szCs w:val="20"/>
                <w:color w:val="auto"/>
              </w:rPr>
            </w:pPr>
            <w:r>
              <w:rPr>
                <w:rFonts w:ascii="Times New Roman" w:cs="Times New Roman" w:eastAsia="Times New Roman" w:hAnsi="Times New Roman"/>
                <w:sz w:val="14"/>
                <w:szCs w:val="14"/>
                <w:color w:val="auto"/>
              </w:rPr>
              <w:t>(4,244)</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32"/>
        </w:trPr>
        <w:tc>
          <w:tcPr>
            <w:tcW w:w="5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3"/>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International</w:t>
            </w:r>
          </w:p>
        </w:tc>
        <w:tc>
          <w:tcPr>
            <w:tcW w:w="8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27,102</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3"/>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14,493</w:t>
            </w:r>
          </w:p>
        </w:tc>
        <w:tc>
          <w:tcPr>
            <w:tcW w:w="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115 %</w:t>
            </w:r>
          </w:p>
        </w:tc>
      </w:tr>
      <w:tr>
        <w:trPr>
          <w:trHeight w:val="208"/>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107,135</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96,886</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color w:val="auto"/>
              </w:rPr>
              <w:t>10,249</w:t>
            </w:r>
          </w:p>
        </w:tc>
        <w:tc>
          <w:tcPr>
            <w:tcW w:w="8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20"/>
        </w:trPr>
        <w:tc>
          <w:tcPr>
            <w:tcW w:w="5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Company’s net sales for the quarter ended September 30, 2024 increased $10.2 million, or 11%, to $107.1 million compared to $96.9 million for the quarter ended September 30, 2023.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increase was primarily driven by strong sales in the international market, which was up 115%, offset by lower domestic sales which decreased by </w:t>
      </w:r>
      <w:r>
        <w:rPr>
          <w:rFonts w:ascii="Times New Roman" w:cs="Times New Roman" w:eastAsia="Times New Roman" w:hAnsi="Times New Roman"/>
          <w:sz w:val="15"/>
          <w:szCs w:val="15"/>
          <w:color w:val="auto"/>
        </w:rPr>
        <w:t>5%</w:t>
      </w:r>
      <w:r>
        <w:rPr>
          <w:rFonts w:ascii="Times New Roman" w:cs="Times New Roman" w:eastAsia="Times New Roman" w:hAnsi="Times New Roman"/>
          <w:sz w:val="14"/>
          <w:szCs w:val="14"/>
          <w:color w:val="auto"/>
        </w:rPr>
        <w:t>.</w:t>
      </w:r>
    </w:p>
    <w:p>
      <w:pPr>
        <w:spacing w:after="0" w:line="193" w:lineRule="exact"/>
        <w:rPr>
          <w:sz w:val="20"/>
          <w:szCs w:val="20"/>
          <w:color w:val="auto"/>
        </w:rPr>
      </w:pPr>
    </w:p>
    <w:p>
      <w:pPr>
        <w:ind w:right="340"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Domestic</w:t>
      </w:r>
      <w:r>
        <w:rPr>
          <w:rFonts w:ascii="Times New Roman" w:cs="Times New Roman" w:eastAsia="Times New Roman" w:hAnsi="Times New Roman"/>
          <w:sz w:val="14"/>
          <w:szCs w:val="14"/>
          <w:color w:val="auto"/>
        </w:rPr>
        <w:t>: The Company’s domestic net sales for the quarter ended September 30, 2024 decreased $4.3 million, or 5%, to $80.0 million compared to $84.3 million for the quarter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September 30, 2023. The decrease was primarily due to the timing of orders. As noted below, domestic sales have increased 9% year-to-date.</w:t>
      </w:r>
    </w:p>
    <w:p>
      <w:pPr>
        <w:spacing w:after="0" w:line="13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4"/>
          <w:szCs w:val="14"/>
          <w:i w:val="1"/>
          <w:iCs w:val="1"/>
          <w:color w:val="auto"/>
        </w:rPr>
        <w:t>International</w:t>
      </w:r>
      <w:r>
        <w:rPr>
          <w:rFonts w:ascii="Times New Roman" w:cs="Times New Roman" w:eastAsia="Times New Roman" w:hAnsi="Times New Roman"/>
          <w:sz w:val="14"/>
          <w:szCs w:val="14"/>
          <w:color w:val="auto"/>
        </w:rPr>
        <w:t>: The Company’s international net sales for the quarter ended September 30, 2024 increased $14.5 million, or 115%, to $27.1 million compared to $12.6 million for the quarter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ended September 30, 2023. International sales as a percentage of total sales was higher at 25% and 13% of the Company's total net sales for the quarter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color w:val="auto"/>
        </w:rPr>
        <w:t>September 30, 2024 and 2023, respectively. The international market is more variable due to customer mix and a smaller sales base.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Gross Profit and Gross Margin</w:t>
      </w:r>
    </w:p>
    <w:p>
      <w:pPr>
        <w:spacing w:after="0" w:line="19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4"/>
          <w:szCs w:val="14"/>
          <w:color w:val="auto"/>
        </w:rPr>
        <w:t>The Company’s gross profit for the quarter ended September 30, 2024 increased $6.5 million, or 13%, to $55.4 million compared to $48.9 million for the quarter ended September 30, 2023. The gross profit margin percentage increased by 2%, to 52%, compared to 50% for the quarter ended September 30, 2023. The increase was primarily due to favorable product mix and improved product efficiencies.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9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The Company’s operating expenses increased $6.2 million, or 31%, to $26.3 million for the quarter ended September 30, 2024 compared to $20.1 million for the quarter ended September 30, 2023. The increase was primarily due to increase in professional fees of $2.3 million, an increase in salaries of $2.3 million, and an increase in stock based compensation expense of $1.0 million. Professional fees during the quarter increased primarily due to the Resolute Transaction and salaries and stock based compensation expense increased as a result of added headcount.</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Income from Operations and Operating Margin</w:t>
      </w:r>
    </w:p>
    <w:p>
      <w:pPr>
        <w:spacing w:after="0" w:line="181"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Income from operations for the quarter ended September 30, 2024 increased $0.3 million, or 1%, to $29.1 million compared to $28.8 million for the quarter ended September 30, 2023. The increase was primarily attributable to an increase in net sales. Operating margin for the quarter ended September 30, 2024 decreased by 3%, to 27%, compared to 30% for the quarter ended September 30, 2023. The decrease in operating margin was primarily attributable to the increase in operating expenses described above.</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Other (Expense) Income, net</w:t>
      </w:r>
    </w:p>
    <w:p>
      <w:pPr>
        <w:spacing w:after="0" w:line="181"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Other expense for the quarter ended September 30, 2024 increased $124.1 million, to $113.9 million of expense, compared to $10.2 million of income for the quarter ended September 30, 2023. The increase in other expense was primarily due to changes in the fair value of earnout consideration liability and warrant liability of $125.0 million, based on changes in the fair value of such liabilities resulting primarily from the significant improvement in the market price of our Class A Common Stock.</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Company's income tax expense for the quarter ended September 30, 2024 was $0.6 million compared to $0.9 million for the quarter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Nine months ended September 30, 2024 vs. Nine months ended September 30, 2023</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Company’s results of operations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6"/>
          </w:tcPr>
          <w:p>
            <w:pPr>
              <w:ind w:left="40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1300" w:type="dxa"/>
            <w:vAlign w:val="bottom"/>
          </w:tcPr>
          <w:p>
            <w:pPr>
              <w:spacing w:after="0"/>
              <w:rPr>
                <w:sz w:val="14"/>
                <w:szCs w:val="14"/>
                <w:color w:val="auto"/>
              </w:rPr>
            </w:pPr>
          </w:p>
        </w:tc>
      </w:tr>
      <w:tr>
        <w:trPr>
          <w:trHeight w:val="26"/>
        </w:trPr>
        <w:tc>
          <w:tcPr>
            <w:tcW w:w="58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7"/>
        </w:trPr>
        <w:tc>
          <w:tcPr>
            <w:tcW w:w="58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30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26"/>
        </w:trPr>
        <w:tc>
          <w:tcPr>
            <w:tcW w:w="58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7"/>
        </w:trPr>
        <w:tc>
          <w:tcPr>
            <w:tcW w:w="5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6"/>
        </w:trPr>
        <w:tc>
          <w:tcPr>
            <w:tcW w:w="5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2"/>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760" w:type="dxa"/>
            <w:vAlign w:val="bottom"/>
            <w:tcBorders>
              <w:bottom w:val="single" w:sz="8" w:color="CCEEFF"/>
            </w:tcBorders>
            <w:shd w:val="clear" w:color="auto" w:fill="CCEEFF"/>
          </w:tcPr>
          <w:p>
            <w:pPr>
              <w:jc w:val="right"/>
              <w:ind w:right="64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319,712</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682"/>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290,729</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28,983</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w:t>
            </w:r>
          </w:p>
        </w:tc>
      </w:tr>
      <w:tr>
        <w:trPr>
          <w:trHeight w:val="176"/>
        </w:trPr>
        <w:tc>
          <w:tcPr>
            <w:tcW w:w="5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Cost of sales</w:t>
            </w:r>
          </w:p>
        </w:tc>
        <w:tc>
          <w:tcPr>
            <w:tcW w:w="7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153,019</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134,542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18,477</w:t>
            </w:r>
          </w:p>
        </w:tc>
        <w:tc>
          <w:tcPr>
            <w:tcW w:w="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w:t>
            </w:r>
          </w:p>
        </w:tc>
      </w:tr>
      <w:tr>
        <w:trPr>
          <w:trHeight w:val="26"/>
        </w:trPr>
        <w:tc>
          <w:tcPr>
            <w:tcW w:w="58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2"/>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7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166,693</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156,187</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10,506</w:t>
            </w: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7%</w:t>
            </w:r>
          </w:p>
        </w:tc>
      </w:tr>
      <w:tr>
        <w:trPr>
          <w:trHeight w:val="176"/>
        </w:trPr>
        <w:tc>
          <w:tcPr>
            <w:tcW w:w="5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6"/>
        </w:trPr>
        <w:tc>
          <w:tcPr>
            <w:tcW w:w="5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2"/>
        </w:trPr>
        <w:tc>
          <w:tcPr>
            <w:tcW w:w="5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7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74,673</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67,627</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7,046</w:t>
            </w: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w:t>
            </w:r>
          </w:p>
        </w:tc>
      </w:tr>
      <w:tr>
        <w:trPr>
          <w:trHeight w:val="167"/>
        </w:trPr>
        <w:tc>
          <w:tcPr>
            <w:tcW w:w="5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from operations</w:t>
            </w:r>
          </w:p>
        </w:tc>
        <w:tc>
          <w:tcPr>
            <w:tcW w:w="7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92,020</w:t>
            </w: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88,560</w:t>
            </w: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3,460</w:t>
            </w:r>
          </w:p>
        </w:tc>
        <w:tc>
          <w:tcPr>
            <w:tcW w:w="80" w:type="dxa"/>
            <w:vAlign w:val="bottom"/>
          </w:tcPr>
          <w:p>
            <w:pPr>
              <w:spacing w:after="0"/>
              <w:rPr>
                <w:sz w:val="14"/>
                <w:szCs w:val="14"/>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4%</w:t>
            </w:r>
          </w:p>
        </w:tc>
      </w:tr>
      <w:tr>
        <w:trPr>
          <w:trHeight w:val="26"/>
        </w:trPr>
        <w:tc>
          <w:tcPr>
            <w:tcW w:w="58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2"/>
        </w:trPr>
        <w:tc>
          <w:tcPr>
            <w:tcW w:w="5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expense, net</w:t>
            </w:r>
          </w:p>
        </w:tc>
        <w:tc>
          <w:tcPr>
            <w:tcW w:w="7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(126,773)</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(6,408)</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(120,365)</w:t>
            </w: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1,878%</w:t>
            </w:r>
          </w:p>
        </w:tc>
      </w:tr>
      <w:tr>
        <w:trPr>
          <w:trHeight w:val="176"/>
        </w:trPr>
        <w:tc>
          <w:tcPr>
            <w:tcW w:w="5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(Loss) income before income taxes</w:t>
            </w:r>
          </w:p>
        </w:tc>
        <w:tc>
          <w:tcPr>
            <w:tcW w:w="7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(34,753)</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82,152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(116,905)</w:t>
            </w:r>
          </w:p>
        </w:tc>
        <w:tc>
          <w:tcPr>
            <w:tcW w:w="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(142)%</w:t>
            </w:r>
          </w:p>
        </w:tc>
      </w:tr>
      <w:tr>
        <w:trPr>
          <w:trHeight w:val="26"/>
        </w:trPr>
        <w:tc>
          <w:tcPr>
            <w:tcW w:w="5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2"/>
        </w:trPr>
        <w:tc>
          <w:tcPr>
            <w:tcW w:w="5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Income tax (expense)</w:t>
            </w:r>
          </w:p>
        </w:tc>
        <w:tc>
          <w:tcPr>
            <w:tcW w:w="7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(92)%</w:t>
            </w:r>
          </w:p>
        </w:tc>
      </w:tr>
      <w:tr>
        <w:trPr>
          <w:trHeight w:val="167"/>
        </w:trPr>
        <w:tc>
          <w:tcPr>
            <w:tcW w:w="5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income</w:t>
            </w:r>
          </w:p>
        </w:tc>
        <w:tc>
          <w:tcPr>
            <w:tcW w:w="7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(34,804)</w:t>
            </w: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81,496</w:t>
            </w: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(116,300)</w:t>
            </w:r>
          </w:p>
        </w:tc>
        <w:tc>
          <w:tcPr>
            <w:tcW w:w="80" w:type="dxa"/>
            <w:vAlign w:val="bottom"/>
          </w:tcPr>
          <w:p>
            <w:pPr>
              <w:spacing w:after="0"/>
              <w:rPr>
                <w:sz w:val="14"/>
                <w:szCs w:val="14"/>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(143)%</w:t>
            </w:r>
          </w:p>
        </w:tc>
      </w:tr>
      <w:tr>
        <w:trPr>
          <w:trHeight w:val="26"/>
        </w:trPr>
        <w:tc>
          <w:tcPr>
            <w:tcW w:w="5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2"/>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income attributable to redeemable non-controlling interests</w:t>
            </w:r>
          </w:p>
        </w:tc>
        <w:tc>
          <w:tcPr>
            <w:tcW w:w="7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(18,414)</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65,653</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(84,067)</w:t>
            </w: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(128)%</w:t>
            </w:r>
          </w:p>
        </w:tc>
      </w:tr>
      <w:tr>
        <w:trPr>
          <w:trHeight w:val="190"/>
        </w:trPr>
        <w:tc>
          <w:tcPr>
            <w:tcW w:w="5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income attributable to CompoSecure, Inc</w:t>
            </w:r>
          </w:p>
        </w:tc>
        <w:tc>
          <w:tcPr>
            <w:tcW w:w="760" w:type="dxa"/>
            <w:vAlign w:val="bottom"/>
            <w:tcBorders>
              <w:top w:val="single" w:sz="8" w:color="auto"/>
              <w:bottom w:val="single" w:sz="8" w:color="auto"/>
            </w:tcBorders>
          </w:tcPr>
          <w:p>
            <w:pPr>
              <w:jc w:val="right"/>
              <w:ind w:right="64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(16,390)</w:t>
            </w:r>
          </w:p>
        </w:tc>
        <w:tc>
          <w:tcPr>
            <w:tcW w:w="10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ind w:right="682"/>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15,843</w:t>
            </w: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(32,233)</w:t>
            </w:r>
          </w:p>
        </w:tc>
        <w:tc>
          <w:tcPr>
            <w:tcW w:w="80" w:type="dxa"/>
            <w:vAlign w:val="bottom"/>
          </w:tcPr>
          <w:p>
            <w:pPr>
              <w:spacing w:after="0"/>
              <w:rPr>
                <w:sz w:val="16"/>
                <w:szCs w:val="16"/>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(203)%</w:t>
            </w:r>
          </w:p>
        </w:tc>
      </w:tr>
      <w:tr>
        <w:trPr>
          <w:trHeight w:val="20"/>
        </w:trPr>
        <w:tc>
          <w:tcPr>
            <w:tcW w:w="58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2"/>
        </w:trPr>
        <w:tc>
          <w:tcPr>
            <w:tcW w:w="5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1"/>
        </w:trPr>
        <w:tc>
          <w:tcPr>
            <w:tcW w:w="5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50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9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54 %</w:t>
            </w: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margin</w:t>
            </w: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r>
      <w:tr>
        <w:trPr>
          <w:trHeight w:val="541"/>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3"/>
        </w:trPr>
        <w:tc>
          <w:tcPr>
            <w:tcW w:w="5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4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80" w:type="dxa"/>
            <w:vAlign w:val="bottom"/>
          </w:tcPr>
          <w:p>
            <w:pPr>
              <w:spacing w:after="0"/>
              <w:rPr>
                <w:sz w:val="24"/>
                <w:szCs w:val="24"/>
                <w:color w:val="auto"/>
              </w:rPr>
            </w:pPr>
          </w:p>
        </w:tc>
      </w:tr>
      <w:tr>
        <w:trPr>
          <w:trHeight w:val="32"/>
        </w:trPr>
        <w:tc>
          <w:tcPr>
            <w:tcW w:w="5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5"/>
        </w:trPr>
        <w:tc>
          <w:tcPr>
            <w:tcW w:w="508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8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0"/>
        </w:trPr>
        <w:tc>
          <w:tcPr>
            <w:tcW w:w="5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80" w:type="dxa"/>
            <w:vAlign w:val="bottom"/>
            <w:gridSpan w:val="7"/>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Pr>
          <w:p>
            <w:pPr>
              <w:spacing w:after="0"/>
              <w:rPr>
                <w:sz w:val="16"/>
                <w:szCs w:val="16"/>
                <w:color w:val="auto"/>
              </w:rPr>
            </w:pPr>
          </w:p>
        </w:tc>
      </w:tr>
      <w:tr>
        <w:trPr>
          <w:trHeight w:val="32"/>
        </w:trPr>
        <w:tc>
          <w:tcPr>
            <w:tcW w:w="5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 by region</w:t>
            </w:r>
          </w:p>
        </w:tc>
        <w:tc>
          <w:tcPr>
            <w:tcW w:w="9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197"/>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Domestic</w:t>
            </w:r>
          </w:p>
        </w:tc>
        <w:tc>
          <w:tcPr>
            <w:tcW w:w="940" w:type="dxa"/>
            <w:vAlign w:val="bottom"/>
          </w:tcPr>
          <w:p>
            <w:pPr>
              <w:jc w:val="right"/>
              <w:ind w:right="767"/>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258,007</w:t>
            </w:r>
          </w:p>
        </w:tc>
        <w:tc>
          <w:tcPr>
            <w:tcW w:w="80" w:type="dxa"/>
            <w:vAlign w:val="bottom"/>
          </w:tcPr>
          <w:p>
            <w:pPr>
              <w:spacing w:after="0"/>
              <w:rPr>
                <w:sz w:val="17"/>
                <w:szCs w:val="17"/>
                <w:color w:val="auto"/>
              </w:rPr>
            </w:pPr>
          </w:p>
        </w:tc>
        <w:tc>
          <w:tcPr>
            <w:tcW w:w="96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235,933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22,074</w:t>
            </w:r>
          </w:p>
        </w:tc>
        <w:tc>
          <w:tcPr>
            <w:tcW w:w="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9%</w:t>
            </w:r>
          </w:p>
        </w:tc>
      </w:tr>
      <w:tr>
        <w:trPr>
          <w:trHeight w:val="26"/>
        </w:trPr>
        <w:tc>
          <w:tcPr>
            <w:tcW w:w="5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3"/>
        </w:trPr>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International</w:t>
            </w: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61,705</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54,796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6,909</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w:t>
            </w:r>
          </w:p>
        </w:tc>
      </w:tr>
      <w:tr>
        <w:trPr>
          <w:trHeight w:val="208"/>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Borders>
              <w:top w:val="single" w:sz="8" w:color="auto"/>
              <w:bottom w:val="single" w:sz="8" w:color="auto"/>
            </w:tcBorders>
          </w:tcPr>
          <w:p>
            <w:pPr>
              <w:jc w:val="right"/>
              <w:ind w:right="767"/>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319,712</w:t>
            </w:r>
          </w:p>
        </w:tc>
        <w:tc>
          <w:tcPr>
            <w:tcW w:w="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290,729</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28,983</w:t>
            </w:r>
          </w:p>
        </w:tc>
        <w:tc>
          <w:tcPr>
            <w:tcW w:w="8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w:t>
            </w:r>
          </w:p>
        </w:tc>
      </w:tr>
      <w:tr>
        <w:trPr>
          <w:trHeight w:val="20"/>
        </w:trPr>
        <w:tc>
          <w:tcPr>
            <w:tcW w:w="5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Company’s net sales for the nine months ended September 30, 2024 increased $29.0 million, or 10%, to $319.7 million compared to $290.7 million for the nine months ended September 30, 2023. The increase was primarily driven by domestic growth in the Company’s premium payment card business, which was up 9%. and international sales which were up by 13%</w:t>
      </w:r>
    </w:p>
    <w:p>
      <w:pPr>
        <w:spacing w:after="0" w:line="37" w:lineRule="exact"/>
        <w:rPr>
          <w:sz w:val="20"/>
          <w:szCs w:val="20"/>
          <w:color w:val="auto"/>
        </w:rPr>
      </w:pPr>
    </w:p>
    <w:p>
      <w:pPr>
        <w:ind w:right="380"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Domestic</w:t>
      </w:r>
      <w:r>
        <w:rPr>
          <w:rFonts w:ascii="Times New Roman" w:cs="Times New Roman" w:eastAsia="Times New Roman" w:hAnsi="Times New Roman"/>
          <w:sz w:val="14"/>
          <w:szCs w:val="14"/>
          <w:color w:val="auto"/>
        </w:rPr>
        <w:t>: The Company’s domestic net sales for the nine months ended September 30, 2024 increased $22.1 million, or 9%, to $258.0 million compared to $235.9 million for the nine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months ended September 30, 2023. The increase was primarily due to higher customer acquisition by the Company’s clients as they continue to experience higher demand for their products.</w:t>
      </w:r>
    </w:p>
    <w:p>
      <w:pPr>
        <w:spacing w:after="0" w:line="35"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International</w:t>
      </w:r>
      <w:r>
        <w:rPr>
          <w:rFonts w:ascii="Times New Roman" w:cs="Times New Roman" w:eastAsia="Times New Roman" w:hAnsi="Times New Roman"/>
          <w:sz w:val="14"/>
          <w:szCs w:val="14"/>
          <w:color w:val="auto"/>
        </w:rPr>
        <w:t>: The Company’s international net sales for the nine months ended September 30, 2024 increased $6.9 million, or 13%, to $61.7 million compared to $54.8 million for the nine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months ended September 30, 2023. International net sales remained flat at 19% of the Company's total net sales for the nine months ended September 30, 2024 and 2023. As described above, the international market is more variable due to customer mix and a smaller sales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i w:val="1"/>
          <w:iCs w:val="1"/>
          <w:color w:val="auto"/>
        </w:rPr>
        <w:t>Gross Profit and Gross Margin</w:t>
      </w:r>
    </w:p>
    <w:p>
      <w:pPr>
        <w:spacing w:after="0" w:line="202"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The Company’s gross profit for the nine months ended September 30, 2024 increased $10.5 million, or 7%, to $166.7 million compared to $156.2 million for the nine months ended September 30, 2023. The gross profit margin percentage decreased by 2%, to 52%, compared to 54% for the nine months ended September 30, 2023. The decrease was primarily due to product mix, specifically lower production efficiencies from new and innovative card constructions as well as the impact of inflationary pressure on wages and materials during the nine months ended September 30, 2024.</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81"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Company’s operating expenses for the nine months ended September 30, 2024 increased $7.0 million, or 10%, to $74.7 million compared to $67.6 million for the nine months ended September 30, 2023. The increase was primarily due to an increase in salaries of $4.1 million and increase in stock-based compensation expense of $2.2 million resulting from increases in headcount.</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Income from Operations and Operating Margin</w:t>
      </w:r>
    </w:p>
    <w:p>
      <w:pPr>
        <w:spacing w:after="0" w:line="181"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During the nine months ended September 30, 2024, the Company had income from operations of $92.0 million compared to income from operations of $88.6 million for the nine months ended September 30, 2023. The operating margin for the nine months ended September 30, 2024 decreased to 29% compared to 30% for the nine months ended September 30, 2023. The decrease in operating margin percentage was primarily due to the noted decrease in gross margin and increases in operating expenses offset by revenue growth..</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Other Expense, net</w:t>
      </w:r>
    </w:p>
    <w:p>
      <w:pPr>
        <w:spacing w:after="0" w:line="181"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Other expenses for the nine months ended September 30, 2024 increased $120.4 million, or 1878%, to $126.8 million compared to $6.4 million for the nine months ended September 30, 2023. The overall increase in other expenses was primarily due to changes in the fair value of earnout consideration liability and warrant liability of $122.6 million, based on changes in the fair value of such liabilities resulting primarily from the significant improvement in the market price of our Class A Common Stock. and changes in a derivative liability related to a make-whole provision of $0.8 million. The balance is offset by lower interest expense resulting from principal payments made on the outstanding term loan.</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w:t>
      </w:r>
    </w:p>
    <w:p>
      <w:pPr>
        <w:spacing w:after="0" w:line="181" w:lineRule="exact"/>
        <w:rPr>
          <w:sz w:val="20"/>
          <w:szCs w:val="20"/>
          <w:color w:val="auto"/>
        </w:rPr>
      </w:pPr>
    </w:p>
    <w:p>
      <w:pPr>
        <w:jc w:val="both"/>
        <w:ind w:right="60" w:firstLine="509"/>
        <w:spacing w:after="0" w:line="270" w:lineRule="auto"/>
        <w:rPr>
          <w:sz w:val="20"/>
          <w:szCs w:val="20"/>
          <w:color w:val="auto"/>
        </w:rPr>
      </w:pPr>
      <w:r>
        <w:rPr>
          <w:rFonts w:ascii="Times New Roman" w:cs="Times New Roman" w:eastAsia="Times New Roman" w:hAnsi="Times New Roman"/>
          <w:sz w:val="14"/>
          <w:szCs w:val="14"/>
          <w:color w:val="auto"/>
        </w:rPr>
        <w:t>The Company's income tax expense for the nine months ended September 30, 2024 was $0.1 million, compared to $0.7 million for the nine months ended September 30, 2023. The decrease in the income tax expense is attributable to a change in the Company's interim effective tax rate. The Company's interim effective tax rate, inclusive of any discrete items, was (0.15)% and 0.80% for the nine months ended September 30, 2024 and September 30,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color w:val="auto"/>
        </w:rPr>
        <w:t>Use of Non-GAAP Financial Measures</w:t>
      </w:r>
    </w:p>
    <w:p>
      <w:pPr>
        <w:spacing w:after="0" w:line="1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This Quarterly Report on Form 10-Q may include certain non-GAAP financial measures that are not prepared in accordance with accounting principles generally accepted in the United States (“GAAP”) and that may be different from non-GAAP financial measures used by other companies. The Company believes EBITDA, Adjusted EBITDA, Adjusted net income, and Adjusted net income per share are useful to investors in evaluating the Company’s financial performance. The Company uses these measures internally to establish forecasts, budgets and operational goals to manage and monitor its business, as well as evaluate its underlying historical performance and to measure incentive compensation, as we believe that these non-GAAP financial measures depict the true performance of the business by encompassing only relevant and controllable events, enabling the Company to evaluate and plan more effectively for the future. In addition, the Company’s debt agreements contain covenants that use a variation of these measures for purposes of determining debt covenant compliance. The Company believes that investors should have access to the same set of tools that its management uses in analyzing operating results. EBITDA, Adjusted EBITDA, Adjusted net income and Adjusted net income per share should not be considered as measures of financial performance under U.S. GAAP, and the items excluded from EBITDA, Adjusted EBITDA, Adjusted net income and Adjusted net income per share are significant components in understanding and assessing the Company’s financial performance. Accordingly, these key business metrics have limitations as an analytical tool. They should not be considered as an alternative to net income or any other performance measures derived in accordance with U.S. GAAP or as an alternative to cash flows from operating activities as a measure of the Company’s liquidity, and may be different from similarly titled non-GAAP measures used by other companies.</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unaudited table presents the reconciliation of net income to EBITDA and Adjusted EBITDA for the periods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440" w:type="dxa"/>
            <w:vAlign w:val="bottom"/>
            <w:shd w:val="clear" w:color="auto" w:fill="CCEEFF"/>
          </w:tcPr>
          <w:p>
            <w:pPr>
              <w:spacing w:after="0"/>
              <w:rPr>
                <w:sz w:val="18"/>
                <w:szCs w:val="18"/>
                <w:color w:val="auto"/>
              </w:rPr>
            </w:pPr>
          </w:p>
        </w:tc>
        <w:tc>
          <w:tcPr>
            <w:tcW w:w="3080" w:type="dxa"/>
            <w:vAlign w:val="bottom"/>
            <w:tcBorders>
              <w:bottom w:val="single" w:sz="8" w:color="auto"/>
            </w:tcBorders>
            <w:gridSpan w:val="4"/>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3220" w:type="dxa"/>
            <w:vAlign w:val="bottom"/>
            <w:tcBorders>
              <w:bottom w:val="single" w:sz="8" w:color="auto"/>
            </w:tcBorders>
            <w:gridSpan w:val="4"/>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0"/>
        </w:trPr>
        <w:tc>
          <w:tcPr>
            <w:tcW w:w="3440" w:type="dxa"/>
            <w:vAlign w:val="bottom"/>
          </w:tcPr>
          <w:p>
            <w:pPr>
              <w:spacing w:after="0"/>
              <w:rPr>
                <w:sz w:val="16"/>
                <w:szCs w:val="16"/>
                <w:color w:val="auto"/>
              </w:rPr>
            </w:pP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6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34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3"/>
        </w:trPr>
        <w:tc>
          <w:tcPr>
            <w:tcW w:w="34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3"/>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181"/>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1180" w:type="dxa"/>
            <w:vAlign w:val="bottom"/>
            <w:tcBorders>
              <w:top w:val="single" w:sz="8" w:color="auto"/>
            </w:tcBorders>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(85,474)</w:t>
            </w:r>
          </w:p>
        </w:tc>
        <w:tc>
          <w:tcPr>
            <w:tcW w:w="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38,049</w:t>
            </w: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(34,804)</w:t>
            </w: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81,496</w:t>
            </w:r>
          </w:p>
        </w:tc>
      </w:tr>
      <w:tr>
        <w:trPr>
          <w:trHeight w:val="32"/>
        </w:trPr>
        <w:tc>
          <w:tcPr>
            <w:tcW w:w="3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3"/>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w:t>
            </w:r>
          </w:p>
        </w:tc>
        <w:tc>
          <w:tcPr>
            <w:tcW w:w="1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191"/>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2,331</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6,932</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6,249</w:t>
            </w:r>
          </w:p>
        </w:tc>
      </w:tr>
      <w:tr>
        <w:trPr>
          <w:trHeight w:val="32"/>
        </w:trPr>
        <w:tc>
          <w:tcPr>
            <w:tcW w:w="3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3"/>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 (1)</w:t>
            </w:r>
          </w:p>
        </w:tc>
        <w:tc>
          <w:tcPr>
            <w:tcW w:w="1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5,533</w:t>
            </w: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6,010</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16,927</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18,355</w:t>
            </w:r>
          </w:p>
        </w:tc>
      </w:tr>
      <w:tr>
        <w:trPr>
          <w:trHeight w:val="191"/>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r>
      <w:tr>
        <w:trPr>
          <w:trHeight w:val="32"/>
        </w:trPr>
        <w:tc>
          <w:tcPr>
            <w:tcW w:w="34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3"/>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1180" w:type="dxa"/>
            <w:vAlign w:val="bottom"/>
            <w:tcBorders>
              <w:bottom w:val="single" w:sz="8" w:color="CCEEFF"/>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(76,981)</w:t>
            </w: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47,086</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(10,894)</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106,756</w:t>
            </w:r>
          </w:p>
        </w:tc>
      </w:tr>
      <w:tr>
        <w:trPr>
          <w:trHeight w:val="191"/>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5,634</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4,637</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15,269</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13,052</w:t>
            </w:r>
          </w:p>
        </w:tc>
      </w:tr>
      <w:tr>
        <w:trPr>
          <w:trHeight w:val="32"/>
        </w:trPr>
        <w:tc>
          <w:tcPr>
            <w:tcW w:w="3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3"/>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Mark-to-market adjustments, net (2)</w:t>
            </w:r>
          </w:p>
        </w:tc>
        <w:tc>
          <w:tcPr>
            <w:tcW w:w="1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108,404</w:t>
            </w: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(16,207)</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109,846</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(11,947)</w:t>
            </w:r>
          </w:p>
        </w:tc>
      </w:tr>
      <w:tr>
        <w:trPr>
          <w:trHeight w:val="191"/>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Secondary offering transaction costs</w:t>
            </w:r>
          </w:p>
        </w:tc>
        <w:tc>
          <w:tcPr>
            <w:tcW w:w="1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3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3"/>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refinance costs</w:t>
            </w:r>
          </w:p>
        </w:tc>
        <w:tc>
          <w:tcPr>
            <w:tcW w:w="1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Resolute transaction costs</w:t>
            </w:r>
          </w:p>
        </w:tc>
        <w:tc>
          <w:tcPr>
            <w:tcW w:w="1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2,726</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2,726</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34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3"/>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180" w:type="dxa"/>
            <w:vAlign w:val="bottom"/>
            <w:tcBorders>
              <w:bottom w:val="single" w:sz="8" w:color="auto"/>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40,008</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35,516</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117,758</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107,861</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left="260" w:hanging="255"/>
        <w:spacing w:after="0"/>
        <w:tabs>
          <w:tab w:leader="none" w:pos="26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amortization of deferred financing cost and loss on extinguishment of debt for the three and nine months ended September 30, 2024 and 2023, respectively.</w:t>
      </w:r>
    </w:p>
    <w:p>
      <w:pPr>
        <w:spacing w:after="0" w:line="25" w:lineRule="exact"/>
        <w:rPr>
          <w:rFonts w:ascii="Times New Roman" w:cs="Times New Roman" w:eastAsia="Times New Roman" w:hAnsi="Times New Roman"/>
          <w:sz w:val="14"/>
          <w:szCs w:val="14"/>
          <w:i w:val="1"/>
          <w:iCs w:val="1"/>
          <w:color w:val="auto"/>
        </w:rPr>
      </w:pPr>
    </w:p>
    <w:p>
      <w:pPr>
        <w:ind w:left="260" w:hanging="255"/>
        <w:spacing w:after="0"/>
        <w:tabs>
          <w:tab w:leader="none" w:pos="26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the changes in fair value of warrant liability, derivative liabilities and earnout consideration liability for the three and nine months ended September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41" w:name="page42"/>
    <w:bookmarkEnd w:id="41"/>
    <w:p>
      <w:pPr>
        <w:ind w:left="520"/>
        <w:spacing w:after="0"/>
        <w:rPr>
          <w:sz w:val="20"/>
          <w:szCs w:val="20"/>
          <w:color w:val="auto"/>
        </w:rPr>
      </w:pPr>
      <w:r>
        <w:rPr>
          <w:rFonts w:ascii="Times New Roman" w:cs="Times New Roman" w:eastAsia="Times New Roman" w:hAnsi="Times New Roman"/>
          <w:sz w:val="14"/>
          <w:szCs w:val="14"/>
          <w:color w:val="auto"/>
        </w:rPr>
        <w:t>The following unaudited table presents the non-GAAP earnings per share and reconciliation of GAAP net income to non-GAAP adjusted net income for the periods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332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880" w:type="dxa"/>
            <w:vAlign w:val="bottom"/>
            <w:gridSpan w:val="4"/>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2"/>
        </w:trPr>
        <w:tc>
          <w:tcPr>
            <w:tcW w:w="45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3"/>
        </w:trPr>
        <w:tc>
          <w:tcPr>
            <w:tcW w:w="4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1"/>
        </w:trPr>
        <w:tc>
          <w:tcPr>
            <w:tcW w:w="456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080" w:type="dxa"/>
            <w:vAlign w:val="bottom"/>
            <w:tcBorders>
              <w:top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32"/>
        </w:trPr>
        <w:tc>
          <w:tcPr>
            <w:tcW w:w="45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3"/>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w:t>
            </w: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r>
      <w:tr>
        <w:trPr>
          <w:trHeight w:val="191"/>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10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(85,474)</w:t>
            </w:r>
          </w:p>
        </w:tc>
        <w:tc>
          <w:tcPr>
            <w:tcW w:w="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38,049</w:t>
            </w:r>
          </w:p>
        </w:tc>
        <w:tc>
          <w:tcPr>
            <w:tcW w:w="8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(34,804)</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81,496</w:t>
            </w:r>
          </w:p>
        </w:tc>
      </w:tr>
      <w:tr>
        <w:trPr>
          <w:trHeight w:val="32"/>
        </w:trPr>
        <w:tc>
          <w:tcPr>
            <w:tcW w:w="4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3"/>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provision for income taxes</w:t>
            </w:r>
          </w:p>
        </w:tc>
        <w:tc>
          <w:tcPr>
            <w:tcW w:w="10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r>
      <w:tr>
        <w:trPr>
          <w:trHeight w:val="181"/>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10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(84,845)</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38,998</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(34,753)</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82,152</w:t>
            </w:r>
          </w:p>
        </w:tc>
      </w:tr>
      <w:tr>
        <w:trPr>
          <w:trHeight w:val="32"/>
        </w:trPr>
        <w:tc>
          <w:tcPr>
            <w:tcW w:w="4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3"/>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(1)</w:t>
            </w:r>
          </w:p>
        </w:tc>
        <w:tc>
          <w:tcPr>
            <w:tcW w:w="10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(17,639)</w:t>
            </w:r>
          </w:p>
        </w:tc>
      </w:tr>
      <w:tr>
        <w:trPr>
          <w:trHeight w:val="181"/>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(loss) income before adjustments</w:t>
            </w:r>
          </w:p>
        </w:tc>
        <w:tc>
          <w:tcPr>
            <w:tcW w:w="10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(91,945)</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33,130</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(55,240)</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64,513</w:t>
            </w:r>
          </w:p>
        </w:tc>
      </w:tr>
      <w:tr>
        <w:trPr>
          <w:trHeight w:val="32"/>
        </w:trPr>
        <w:tc>
          <w:tcPr>
            <w:tcW w:w="4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3"/>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add: mark-to-market adjustments (2)</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108,948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(16,058)</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110,271</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(12,311)</w:t>
            </w:r>
          </w:p>
        </w:tc>
      </w:tr>
      <w:tr>
        <w:trPr>
          <w:trHeight w:val="191"/>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secondary offering transaction costs</w:t>
            </w:r>
          </w:p>
        </w:tc>
        <w:tc>
          <w:tcPr>
            <w:tcW w:w="10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4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3"/>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debt refinance costs</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Resolute transactions costs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4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3"/>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stock-based compensation</w:t>
            </w:r>
          </w:p>
        </w:tc>
        <w:tc>
          <w:tcPr>
            <w:tcW w:w="10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4,637</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13,052</w:t>
            </w:r>
          </w:p>
        </w:tc>
      </w:tr>
      <w:tr>
        <w:trPr>
          <w:trHeight w:val="181"/>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income</w:t>
            </w:r>
          </w:p>
        </w:tc>
        <w:tc>
          <w:tcPr>
            <w:tcW w:w="1000" w:type="dxa"/>
            <w:vAlign w:val="bottom"/>
            <w:tcBorders>
              <w:top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25,588</w:t>
            </w: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21,709</w:t>
            </w:r>
          </w:p>
        </w:tc>
        <w:tc>
          <w:tcPr>
            <w:tcW w:w="80" w:type="dxa"/>
            <w:vAlign w:val="bottom"/>
          </w:tcPr>
          <w:p>
            <w:pPr>
              <w:spacing w:after="0"/>
              <w:rPr>
                <w:sz w:val="15"/>
                <w:szCs w:val="15"/>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73,837</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65,254</w:t>
            </w:r>
          </w:p>
        </w:tc>
      </w:tr>
      <w:tr>
        <w:trPr>
          <w:trHeight w:val="32"/>
        </w:trPr>
        <w:tc>
          <w:tcPr>
            <w:tcW w:w="45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7"/>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outstanding used in</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6"/>
        </w:trPr>
        <w:tc>
          <w:tcPr>
            <w:tcW w:w="4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computing net income per share, basic:</w:t>
            </w: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r>
      <w:tr>
        <w:trPr>
          <w:trHeight w:val="191"/>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and Class B common shares (3)</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79,033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81,303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78,378</w:t>
            </w:r>
          </w:p>
        </w:tc>
      </w:tr>
      <w:tr>
        <w:trPr>
          <w:trHeight w:val="32"/>
        </w:trPr>
        <w:tc>
          <w:tcPr>
            <w:tcW w:w="45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7"/>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outstanding used in</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6"/>
        </w:trPr>
        <w:tc>
          <w:tcPr>
            <w:tcW w:w="4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computing net income per share, diluted:</w:t>
            </w: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r>
      <w:tr>
        <w:trPr>
          <w:trHeight w:val="191"/>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 (4)</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8,094</w:t>
            </w:r>
          </w:p>
        </w:tc>
      </w:tr>
      <w:tr>
        <w:trPr>
          <w:trHeight w:val="32"/>
        </w:trPr>
        <w:tc>
          <w:tcPr>
            <w:tcW w:w="4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3"/>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awards</w:t>
            </w:r>
          </w:p>
        </w:tc>
        <w:tc>
          <w:tcPr>
            <w:tcW w:w="10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3,690</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w:t>
            </w:r>
          </w:p>
        </w:tc>
      </w:tr>
      <w:tr>
        <w:trPr>
          <w:trHeight w:val="167"/>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Shares outstanding used in</w:t>
            </w:r>
          </w:p>
        </w:tc>
        <w:tc>
          <w:tcPr>
            <w:tcW w:w="10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184"/>
        </w:trPr>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computing net income per share - diluted (5)</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93,860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90,817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90,414</w:t>
            </w:r>
          </w:p>
        </w:tc>
      </w:tr>
      <w:tr>
        <w:trPr>
          <w:trHeight w:val="32"/>
        </w:trPr>
        <w:tc>
          <w:tcPr>
            <w:tcW w:w="45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2"/>
        </w:trPr>
        <w:tc>
          <w:tcPr>
            <w:tcW w:w="4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91"/>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income per share - basic</w:t>
            </w:r>
          </w:p>
        </w:tc>
        <w:tc>
          <w:tcPr>
            <w:tcW w:w="10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8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0.91</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0.83</w:t>
            </w:r>
          </w:p>
        </w:tc>
      </w:tr>
      <w:tr>
        <w:trPr>
          <w:trHeight w:val="32"/>
        </w:trPr>
        <w:tc>
          <w:tcPr>
            <w:tcW w:w="4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1"/>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 per share - diluted</w:t>
            </w:r>
          </w:p>
        </w:tc>
        <w:tc>
          <w:tcPr>
            <w:tcW w:w="100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0.72</w:t>
            </w:r>
          </w:p>
        </w:tc>
      </w:tr>
      <w:tr>
        <w:trPr>
          <w:trHeight w:val="32"/>
        </w:trPr>
        <w:tc>
          <w:tcPr>
            <w:tcW w:w="45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53" w:lineRule="exact"/>
        <w:rPr>
          <w:sz w:val="20"/>
          <w:szCs w:val="20"/>
          <w:color w:val="auto"/>
        </w:rPr>
      </w:pPr>
    </w:p>
    <w:p>
      <w:pPr>
        <w:ind w:left="140" w:hanging="135"/>
        <w:spacing w:after="0"/>
        <w:tabs>
          <w:tab w:leader="none" w:pos="140" w:val="left"/>
        </w:tabs>
        <w:numPr>
          <w:ilvl w:val="0"/>
          <w:numId w:val="9"/>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Calculated using the Company's blended tax rate.</w:t>
      </w:r>
    </w:p>
    <w:p>
      <w:pPr>
        <w:spacing w:after="0" w:line="15" w:lineRule="exact"/>
        <w:rPr>
          <w:rFonts w:ascii="Times New Roman" w:cs="Times New Roman" w:eastAsia="Times New Roman" w:hAnsi="Times New Roman"/>
          <w:sz w:val="13"/>
          <w:szCs w:val="13"/>
          <w:i w:val="1"/>
          <w:iCs w:val="1"/>
          <w:color w:val="auto"/>
        </w:rPr>
      </w:pPr>
    </w:p>
    <w:p>
      <w:pPr>
        <w:ind w:left="140" w:hanging="135"/>
        <w:spacing w:after="0"/>
        <w:tabs>
          <w:tab w:leader="none" w:pos="140" w:val="left"/>
        </w:tabs>
        <w:numPr>
          <w:ilvl w:val="0"/>
          <w:numId w:val="9"/>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Includes the changes in fair value of warrant liability and earnout consideration liability.</w:t>
      </w:r>
    </w:p>
    <w:p>
      <w:pPr>
        <w:ind w:left="140" w:hanging="135"/>
        <w:spacing w:after="0"/>
        <w:tabs>
          <w:tab w:leader="none" w:pos="140" w:val="left"/>
        </w:tabs>
        <w:numPr>
          <w:ilvl w:val="0"/>
          <w:numId w:val="9"/>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Assumes both Class A shares and Class B shares participate in earnings and are outstanding at the end of the period.</w:t>
      </w:r>
    </w:p>
    <w:p>
      <w:pPr>
        <w:spacing w:after="0" w:line="1" w:lineRule="exact"/>
        <w:rPr>
          <w:rFonts w:ascii="Times New Roman" w:cs="Times New Roman" w:eastAsia="Times New Roman" w:hAnsi="Times New Roman"/>
          <w:sz w:val="13"/>
          <w:szCs w:val="13"/>
          <w:i w:val="1"/>
          <w:iCs w:val="1"/>
          <w:color w:val="auto"/>
        </w:rPr>
      </w:pPr>
    </w:p>
    <w:p>
      <w:pPr>
        <w:ind w:left="140" w:hanging="135"/>
        <w:spacing w:after="0"/>
        <w:tabs>
          <w:tab w:leader="none" w:pos="140" w:val="left"/>
        </w:tabs>
        <w:numPr>
          <w:ilvl w:val="0"/>
          <w:numId w:val="9"/>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Assumes treasury stock method, valuation at assumed fair market value of $18.00.</w:t>
      </w:r>
    </w:p>
    <w:p>
      <w:pPr>
        <w:spacing w:after="0" w:line="6" w:lineRule="exact"/>
        <w:rPr>
          <w:rFonts w:ascii="Times New Roman" w:cs="Times New Roman" w:eastAsia="Times New Roman" w:hAnsi="Times New Roman"/>
          <w:sz w:val="13"/>
          <w:szCs w:val="13"/>
          <w:i w:val="1"/>
          <w:iCs w:val="1"/>
          <w:color w:val="auto"/>
        </w:rPr>
      </w:pPr>
    </w:p>
    <w:p>
      <w:pPr>
        <w:ind w:left="140" w:hanging="135"/>
        <w:spacing w:after="0"/>
        <w:tabs>
          <w:tab w:leader="none" w:pos="140" w:val="left"/>
        </w:tabs>
        <w:numPr>
          <w:ilvl w:val="0"/>
          <w:numId w:val="9"/>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The Company did not include the effect of Exchangeable Notes in its total shares outstanding used in diluted adjusted net income per share.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Critical accounting policies are detailed in the Company’s Annual Report on Form 10-K for the year ended December 31,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 Accounting Pronouncements</w:t>
      </w:r>
    </w:p>
    <w:p>
      <w:pPr>
        <w:spacing w:after="0" w:line="181"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Reference is made to Note 2 of Notes to Financial Statements - unaudited in Item 1, “Financial Statements,” for information concerning recent accounting pronouncements since the filing of the Company’s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52"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1"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The Company’s primary sources of liquidity are its existing cash and cash equivalents balances, cash flows from operations and borrowings on its term loan, revolving credit facility and Exchangeable Notes. The Company’s primary cash requirements include operating expenses, debt service payments (principal and interest), including possible repurchase of exchangeable notes (as described above), and capital expenditures (including property and equipment).</w:t>
      </w:r>
    </w:p>
    <w:p>
      <w:pPr>
        <w:spacing w:after="0" w:line="136"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As of September 30, 2024, the Company had cash and cash equivalents of $52.7 million and debt principal outstanding of $330.0 million. As of December 31, 2023, the Company had cash and cash equivalents of $41.2 million and total debt principal outstanding of $340.3 million.</w:t>
      </w:r>
    </w:p>
    <w:p>
      <w:pPr>
        <w:spacing w:after="0" w:line="124"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The Company believes that cash flows from its operations and available cash and cash equivalents, as well as the availability of a revolving credit facility of $130.0 million (as described below), are sufficient to meet its liquidity needs, including the repayment of its outstanding debt, including possible repurchase of exchangeable notes (as described above), for at least the next 12 months from the date of filing of this Form 10-Q. The Company anticipates that to the extent that it requires additional liquidity, it will be funded through borrowings on its revolving credit facility, the incurrence of other indebtedness, or a combination thereof and offering of its shares in capital markets. The Company cannot be assured that it will be able to obtain this additional liquidity on reasonable terms, or at all. Additionally, the Company’s liquidity and its ability to meet its obligations and fund its capital requirements are also dependent on its future financial performance, which is subject to general economic, financial and other factors that are beyond its control. Accordingly, the Company cannot be assured that its business will generate sufficient cash flows from operations or that future borrowings will be available from additional indebtedness or otherwise to meet its liquidity needs. Although the Company has no specific current plans to do so, if the Company decides to pursue one or more significant acquisitions, the Company may incur additional debt to finance such acquisitions.</w:t>
      </w:r>
    </w:p>
    <w:p>
      <w:pPr>
        <w:spacing w:after="0" w:line="17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On August 7, 2024, the Company entered into a Fourth Amended and Restated Credit Agreement with JPMC (the “2024 Credit Facility” and collectively with the 2021 Credit Facility, the “Credit Facilities”) to refinance the 2021 Credit Facility. In conjunction with the 2024 Credit Facility, the maximum borrowing capacity of the overall credit facility was increased to $330 million comprising of a term loan of $200,000 (the “2024 Term Loan”) and a revolving credit facility of $130 million (the “2024 Revolver”). At September 30, 2024, there was $200 million of total debt outstanding under the Company’s existing credit facilities (the “2024 Credit Facility”). No amounts were drawn on the revolving credit facility as of September 30, 2024. Additional amounts may be available for borrowing during the term of the revolving loan, up to the full $130 million, as long as the Company maintains a net leverage ratio as stipulated in the credit facility agreement. As of September 30, 2024, the Company’s net leverage ratio met the requirement for the available borrowing as defined in the terms of the credit facility agreement. The 2024 Credit Facility will mature on August 7, 2029.</w:t>
      </w:r>
    </w:p>
    <w:p>
      <w:pPr>
        <w:spacing w:after="0" w:line="168"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Two lenders who participated in the 2021 Credit Facility did not participate in the 2024 Credit Facility and transferred their debt to other lenders. The 2024 Credit Facility is set to mature on August 7, 2029. The 2024 Credit Facility was accounted for as an extinguishment for the two lenders who transferred their debt and as a modification for all other remaining lenders. As a result, the Company wrote-off approximately $0.1 million in unamortized debt issuance costs related to the lenders who did not participate in the 2024 Credit Facility which is included in Loss on Extinguishment of Debt in Other Expense in the accompanying consolidated statements of operations.</w:t>
      </w:r>
    </w:p>
    <w:p>
      <w:pPr>
        <w:spacing w:after="0" w:line="162"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4"/>
          <w:szCs w:val="14"/>
          <w:color w:val="auto"/>
        </w:rPr>
        <w:t>In conjunction with the 2024 Credit Facility, the Company incurred approximately $0.7 million in lender fees and $0.1 million in other third-party fees related to the 2024 Revolver and approximately $1.1 million in lender fees and $0.2 in other third-party fees related to the 2024 Term Loan. The $1.1 million of lender fees related to the 2024 Term Loan have been capitalized and these fees, along with $0.8 million of unamortized debt issuance costs related to the 2021 Credit Facility, will be amortized into interest expense through the maturity date of the 2024 Term Loan using the effective interest method. Similarly $0.7 million of lender fees and $0.1 million of other third-party fees related to the 2024 Revolver have been capitalized as an other long-term asset and will be amortized into interest expense through the maturity date of the 2024 Revolver using the straight-line method. The $0.2 million other third-party fees related to the 2024 Term Loan were expensed as incurred.</w:t>
      </w:r>
    </w:p>
    <w:p>
      <w:pPr>
        <w:spacing w:after="0" w:line="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4"/>
          <w:szCs w:val="14"/>
          <w:color w:val="auto"/>
        </w:rPr>
        <w:t>The Company’s Credit Facilities, including the 2024 Credit Facility, require the Company to make quarterly principal payments until maturity, at which point a balloon principal payment is due for the outstanding principal. The Credit Facilities also require the Company to make monthly interest payments as well as pay a quarterly unused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29" w:right="339" w:bottom="1440" w:gutter="0" w:footer="0" w:header="0"/>
        </w:sectPr>
      </w:pPr>
    </w:p>
    <w:bookmarkStart w:id="43" w:name="page44"/>
    <w:bookmarkEnd w:id="43"/>
    <w:p>
      <w:pPr>
        <w:spacing w:after="0" w:line="287" w:lineRule="auto"/>
        <w:rPr>
          <w:sz w:val="20"/>
          <w:szCs w:val="20"/>
          <w:color w:val="auto"/>
        </w:rPr>
      </w:pPr>
      <w:r>
        <w:rPr>
          <w:rFonts w:ascii="Times New Roman" w:cs="Times New Roman" w:eastAsia="Times New Roman" w:hAnsi="Times New Roman"/>
          <w:sz w:val="14"/>
          <w:szCs w:val="14"/>
          <w:color w:val="auto"/>
        </w:rPr>
        <w:t>commitment fee of 0.35% for any unused portion of the revolving credit facilities. The 2024 Credit Facility provide for the Company to prepay the term loans without penalty or premium. The Credit Facilities are secured by substantially all of the assets of the Company.</w:t>
      </w:r>
    </w:p>
    <w:p>
      <w:pPr>
        <w:spacing w:after="0" w:line="145"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Interest on the revolving credit facilities and the term loans are based on the outstanding principal amount during the interest period multiplied by the quoted SOFR rate plus the which can range from 1.75% to 2.75% based on the Company's leverage ratio. The Credit Facilities also require the Company to make monthly interest payments as well as pay a quarterly unused commitment fee of 0.35% for any unused portion of the revolving credit facilities.</w:t>
      </w:r>
    </w:p>
    <w:p>
      <w:pPr>
        <w:spacing w:after="0" w:line="15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The 2024 Credit Facility contains customary covenants, including among other things, certain restrictions or limitations on indebtedness, issuance of liens, investments, asset sales, certain mergers or consolidations, sales, transfers, leases or dispositions of substantially all of the Company’s assets, and affiliate transactions. The Company may also be required to make repayments on the 2021 Credit Facility in advance of the maturity date based on a calculation of excess cash flows, as defined in the agreement, with any required payments to be made after the issuance of the Company’s annual financial statements. The Company was in compliance with all covenants as of September 30, 2024. See Note 5 in Notes to Consolidated Financial Statements in this Quarterly Report on Form 10-Q.</w:t>
      </w:r>
    </w:p>
    <w:p>
      <w:pPr>
        <w:spacing w:after="0" w:line="164"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On April 19, 2021, concurrently with the execution of the Merger Agreement, the Company and its subsidiary, Holdings entered into subscription agreements (the “Note Subscription Agreements”) with certain investors ("Notes Investors") pursuant to which such Notes investors, severally and not jointly, purchased on the Closing Date of the Business Combination, senior notes (the “Exchangeable Notes”) issued by Holdings and guaranteed by its operating subsidiaries, CompoSecure, L.L.C. and Arculus Holdings, L.L.C., in an aggregate principal amount of up to $130.0 million that are exchangeable into shares of Class A common stock at a conversion price of $11.50, subject to adjustments. The conversion price is currently $9.57 for the period from September 19, 2024 to November 29, 2024. After that period, the conversion price will return to $10.98 per share, subject to the terms and conditions of the Indenture entered into with the trustee under the Indenture. The Exchangeable Notes bear interest at a rate of 7% per year, payable semiannually in arrears. The Exchangeable Notes will mature on December 27, 2026, and are exchangeable for shares of Class A common stock. The Company will settle any exchange of the Exchangeable Notes in shares of Class A common stock, with cash payable in lieu of any fractional shares. Additional interest may be payable as set forth in the Indenture. See Note 5 in Notes to Consolidated Financial Statements in this Quarterly Report on Form 10-Q. Through November 6, 2024, an aggregate of $51.4 million of the Notes have been surrendered and exchanged for an aggregate of 5.4 million newly-issued shares of Class A Common Stock.</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Operations</w:t>
      </w:r>
    </w:p>
    <w:p>
      <w:pPr>
        <w:spacing w:after="0" w:line="18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Cash provided by the Company’s operating activities for the nine months ended September 30, 2024 was $94.1 million compared to cash provided by operating activities of $77.9 million during the nine months ended September 30, 2023. The increase in cash provided by operating activities of $16.3 million was primarily attributable to non-cash charges of $109.8 million related to changes in the Company's earnout consideration liability and warrant liability based on changes in the fair value of such liabilities resulting primarily from the significant improvement in the market price of our Class A Common Stock, equity compensation expense of $15.3 million, depreciation and amortization expense of $6.9 million, amortization of deferred financing costs of $1.0 million and changes in working capital of $0.6 million. This was partially offset by net loss of $34.8 million, and deferred tax benefit of $4.8 million</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Investing Activities</w:t>
      </w:r>
    </w:p>
    <w:p>
      <w:pPr>
        <w:spacing w:after="0" w:line="181"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Cash used in the Company’s investing activities for the nine months ended September 30, 2024 was $5.5 million primarily relating to capital expenditures of $4.8 million and capitalized software expenditures of $0.7 million, compared to cash used in investing activities for the nine months ended September 30, 2023 of $6.7 million.</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Financing Activities</w:t>
      </w:r>
    </w:p>
    <w:p>
      <w:pPr>
        <w:spacing w:after="0" w:line="181"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Cash used in the Company’s financing activities for the nine months ended September 30, 2024 was $77.2 million compared to cash used in the Company's financing activities for the nine months ended September 30, 2023 of $61.0 million. Cash used in financing activities for the nine months ended September 30, 2024 primarily related to distributions to non-controlling interest holders of $34.9 million, special distribution to non-controlling interest holders of</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61" w:right="359" w:bottom="1440" w:gutter="0" w:footer="0" w:header="0"/>
        </w:sectPr>
      </w:pPr>
    </w:p>
    <w:bookmarkStart w:id="44" w:name="page45"/>
    <w:bookmarkEnd w:id="44"/>
    <w:p>
      <w:pPr>
        <w:ind w:right="40"/>
        <w:spacing w:after="0" w:line="261" w:lineRule="auto"/>
        <w:rPr>
          <w:sz w:val="20"/>
          <w:szCs w:val="20"/>
          <w:color w:val="auto"/>
        </w:rPr>
      </w:pPr>
      <w:r>
        <w:rPr>
          <w:rFonts w:ascii="Times New Roman" w:cs="Times New Roman" w:eastAsia="Times New Roman" w:hAnsi="Times New Roman"/>
          <w:sz w:val="14"/>
          <w:szCs w:val="14"/>
          <w:color w:val="auto"/>
        </w:rPr>
        <w:t>$15.6 million, repayment of scheduled principal payments of the term loan of $10.3 million, dividends to Class A shareholders $8.9 million, payments for taxes related to net share settlement of equity awards of $8.5 million and deferred cost related to debt modification of $1.9 million. This was partially offset by proceeds of $2.9 million pursuant to the exercise of equity awards and issuance of shares for ESPP transactions. Cash used in financing activities for the nine months ended September 30, 2023, primarily related to payment of distributions to non-controlling interests, repayment of scheduled term loan principal payments, payments for taxes related to net share settlement of equity awards, payments of tax receivable agreement liability and proceeds from employee stock purchase plan and exercise of equity awards.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w:t>
      </w:r>
    </w:p>
    <w:p>
      <w:pPr>
        <w:spacing w:after="0" w:line="202"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A summary of our minimum contractual obligations related to our material outstanding contractual commitments is included in Notes 7, 8 and 16 of our Annual report on Form 10-K for the year ended December 31, 2023 as filed with the SEC. Our long-term contractual obligations include commitments and estimated purchase obligations entered into in the normal course of business. As of September 30, 2024, the Company had inventory-related purchase commitments totaling approximately $32.3 million.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Financing</w:t>
      </w:r>
    </w:p>
    <w:p>
      <w:pPr>
        <w:spacing w:after="0" w:line="181" w:lineRule="exact"/>
        <w:rPr>
          <w:sz w:val="20"/>
          <w:szCs w:val="20"/>
          <w:color w:val="auto"/>
        </w:rPr>
      </w:pPr>
    </w:p>
    <w:p>
      <w:pPr>
        <w:ind w:right="500" w:firstLine="509"/>
        <w:spacing w:after="0" w:line="287" w:lineRule="auto"/>
        <w:rPr>
          <w:sz w:val="20"/>
          <w:szCs w:val="20"/>
          <w:color w:val="auto"/>
        </w:rPr>
      </w:pPr>
      <w:r>
        <w:rPr>
          <w:rFonts w:ascii="Times New Roman" w:cs="Times New Roman" w:eastAsia="Times New Roman" w:hAnsi="Times New Roman"/>
          <w:sz w:val="14"/>
          <w:szCs w:val="14"/>
          <w:color w:val="auto"/>
        </w:rPr>
        <w:t>The Company is a party to the 2024 Credit Facility with various banks and has issued Exchangeable Notes to certain holders. For a more complete description of the Company's debt obligations, see Note 5 of Notes to Consolidated Financial Statements in the Consolidated Financial Statements of the Company in this Quarterly Report on Form 10-Q.</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Disclosures About Market Risk</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81"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In addition to existing cash balances and cash provided by operating activities, the Company uses variable rate debt to finance its operations. The Company is exposed to interest rate risk on these debt obligations and a related interest rate swap agreement. As of September 30, 2024, the Company had $200.0 million in debt outstanding under the 2024 Credit Facility, all of which was variable rate debt, and $130.0 million in long-term debt principal outstanding from the issuance of Exchangeable Notes.</w:t>
      </w:r>
    </w:p>
    <w:p>
      <w:pPr>
        <w:spacing w:after="0" w:line="136" w:lineRule="exact"/>
        <w:rPr>
          <w:sz w:val="20"/>
          <w:szCs w:val="20"/>
          <w:color w:val="auto"/>
        </w:rPr>
      </w:pPr>
    </w:p>
    <w:p>
      <w:pPr>
        <w:ind w:right="200" w:firstLine="509"/>
        <w:spacing w:after="0" w:line="270" w:lineRule="auto"/>
        <w:rPr>
          <w:sz w:val="20"/>
          <w:szCs w:val="20"/>
          <w:color w:val="auto"/>
        </w:rPr>
      </w:pPr>
      <w:r>
        <w:rPr>
          <w:rFonts w:ascii="Times New Roman" w:cs="Times New Roman" w:eastAsia="Times New Roman" w:hAnsi="Times New Roman"/>
          <w:sz w:val="14"/>
          <w:szCs w:val="14"/>
          <w:color w:val="auto"/>
        </w:rPr>
        <w:t>The Company performed a sensitivity analysis based on the principal amount of debt outstanding as of September 30, 2024, as well as the effect of its interest rate swap agreement. In this sensitivity analysis, the change in interest rates is assumed to be applicable for an entire year. An increase or decrease of 100 basis points in the applicable interest rate would cause an increase or decrease in interest expense of approximately $4.0 million on an annual basis.</w:t>
      </w:r>
    </w:p>
    <w:p>
      <w:pPr>
        <w:spacing w:after="0" w:line="136"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On January 11, 2022, the Company entered into an interest rate swap agreement to hedge forecasted interest rate payments on its variable rate debt. As of September 30, 2024, the Company had the following interest rate swap agreements (in thousands):</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440" w:type="dxa"/>
            <w:vAlign w:val="bottom"/>
          </w:tcPr>
          <w:p>
            <w:pPr>
              <w:ind w:left="3220"/>
              <w:spacing w:after="0"/>
              <w:rPr>
                <w:sz w:val="20"/>
                <w:szCs w:val="20"/>
                <w:color w:val="auto"/>
              </w:rPr>
            </w:pPr>
            <w:r>
              <w:rPr>
                <w:rFonts w:ascii="Times New Roman" w:cs="Times New Roman" w:eastAsia="Times New Roman" w:hAnsi="Times New Roman"/>
                <w:sz w:val="14"/>
                <w:szCs w:val="14"/>
                <w:b w:val="1"/>
                <w:bCs w:val="1"/>
                <w:color w:val="auto"/>
              </w:rPr>
              <w:t>Effective Dates</w:t>
            </w:r>
          </w:p>
        </w:tc>
        <w:tc>
          <w:tcPr>
            <w:tcW w:w="220" w:type="dxa"/>
            <w:vAlign w:val="bottom"/>
          </w:tcPr>
          <w:p>
            <w:pPr>
              <w:spacing w:after="0"/>
              <w:rPr>
                <w:sz w:val="16"/>
                <w:szCs w:val="16"/>
                <w:color w:val="auto"/>
              </w:rPr>
            </w:pPr>
          </w:p>
        </w:tc>
        <w:tc>
          <w:tcPr>
            <w:tcW w:w="2220" w:type="dxa"/>
            <w:vAlign w:val="bottom"/>
          </w:tcPr>
          <w:p>
            <w:pPr>
              <w:jc w:val="right"/>
              <w:ind w:right="949"/>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38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Fixed Rate</w:t>
            </w:r>
          </w:p>
        </w:tc>
      </w:tr>
      <w:tr>
        <w:trPr>
          <w:trHeight w:val="32"/>
        </w:trPr>
        <w:tc>
          <w:tcPr>
            <w:tcW w:w="7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1"/>
        </w:trPr>
        <w:tc>
          <w:tcPr>
            <w:tcW w:w="7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 in thousands)</w:t>
            </w:r>
          </w:p>
        </w:tc>
        <w:tc>
          <w:tcPr>
            <w:tcW w:w="1380" w:type="dxa"/>
            <w:vAlign w:val="bottom"/>
          </w:tcPr>
          <w:p>
            <w:pPr>
              <w:spacing w:after="0"/>
              <w:rPr>
                <w:sz w:val="15"/>
                <w:szCs w:val="15"/>
                <w:color w:val="auto"/>
              </w:rPr>
            </w:pP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4"/>
                <w:szCs w:val="14"/>
                <w:color w:val="auto"/>
              </w:rPr>
              <w:t>December 5, 2023 through December 22, 2025</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222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rPr>
              <w:t>125,000</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1.90 %</w:t>
            </w:r>
          </w:p>
        </w:tc>
      </w:tr>
    </w:tbl>
    <w:p>
      <w:pPr>
        <w:spacing w:after="0" w:line="262"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Under the terms of the interest rate swap agreement, the Company receives payments based on the greater of 1-month SOFR rate, as amended in February 2023, or a minimum of 1.00%. On February 28, 2023, the Company amended the 2021 Credit Facility to, among other things, transition from bearing interest based on LIBOR to SOFR or the Alternate Base Rate (as defined in the 2021 Credit Facility), at the election of the Company, plus an applicable margin. The existing swap converted to SOFR from LIBOR at the same time as the 2021 Credit Facility.</w:t>
      </w:r>
    </w:p>
    <w:p>
      <w:pPr>
        <w:spacing w:after="0" w:line="136"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The Company has designated the interest rate swap as a cash flow hedge for accounting purposes that was determined to be effective. The Company determined the fair value of the interest rate swap to be zero at the inception of the agreement and $2.8 million at September 30, 2024. The Company reflects the realized gains and losses of the actual monthly settlement activity of the interest rate swap in its consolidated statements of operations. The Company reflects the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45" w:name="page46"/>
    <w:bookmarkEnd w:id="45"/>
    <w:p>
      <w:pPr>
        <w:ind w:right="480"/>
        <w:spacing w:after="0" w:line="287" w:lineRule="auto"/>
        <w:rPr>
          <w:sz w:val="20"/>
          <w:szCs w:val="20"/>
          <w:color w:val="auto"/>
        </w:rPr>
      </w:pPr>
      <w:r>
        <w:rPr>
          <w:rFonts w:ascii="Times New Roman" w:cs="Times New Roman" w:eastAsia="Times New Roman" w:hAnsi="Times New Roman"/>
          <w:sz w:val="14"/>
          <w:szCs w:val="14"/>
          <w:color w:val="auto"/>
        </w:rPr>
        <w:t>unrealized changes in fair value of the interest rate swap at each reporting period in other comprehensive income and a derivative asset or liability is recognized at each reporting period in the Company’s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We designed our disclosure controls and procedures, as such term is defined in Rules 13a-15(e) and 15d-15(e) under the Exchange Act to provide reasonable assurance that information required to be disclosed by us in reports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disclosures.</w:t>
      </w:r>
    </w:p>
    <w:p>
      <w:pPr>
        <w:spacing w:after="0" w:line="15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Under the supervision of and with the participation of our management, including our principal executive officer and principal financial officer, we conducted an evaluation of our disclosure controls and procedures as of September 30, 2024. Based on this evaluation, our principal executive officer and our principal financial officer concluded that our disclosure controls and procedures as of September 30, 2024 were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spacing w:after="0" w:line="16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20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As of November 06, 2024, the Company was not a party to, nor were any of its properties the subject of, any material pending legal proceedings, other than ordinary routine claims incidental to the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Summary of Risk Factors</w:t>
      </w:r>
    </w:p>
    <w:p>
      <w:pPr>
        <w:spacing w:after="0" w:line="20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i w:val="1"/>
          <w:iCs w:val="1"/>
          <w:color w:val="auto"/>
        </w:rPr>
        <w:t>An investment in our securities involves substantial risk. The occurrence of one or more of the events or circumstances described in the section entitled “Risk Factors,”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spacing w:after="0" w:line="177" w:lineRule="exact"/>
        <w:rPr>
          <w:sz w:val="20"/>
          <w:szCs w:val="20"/>
          <w:color w:val="auto"/>
        </w:rPr>
      </w:pPr>
    </w:p>
    <w:p>
      <w:pPr>
        <w:ind w:left="260" w:hanging="255"/>
        <w:spacing w:after="0"/>
        <w:tabs>
          <w:tab w:leader="none" w:pos="260" w:val="left"/>
        </w:tabs>
        <w:numPr>
          <w:ilvl w:val="0"/>
          <w:numId w:val="10"/>
        </w:numPr>
        <w:rPr>
          <w:rFonts w:ascii="Arial" w:cs="Arial" w:eastAsia="Arial" w:hAnsi="Arial"/>
          <w:sz w:val="17"/>
          <w:szCs w:val="17"/>
          <w:color w:val="auto"/>
        </w:rPr>
      </w:pPr>
      <w:r>
        <w:rPr>
          <w:rFonts w:ascii="Times New Roman" w:cs="Times New Roman" w:eastAsia="Times New Roman" w:hAnsi="Times New Roman"/>
          <w:sz w:val="14"/>
          <w:szCs w:val="14"/>
          <w:color w:val="auto"/>
        </w:rPr>
        <w:t>Risks Related to our Business</w:t>
      </w:r>
    </w:p>
    <w:p>
      <w:pPr>
        <w:spacing w:after="0" w:line="1" w:lineRule="exact"/>
        <w:rPr>
          <w:rFonts w:ascii="Arial" w:cs="Arial" w:eastAsia="Arial" w:hAnsi="Arial"/>
          <w:sz w:val="17"/>
          <w:szCs w:val="17"/>
          <w:color w:val="auto"/>
        </w:rPr>
      </w:pPr>
    </w:p>
    <w:p>
      <w:pPr>
        <w:ind w:left="640" w:hanging="253"/>
        <w:spacing w:after="0"/>
        <w:tabs>
          <w:tab w:leader="none" w:pos="6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Rapidly evolving domestic and global economic conditions are beyond our control and could materially adversely affect our business, operations, and results of operations.</w:t>
      </w:r>
    </w:p>
    <w:p>
      <w:pPr>
        <w:spacing w:after="0" w:line="7" w:lineRule="exact"/>
        <w:rPr>
          <w:rFonts w:ascii="Times New Roman" w:cs="Times New Roman" w:eastAsia="Times New Roman" w:hAnsi="Times New Roman"/>
          <w:sz w:val="14"/>
          <w:szCs w:val="14"/>
          <w:color w:val="auto"/>
        </w:rPr>
      </w:pPr>
    </w:p>
    <w:p>
      <w:pPr>
        <w:ind w:left="620" w:hanging="233"/>
        <w:spacing w:after="0"/>
        <w:tabs>
          <w:tab w:leader="none" w:pos="62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sustain our revenue growth rate in the future.</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retain existing customers or identify and attract new customers could adversely affect our business, financial condition and results of operations.</w:t>
      </w:r>
    </w:p>
    <w:p>
      <w:pPr>
        <w:spacing w:after="0" w:line="8" w:lineRule="exact"/>
        <w:rPr>
          <w:rFonts w:ascii="Times New Roman" w:cs="Times New Roman" w:eastAsia="Times New Roman" w:hAnsi="Times New Roman"/>
          <w:sz w:val="14"/>
          <w:szCs w:val="14"/>
          <w:color w:val="auto"/>
        </w:rPr>
      </w:pPr>
    </w:p>
    <w:p>
      <w:pPr>
        <w:ind w:left="640" w:right="220" w:hanging="253"/>
        <w:spacing w:after="0" w:line="253" w:lineRule="auto"/>
        <w:tabs>
          <w:tab w:leader="none" w:pos="637"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and security breaches could compromise our systems and confidential information, cause reputational and financial damage, and increase risks of litigation, which could adversely affect our business, financial condition and results of operations.</w:t>
      </w:r>
    </w:p>
    <w:p>
      <w:pPr>
        <w:ind w:left="640" w:hanging="253"/>
        <w:spacing w:after="0"/>
        <w:tabs>
          <w:tab w:leader="none" w:pos="6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System outages, data loss or other interruptions affecting our operations could adversely affect our business and reputation.</w:t>
      </w:r>
    </w:p>
    <w:p>
      <w:pPr>
        <w:spacing w:after="0" w:line="8" w:lineRule="exact"/>
        <w:rPr>
          <w:rFonts w:ascii="Times New Roman" w:cs="Times New Roman" w:eastAsia="Times New Roman" w:hAnsi="Times New Roman"/>
          <w:sz w:val="14"/>
          <w:szCs w:val="14"/>
          <w:color w:val="auto"/>
        </w:rPr>
      </w:pPr>
    </w:p>
    <w:p>
      <w:pPr>
        <w:ind w:left="640" w:right="100" w:hanging="253"/>
        <w:spacing w:after="0" w:line="253" w:lineRule="auto"/>
        <w:tabs>
          <w:tab w:leader="none" w:pos="637"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at our primary production facility (including a disruption resulting from a global, national or local public health crisis) may adversely affect our business, results of operations and/or financial condition.</w:t>
      </w:r>
    </w:p>
    <w:p>
      <w:pPr>
        <w:ind w:left="640" w:hanging="253"/>
        <w:spacing w:after="0"/>
        <w:tabs>
          <w:tab w:leader="none" w:pos="6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recruit, retain and develop qualified personnel, including for areas of newer specialized technology which could adversely affect our ability to grow our business.</w:t>
      </w:r>
    </w:p>
    <w:p>
      <w:pPr>
        <w:spacing w:after="0" w:line="8" w:lineRule="exact"/>
        <w:rPr>
          <w:rFonts w:ascii="Times New Roman" w:cs="Times New Roman" w:eastAsia="Times New Roman" w:hAnsi="Times New Roman"/>
          <w:sz w:val="14"/>
          <w:szCs w:val="14"/>
          <w:color w:val="auto"/>
        </w:rPr>
      </w:pPr>
    </w:p>
    <w:p>
      <w:pPr>
        <w:ind w:left="640" w:right="320" w:hanging="253"/>
        <w:spacing w:after="0" w:line="253" w:lineRule="auto"/>
        <w:tabs>
          <w:tab w:leader="none" w:pos="637"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growth may depend upon our ability to develop, introduce, manufacture and commercialize new products, which can be a lengthy and complex process. If we are unable to introduce new products and services in a timely manner, our business could be materially adversely affected.</w:t>
      </w:r>
    </w:p>
    <w:p>
      <w:pPr>
        <w:ind w:left="640" w:hanging="253"/>
        <w:spacing w:after="0"/>
        <w:tabs>
          <w:tab w:leader="none" w:pos="6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disruption in our operations or supply chain or the performance of our suppliers and/or development partners could adversely affect our business and financial results.</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limited experience in the digital assets industry and may not succeed in fully commercializing the products and solutions derived from the Arculus platform.</w:t>
      </w:r>
    </w:p>
    <w:p>
      <w:pPr>
        <w:spacing w:after="0" w:line="8" w:lineRule="exact"/>
        <w:rPr>
          <w:rFonts w:ascii="Times New Roman" w:cs="Times New Roman" w:eastAsia="Times New Roman" w:hAnsi="Times New Roman"/>
          <w:sz w:val="14"/>
          <w:szCs w:val="14"/>
          <w:color w:val="auto"/>
        </w:rPr>
      </w:pPr>
    </w:p>
    <w:p>
      <w:pPr>
        <w:ind w:left="640" w:right="240" w:hanging="253"/>
        <w:spacing w:after="0" w:line="253" w:lineRule="auto"/>
        <w:tabs>
          <w:tab w:leader="none" w:pos="637"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Digital asset wallet storage systems, such as the Arculus Cold Storage Wallet, are subject to risks related to a loss of funds due to theft of digital assets, security and cybersecurity risks, system failures and other operational issues, which could cause damage to our reputation and brand.</w:t>
      </w:r>
    </w:p>
    <w:p>
      <w:pPr>
        <w:ind w:left="640" w:hanging="253"/>
        <w:spacing w:after="0"/>
        <w:tabs>
          <w:tab w:leader="none" w:pos="6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changes or actions may restrict the use of the Arculus Cold Storage Wallet or digital assets in a manner that adversely affects our business, prospects or operations.</w:t>
      </w:r>
    </w:p>
    <w:p>
      <w:pPr>
        <w:spacing w:after="0" w:line="8" w:lineRule="exact"/>
        <w:rPr>
          <w:rFonts w:ascii="Times New Roman" w:cs="Times New Roman" w:eastAsia="Times New Roman" w:hAnsi="Times New Roman"/>
          <w:sz w:val="14"/>
          <w:szCs w:val="14"/>
          <w:color w:val="auto"/>
        </w:rPr>
      </w:pPr>
    </w:p>
    <w:p>
      <w:pPr>
        <w:ind w:left="640" w:right="380" w:hanging="253"/>
        <w:spacing w:after="0" w:line="253" w:lineRule="auto"/>
        <w:tabs>
          <w:tab w:leader="none" w:pos="637"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markets, including the market for authentication solutions, are rapidly evolving to address increasing and challenging cyber threats, including identity theft, and our Arculus Authenticate solutions may not achieve widespread market acceptance. In addition, there is a risk that the Arculus Authenticate solutions may not provide protection against all or a sufficient amount of the ever-changing security vulnerabilities, exploits or cyber attacks.</w:t>
      </w:r>
    </w:p>
    <w:p>
      <w:pPr>
        <w:ind w:left="640" w:hanging="253"/>
        <w:spacing w:after="0"/>
        <w:tabs>
          <w:tab w:leader="none" w:pos="6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dependent on certain distribution partners for distribution of our products and services. A loss of distribution partners could adversely affect our business.</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competition that may result in a loss of our market share and/or a decline in profitability.</w:t>
      </w:r>
    </w:p>
    <w:p>
      <w:pPr>
        <w:spacing w:after="0" w:line="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Indebtedness</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substantial amount of indebtedness, which may limit our operating flexibility and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47" w:name="page48"/>
    <w:bookmarkEnd w:id="47"/>
    <w:p>
      <w:pPr>
        <w:ind w:left="640" w:hanging="253"/>
        <w:spacing w:after="0" w:line="263" w:lineRule="auto"/>
        <w:tabs>
          <w:tab w:leader="none" w:pos="637"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required to repurchase an amount of exchangeable notes in excess of our cash on hand, we would be required to access funds available through our revolving credit facility, which would result in an increase in our outstanding indebtedness.</w:t>
      </w:r>
    </w:p>
    <w:p>
      <w:pPr>
        <w:ind w:left="640" w:right="280" w:hanging="253"/>
        <w:spacing w:after="0" w:line="253" w:lineRule="auto"/>
        <w:tabs>
          <w:tab w:leader="none" w:pos="637"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occurrence of an event of default relating to the Company's credit facility, the lenders could elect to accelerate payments due and terminate all commitments to extend further credit.</w:t>
      </w:r>
    </w:p>
    <w:p>
      <w:pPr>
        <w:ind w:left="640" w:right="20" w:hanging="253"/>
        <w:spacing w:after="0" w:line="253" w:lineRule="auto"/>
        <w:tabs>
          <w:tab w:leader="none" w:pos="637"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debt outstanding under the Company's existing credit facility has a variable rate of interest that is currently based on the Secured Overnight Financing Rate (“SOFR”). These rates may have consequences that cannot be reasonably predicted and may increase the Company's cost of borrowing in the future.</w:t>
      </w:r>
    </w:p>
    <w:p>
      <w:pPr>
        <w:ind w:left="260" w:hanging="255"/>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Ownership of our Securities</w:t>
      </w:r>
    </w:p>
    <w:p>
      <w:pPr>
        <w:spacing w:after="0" w:line="8" w:lineRule="exact"/>
        <w:rPr>
          <w:rFonts w:ascii="Times New Roman" w:cs="Times New Roman" w:eastAsia="Times New Roman" w:hAnsi="Times New Roman"/>
          <w:sz w:val="14"/>
          <w:szCs w:val="14"/>
          <w:color w:val="auto"/>
        </w:rPr>
      </w:pPr>
    </w:p>
    <w:p>
      <w:pPr>
        <w:ind w:left="640" w:right="40" w:hanging="253"/>
        <w:spacing w:after="0" w:line="253" w:lineRule="auto"/>
        <w:tabs>
          <w:tab w:leader="none" w:pos="637"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only significant asset is our ownership of CompoSecure Holdings, L.L.C. ("Holdings"). If the business of Holdings is not profitably operated, our subsidiaries may be unable to pay us dividends or make distributions to enable us to pay any dividends on our common stock or satisfy our other financial obligations.</w:t>
      </w:r>
    </w:p>
    <w:p>
      <w:pPr>
        <w:ind w:left="640" w:right="480" w:hanging="253"/>
        <w:spacing w:after="0" w:line="253" w:lineRule="auto"/>
        <w:tabs>
          <w:tab w:leader="none" w:pos="637"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in our charter and Delaware law may inhibit a takeover of us, which could limit the price investors might be willing to pay in the future for our common stock and could entrench management.</w:t>
      </w:r>
    </w:p>
    <w:p>
      <w:pPr>
        <w:ind w:left="640" w:right="40" w:hanging="253"/>
        <w:spacing w:after="0" w:line="253" w:lineRule="auto"/>
        <w:tabs>
          <w:tab w:leader="none" w:pos="637"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an “emerging growth company,” we cannot be certain if the reduced disclosure requirements applicable to “emerging growth companies” will make our common stock less attractive to investors.</w:t>
      </w:r>
    </w:p>
    <w:p>
      <w:pPr>
        <w:ind w:left="640" w:hanging="253"/>
        <w:spacing w:after="0"/>
        <w:tabs>
          <w:tab w:leader="none" w:pos="6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performance does not meet market expectations, the price of our securities may decline.</w:t>
      </w:r>
    </w:p>
    <w:p>
      <w:pPr>
        <w:spacing w:after="0" w:line="8"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Warrants may not remain the money, and they may expire.</w:t>
      </w:r>
    </w:p>
    <w:p>
      <w:pPr>
        <w:spacing w:after="0" w:line="183"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4"/>
          <w:szCs w:val="14"/>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w:t>
      </w:r>
    </w:p>
    <w:p>
      <w:pPr>
        <w:spacing w:after="0" w:line="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i w:val="1"/>
          <w:iCs w:val="1"/>
          <w:color w:val="auto"/>
        </w:rPr>
        <w:t>of operations. As a result, the market price of our securities could decline, and you could lose all or part of your investment. Additionally, the risks and uncertainties described in this report, or in any document incorporated by reference herein, are not the only risks and uncertainties that we face. Additional risks and uncertainties not presently known to us or that we currently believe to be immaterial may become material and adversely affect our business.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Rapidly evolving domestic and global economic conditions are beyond our control and could materially adversely affect our business, operations, and results of operations.</w:t>
      </w:r>
    </w:p>
    <w:p>
      <w:pPr>
        <w:spacing w:after="0" w:line="191"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4"/>
          <w:szCs w:val="14"/>
          <w:color w:val="auto"/>
        </w:rPr>
        <w:t>U.S. and international markets and, in particular, the rapidly evolving digital assets industry, are experiencing uncertain and volatile economic conditions, including from the impacts of Russian aggression in Ukraine, the ongoing conflict in Israel, Gaza and the surrounding areas, inflation, threats or concerns of recession, a global, national or local public health crisis (such as the COVID-19 pandemic), and/or supply chain disruptions. These conditions make it extremely difficult for us and our suppliers to accurately forecast and plan future business activities. Additionally, a significant downturn in the domestic or global economy may cause our existing customers to pause or delay orders and prospective customers to defer new projects. Together, these circumstances create an environment in which it is challenging for us to predict future operating results, particularly for our new Arculus business. If these uncertain business, macroeconomic or political conditions continue or further decline, our business, financial condition and results of operations could be materially adversely affected.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sustain our revenue growth rate in the future.</w:t>
      </w:r>
    </w:p>
    <w:p>
      <w:pPr>
        <w:spacing w:after="0" w:line="202"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We may not continue to achieve sales growth in the future and you should not consider our recent sales growth as indicative of future performance. It is also possible that our growth rate may slow in future periods due to a number of factors, which may include slowing demand for our products, increased competition, decreasing growth of our overall market, or inability to engage and retain customers. If we are unable to maintain consistent sales or continue our sales growth, it may be difficult for us to maintain profitability.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retain existing customers or identify and attract new customers could adversely affect our business, financial condition and results of operations.</w:t>
      </w:r>
    </w:p>
    <w:p>
      <w:pPr>
        <w:spacing w:after="0" w:line="202"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Our two largest customers are American Express and JPMorgan Chase. Together, these customers represented approximately 71% and 67% of our net sales for the years ended December 31, 2023 and 2022. Our ability to meet our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8" w:name="page49"/>
    <w:bookmarkEnd w:id="48"/>
    <w:p>
      <w:pPr>
        <w:ind w:right="280"/>
        <w:spacing w:after="0" w:line="287" w:lineRule="auto"/>
        <w:rPr>
          <w:sz w:val="20"/>
          <w:szCs w:val="20"/>
          <w:color w:val="auto"/>
        </w:rPr>
      </w:pPr>
      <w:r>
        <w:rPr>
          <w:rFonts w:ascii="Times New Roman" w:cs="Times New Roman" w:eastAsia="Times New Roman" w:hAnsi="Times New Roman"/>
          <w:sz w:val="14"/>
          <w:szCs w:val="14"/>
          <w:color w:val="auto"/>
        </w:rPr>
        <w:t>customers’ high-quality standards in a timely manner is critical to our business success. If we are unable to provide our products and services at high quality and in a timely manner, our customer relationships may be adversely affected, which could result in the loss of customers.</w:t>
      </w:r>
    </w:p>
    <w:p>
      <w:pPr>
        <w:spacing w:after="0" w:line="135" w:lineRule="exact"/>
        <w:rPr>
          <w:sz w:val="20"/>
          <w:szCs w:val="20"/>
          <w:color w:val="auto"/>
        </w:rPr>
      </w:pPr>
    </w:p>
    <w:p>
      <w:pPr>
        <w:ind w:right="160" w:firstLine="509"/>
        <w:spacing w:after="0" w:line="244" w:lineRule="auto"/>
        <w:rPr>
          <w:sz w:val="20"/>
          <w:szCs w:val="20"/>
          <w:color w:val="auto"/>
        </w:rPr>
      </w:pPr>
      <w:r>
        <w:rPr>
          <w:rFonts w:ascii="Times New Roman" w:cs="Times New Roman" w:eastAsia="Times New Roman" w:hAnsi="Times New Roman"/>
          <w:sz w:val="14"/>
          <w:szCs w:val="14"/>
          <w:color w:val="auto"/>
        </w:rPr>
        <w:t>Our ability to maintain relationships with our customers or attract new customers may be impacted by several factors beyond our control, including more attractive product offerings from our competitors, widespread industry disruptions (such as market disruptions in the digital assets industry, as well as potential adoption or enactment of new regulatory rules or legislation, new regulatory enforcement outcomes and new case law developments), pricing pressures or the financial health of these customers, many of whom operate in competitive businesses and depend on favorable macroeconomic conditions. In addition, we may also be limited in the products we can offer and the pricing we can receive for such products due to restrictions present in certain of our customer contracts, which may negatively impact our ability to retain existing customers or attract new customers. If we experience difficulty retaining customers and attracting new customers, our business, financial condition and results of operations may be materially and adversely affected.</w:t>
      </w:r>
    </w:p>
    <w:p>
      <w:pPr>
        <w:spacing w:after="0" w:line="172"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Data and security breaches could compromise our systems and confidential information, cause reputational and financial damage, and increase risks of litigation, which could adversely affect our business, financial condition and results of operations.</w:t>
      </w:r>
    </w:p>
    <w:p>
      <w:pPr>
        <w:spacing w:after="0" w:line="143"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Our information technology (“IT”) infrastructure’s ability to reliably and securely protect the sensitive confidential information of our customers, which include large financial institutions, is critical to our business. Security breaches have become more common across many industries. Cyber incidents have been increasing in sophistication and can include third parties gaining access to employee or customer data using stolen or inferred credentials, computer malware, viruses, spamming, phishing attacks, ransomware, card skimming code, and other deliberate attacks and attempts to gain unauthorized access. The occurrence of these types of incidents in our computer networks, databases or facilities could lead to the inappropriate use or disclosure of personal information, including sensitive personal information of customers and employees, which could harm our business and reputation, adversely affect consumers’ confidence in our business and products, result in inquiries and fines or penalties from regulatory or governmental authorities, cause a loss of customers, pose increased risks of lawsuits and subject us to potential financial losses.</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Additionally, it is possible that unauthorized access to sensitive customer and business data may be obtained through inadequate use of security controls by our customers, suppliers or other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vendors.</w:t>
      </w:r>
    </w:p>
    <w:p>
      <w:pPr>
        <w:spacing w:after="0" w:line="18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4"/>
          <w:szCs w:val="14"/>
          <w:color w:val="auto"/>
        </w:rPr>
        <w:t>We have administrative, technical, and physical security measures in place, and we have implemented policies and procedures to both evaluate the security protocols and practices of our vendors and to contractually require service providers to whom we disclose data to implement and maintain reasonable privacy and security measures. However, although cybersecurity remains a high priority, our activities and investment may not sufficiently protect our system or network against cyber threats, nor sufficiently prevent or limit the damage from any future security breaches. As these threats continue to evolve, we may be required to expend significant capital and other resources to protect against these security breaches or to alleviate problems caused by these breaches, including costs to deploy additional personnel and protection technologies, train employees, and engage third-party experts and consultants, which could materially and adversely affect our business, financial condition and results of operations. Although we maintain cyber liability insurance, we cannot be certain that our coverage will be adequate for liabilities actually incurred or that insurance will continue to be available to us on economically reasonable terms, or at all. Furthermore, any material breach of our security systems could harm our competitive position, result in a loss of customer trust and confidence, and cause us to incur significant costs to mitigate or remedy any damage resulting from system or network disruptions, whether caused by cyberattacks, security breaches or otherwise, which could ultimately adversely affect our business, financial condition and results of operations.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System outages, data loss or other interruptions affecting our operations could adversely affect our business and reputation.</w:t>
      </w:r>
    </w:p>
    <w:p>
      <w:pPr>
        <w:spacing w:after="0" w:line="18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4"/>
          <w:szCs w:val="14"/>
          <w:color w:val="auto"/>
        </w:rPr>
        <w:t>The ability to efficiently execute and operate business functions and systems without interruption is critical to our business. A significant portion of the communication between our employees, customers, and suppliers rely upon our integrated and complex IT systems. We depend on the reliability of our IT infrastructure and software, and our ability to expand and innovate our technologies and technological processes in response to changing needs. A system outage or data loss or interruption could cause damage to our brand and reputation. Such operational interruptions could also cause us to become liable to third parties, including our customers. We must be able to protect our processing and other systems from interruption to successfully operate our business. In an effort to do so, we have taken preventative actions and adopted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9" w:name="page50"/>
    <w:bookmarkEnd w:id="49"/>
    <w:p>
      <w:pPr>
        <w:ind w:right="240"/>
        <w:spacing w:after="0" w:line="270" w:lineRule="auto"/>
        <w:rPr>
          <w:sz w:val="20"/>
          <w:szCs w:val="20"/>
          <w:color w:val="auto"/>
        </w:rPr>
      </w:pPr>
      <w:r>
        <w:rPr>
          <w:rFonts w:ascii="Times New Roman" w:cs="Times New Roman" w:eastAsia="Times New Roman" w:hAnsi="Times New Roman"/>
          <w:sz w:val="14"/>
          <w:szCs w:val="14"/>
          <w:color w:val="auto"/>
        </w:rPr>
        <w:t>protective procedures to ensure the continuation of core business operations in the event that normal operations could not be performed because of events outside of our control. These actions and procedures taken and adopted by us may, however, not be sufficient to prevent or limit the damage from future disruptions, if any, and any such disruptions could adversely affect our business,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Disruptions at our primary production facility may adversely affect our business, results of operations and/or financial condition.</w:t>
      </w:r>
    </w:p>
    <w:p>
      <w:pPr>
        <w:spacing w:after="0" w:line="202"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A substantial portion of our manufacturing capacity is located at our primary production facilities in New Jersey. Any serious disruption at such facilities (including a disruption resulting from a global, national or local public health crisis) could impair our ability to manufacture enough products to meet customer demand, and could increase our costs and expenses and adversely affect our revenues. Long-term production disruptions may cause our customers to modify their payment card programs to use plastic cards or to seek alternative supply of metal cards. Any such production disruptions could adversely impact our business, financial condition and results of operations.</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Our products and our technological processes are highly complex, require specialized equipment to manufacture and are subject to strict tolerances and requirements. We have experienced in the past, and may experience in the future, production disruptions due to machinery or technology failures, or as a result of external factors such as delays or quality control issues regarding materials provided by our suppliers. Utilities interruption or other factors beyond our control like natural disasters may also cause production disruptions. Such disruptions can reduce product yields and product quality, or interrupt or halt production altogether. As a result, we may be required to deliver products at a lower quality level in a less timely or cost-effective manner, rework or replace products, or may not be able to deliver products at all. Any such event could adversely affect our business, financial condition and results of operations.</w:t>
      </w:r>
    </w:p>
    <w:p>
      <w:pPr>
        <w:spacing w:after="0" w:line="162"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future growth may depend upon our ability to develop, introduce, manufacture and commercialize new products, which can be a lengthy and complex process. If we are unable to introduce new products and services in a timely manner, our business could be materially adversely affected.</w:t>
      </w:r>
    </w:p>
    <w:p>
      <w:pPr>
        <w:spacing w:after="0" w:line="133" w:lineRule="exact"/>
        <w:rPr>
          <w:sz w:val="20"/>
          <w:szCs w:val="20"/>
          <w:color w:val="auto"/>
        </w:rPr>
      </w:pPr>
    </w:p>
    <w:p>
      <w:pPr>
        <w:ind w:right="40" w:firstLine="509"/>
        <w:spacing w:after="0" w:line="239" w:lineRule="auto"/>
        <w:rPr>
          <w:sz w:val="20"/>
          <w:szCs w:val="20"/>
          <w:color w:val="auto"/>
        </w:rPr>
      </w:pPr>
      <w:r>
        <w:rPr>
          <w:rFonts w:ascii="Times New Roman" w:cs="Times New Roman" w:eastAsia="Times New Roman" w:hAnsi="Times New Roman"/>
          <w:sz w:val="14"/>
          <w:szCs w:val="14"/>
          <w:color w:val="auto"/>
        </w:rPr>
        <w:t>The markets for our products and services are subject to technological changes, frequent introductions of new products and services and evolving industry standards. The process for developing innovative or technologically enhanced products can deplete time, money and resources, and requires the ability to accurately forecast technological, market and industry trends. For example, we have historically focused on the payment card industry, but we are a new entrant into the digital assets industry. In order to achieve successful technical execution of new products, we may need to undertake time-consuming and expensive research and development activities, which could negatively impact the servicing of our existing customers. We may also experience difficult market conditions, such as the widespread disruptions in the digital asset industry, that could delay or prevent the successful research and development, marketing launches and consumer deployment of such newly designed products, whereby we could incur significant additional cost and expense. If the products and solutions derived from the Arculus platform fail to gain market acceptance, our ability to achieve future growth could be significantly impaired. In addition, competitors may develop and commercialize competing products faster and more efficiently than we are able to do so, which could further negatively impact our business.</w:t>
      </w:r>
    </w:p>
    <w:p>
      <w:pPr>
        <w:spacing w:after="0" w:line="182"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Our product and service offerings could be rendered obsolete if we are unable to develop and introduce innovative products in a cost-effective and timely manner. In particular, the rise in the adoption of wireless or mobile payment systems may make physical metal cards less attractive as a method of payment, which could result in less demand for these products. Although to date we have not witnessed a material reduction in card-based payments in the United States resulting from the emergence of wireless or mobile payment systems, such payment systems offer consumers an alternative method to make purchases without the need to carry a physical card by relaying on cellular telephones or other technological products to make payments. If these wireless or mobile payment systems are widely adopted, it could result in a reduction of the number of physical payment cards issued to consumers. Moreover, other developing or unforeseen technology solutions and products could render our existing products unpopular, irrelevant or obsolete altogether.</w:t>
      </w:r>
    </w:p>
    <w:p>
      <w:pPr>
        <w:spacing w:after="0" w:line="167"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Our ability to develop and deliver new products and services successfully will depend on various factors, including our ability to: effectively identify and capitalize upon opportunities in new and emerging product markets; invest resources in innovation and research and development; develop and implement new processes for the manufacture or offer of new products or services; complete and introduce new products and integrated services solutions in a timely manner; license any required third-party technology or intellectual property rights; qualify for and obtain required industry certification for our products; and retain and hire talent experienced in developing new products and services.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0" w:name="page51"/>
    <w:bookmarkEnd w:id="50"/>
    <w:p>
      <w:pPr>
        <w:ind w:right="40"/>
        <w:spacing w:after="0" w:line="270" w:lineRule="auto"/>
        <w:rPr>
          <w:sz w:val="20"/>
          <w:szCs w:val="20"/>
          <w:color w:val="auto"/>
        </w:rPr>
      </w:pPr>
      <w:r>
        <w:rPr>
          <w:rFonts w:ascii="Times New Roman" w:cs="Times New Roman" w:eastAsia="Times New Roman" w:hAnsi="Times New Roman"/>
          <w:sz w:val="14"/>
          <w:szCs w:val="14"/>
          <w:color w:val="auto"/>
        </w:rPr>
        <w:t>and growth also depend in part on the success of our strategic relationships with third parties, including technology partners or other technology companies whose products are integrated with our products. Failure of any of these technology companies to maintain, support or secure their technology platforms in general, and our integrations in particular, or errors or defects in their technologies or products, could adversely affect our relationships with customers, damage our brand and reputation, and could adversely affect our business, financial condition and results of operations.</w:t>
      </w:r>
    </w:p>
    <w:p>
      <w:pPr>
        <w:spacing w:after="0" w:line="157" w:lineRule="exact"/>
        <w:rPr>
          <w:sz w:val="20"/>
          <w:szCs w:val="20"/>
          <w:color w:val="auto"/>
        </w:rPr>
      </w:pPr>
    </w:p>
    <w:p>
      <w:pPr>
        <w:jc w:val="both"/>
        <w:ind w:right="120" w:firstLine="509"/>
        <w:spacing w:after="0" w:line="264" w:lineRule="auto"/>
        <w:rPr>
          <w:sz w:val="20"/>
          <w:szCs w:val="20"/>
          <w:color w:val="auto"/>
        </w:rPr>
      </w:pPr>
      <w:r>
        <w:rPr>
          <w:rFonts w:ascii="Times New Roman" w:cs="Times New Roman" w:eastAsia="Times New Roman" w:hAnsi="Times New Roman"/>
          <w:sz w:val="14"/>
          <w:szCs w:val="14"/>
          <w:color w:val="auto"/>
        </w:rPr>
        <w:t>Our ability to enhance our existing products and to develop and introduce innovative new products that continue to meet the needs of our customers may affect our future success. We may experience difficulties that could delay or prevent the successful development, marketing or deployment of these products, or our newly enhanced services may not meet market demands or achieve market traction. Our potential failure to commercialize or gain market acceptance of new products, services and technologies could adversely affect our ability to retain existing customers or attract new ones.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disruption in our operations or supply chain or the performance of our suppliers, liquidity partners and/or development partners could adversely affect our business and financial results.</w:t>
      </w:r>
    </w:p>
    <w:p>
      <w:pPr>
        <w:spacing w:after="0" w:line="20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4"/>
          <w:szCs w:val="14"/>
          <w:color w:val="auto"/>
        </w:rPr>
        <w:t>As a company engaged in manufacturing and distribution, we are subject to the risks inherent in such activities, including disruptions or delays in supply chain or information technology, product quality control, as well as other external factors over which we have no control. Some of the key components used in the manufacture of our products are metals, NFC-enabled and EMV chips, which we source from several key suppliers. We obtain our components from multiple suppliers located in the United States and abroad, on a purchase order basis. Changes in the financial or business condition of our suppliers and/or development partners could subject us to losses or adversely affect our ability to bring products to market. Additionally, the failure of our suppliers and/or development partners to comply with applicable standards, perform as expected, and deliver goods and services in a timely manner in sufficient quantities could adversely affect our customer service levels and overall business. Any increases in the costs of goods and services for our business may also adversely affect our profit margins, particularly if we are unable to achieve higher price increases or otherwise increase cost or operational efficiencies to offset the higher costs.</w:t>
      </w:r>
    </w:p>
    <w:p>
      <w:pPr>
        <w:spacing w:after="0" w:line="168"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Additionally, we partner with third-party partners to offer certain Arculus products and services to our customers. If any of these third parties experiences operational interference or disruptions, fails to perform its obligations and meet our expectations, experiences a cybersecurity incident, fails to comply with applicable regulatory and/or licensing requirements which may evolve over time, or is subject to regulatory enforcement proceedings concerning their operations, the operations of Arculus solutions could be disrupted or otherwise adversely affected.</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Security markets, including the market for authentication solutions, are rapidly evolving to address increasing and challenging cyber threats, including identity theft, and the Company's Arculus Authenticate solutions may not achieve widespread market acceptance. In addition, there is a risk that the Arculus Authenticate solutions may not provide protection against all or a sufficient amount of the ever-changing security vulnerabilities, exploits or cyber attacks.</w:t>
      </w:r>
    </w:p>
    <w:p>
      <w:pPr>
        <w:spacing w:after="0" w:line="15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4"/>
          <w:szCs w:val="14"/>
          <w:color w:val="auto"/>
        </w:rPr>
        <w:t>Cybersecurity markets are experiencing significant and fast-paced technological change, evolving industry standards and customer needs. The Company's Arculus Authenticate solutions represent a new and innovative approach to identity protection, and may not achieve widespread market acceptance. Other methods, technologies, products or services may offer similar or better authentication solutions than our hardware authentication solutions. If the Company is unable to adapt to such changes, our ability to compete effectively may be adversely impacted, which could have a negative effect on our business, financial condition or results of operations. In addition, there is a risk that the Arculus Authenticate solutions may not provide protection against all or a sufficient amount of the ever-changing security vulnerabilities, exploits or cyber attacks. Internal and external factors, including possible defects in the Company’s products, or system failures in services provided by third parties for use with Arculus Authenticate solutions, could cause the Company’s products and/or services to become vulnerable to security attacks which could result in the loss of identity protection for businesses and consumers. As the Arculus Authenticate solutions include hardware tokens which are expected to be replaced from time to time as needed (similar to payment cards), the Company does not intend to provide remote updates or upgrades to its hardware products. There is, therefore, a risk that the Company’s hardware authentication products could become ineffective against evolving cybersecurity threats. Any such developments, real or perceived, may have a negative impact on our reputation, which could have a negative effect upon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1" w:name="page52"/>
    <w:bookmarkEnd w:id="51"/>
    <w:p>
      <w:pPr>
        <w:ind w:right="7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Digital asset storage systems, such as the Arculus Cold Storage Wallet, are subject to potential illegal misuse, risks related to a loss of funds due to theft of digital assets, security and cybersecurity risks, system failures and other operational issues, which could cause damage to our reputation and brand.</w:t>
      </w:r>
    </w:p>
    <w:p>
      <w:pPr>
        <w:spacing w:after="0" w:line="143"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4"/>
          <w:szCs w:val="14"/>
          <w:color w:val="auto"/>
        </w:rPr>
        <w:t>Digital assets have the potential to be used for financial crimes or other illegal activities. Even if we comply with all laws and regulations, we have no ability to ensure that our customers, partners or others to whom we license or sell our products and services comply with all laws and regulations applicable to them and their transactions. Any negative publicity we receive regarding any allegations of unlawful uses of the Arculus Cold Storage Wallet could damage our reputation and such damage could be material and adverse, including to aspects of our business that are unrelated to the Arculus platform. More generally, any negative publicity regarding unlawful uses of digital assets in the marketplace could materially reduce the demand for our products and solutions derived from the Arculus platform.</w:t>
      </w:r>
    </w:p>
    <w:p>
      <w:pPr>
        <w:spacing w:after="0" w:line="16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4"/>
          <w:szCs w:val="14"/>
          <w:color w:val="auto"/>
        </w:rPr>
        <w:t>The Arculus Cold Storage Wallet uses an architecture where the private keys needed to access digital assets are stored outside of the Internet. Through the use of the Arculus Cold Storage Wallet, our three-factor authentication technology may be able to increase the safety of users’ assets during storage, as compared to storing such digital assets in a hot storage wallet, which is constantly connected to the internet. Further, digital assets are controllable only by the possessor of both the unique public and private keys relating to the local or online digital wallet in which they are held, which wallet’s public key or address is reflected in the public network. There is no guarantee that these security measures or any that we may develop in the future will be effective. Notwithstanding the increased security of the Arculus Cold Storage Wallet as compared to a hot storage wallet system, any loss of private keys, or hack or other compromise or failure of, the Arculus Cold Storage Wallet and its security features could materially and adversely affect our customers’ ability to access or sell their digital assets and could cause significant reputational harm to our Arculus Cold Storage Wallet business, which could have a material adverse effect on our business, financial condition and results of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changes or actions may restrict the use of the Arculus Cold Storage Wallet or digital assets in a manner that adversely affects our business, prospects or operations.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Regulatory uncertainty surrounding the digital asset environment, and the regulatory classification of such digital assets</w:t>
      </w:r>
    </w:p>
    <w:p>
      <w:pPr>
        <w:spacing w:after="0" w:line="191"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As digital assets have grown in both popularity and market size, governments around the world have reacted differently to digital assets, with certain governments deeming them illegal and others allowing their use and trade under certain circumstances. Currently, there is no uniformly applicable legal or regulatory regime governing digital assets in most jurisdictions, including the U.S. Certain adverse market events in the digital asset space over the past few years, such as the bankruptcy of FTX and its affiliates, and subsequent litigation and regulatory enforcement actions, have led to increased attention and scrutiny by regulators, legislators and market participants. Governments or regulatory authorities may impose new or additional licensing, registration or other compliance requirements on participants in the digital asset industry. Ongoing and future regulatory actions may impact our ability to develop and offer products involving the use of digital assets, including the Arculus Cold Storage Wallet, or may impose additional costs, which may be material, on us in connection with such products, and such impact may be material and adverse. For example, the Commodities Futures Trading Commission (“CFTC”), in a 2019 letter, made clear its view that digital assets generally are commodities, and as such, even spot trades in digital assets generally are subject to the CFTC’s antifraud authority. Nevertheless, digital assets that are commodities also may be considered to be securities by the Securities and Exchange Commission (“SEC”), or may have been offered or sold in transactions that the SEC deems to be investment contracts and, therefore, securities. In the U.S., regulators, courts and lawmakers alike are grappling with these questions, and the legal landscape remains uncertain.</w:t>
      </w:r>
    </w:p>
    <w:p>
      <w:pPr>
        <w:spacing w:after="0" w:line="17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While certain SEC staff (the "Staff") have stated that bitcoin, the digital asset with the largest market capitalization, (“BTC”), the native digital asset of the bitcoin blockchain, is not a security, there has been no definitive determination by the SEC or a court concerning whether the digital asset with the second largest market capitalization, ether (“ETH”), the native digital asset of the Ethereum blockchain, constitutes a security or was offered or sold pursuant to investment contracts. Additionally, the Staff has asserted that certain other digital assets are securities subject to the SEC's substantive and antifraud authority. Furthermore, derivatives on these digital assets, digital assets that represent certain derivatives, and certain leveraged, financed and margined transactions in digital assets, may be subject to substantive regulation by the CFTC and/or SEC, in addition to certain state and non-U.S. regulators.</w:t>
      </w:r>
    </w:p>
    <w:p>
      <w:pPr>
        <w:spacing w:after="0" w:line="154" w:lineRule="exact"/>
        <w:rPr>
          <w:sz w:val="20"/>
          <w:szCs w:val="20"/>
          <w:color w:val="auto"/>
        </w:rPr>
      </w:pPr>
    </w:p>
    <w:p>
      <w:pPr>
        <w:ind w:right="600" w:firstLine="509"/>
        <w:spacing w:after="0" w:line="271" w:lineRule="auto"/>
        <w:rPr>
          <w:sz w:val="20"/>
          <w:szCs w:val="20"/>
          <w:color w:val="auto"/>
        </w:rPr>
      </w:pPr>
      <w:r>
        <w:rPr>
          <w:rFonts w:ascii="Times New Roman" w:cs="Times New Roman" w:eastAsia="Times New Roman" w:hAnsi="Times New Roman"/>
          <w:sz w:val="14"/>
          <w:szCs w:val="14"/>
          <w:color w:val="auto"/>
        </w:rPr>
        <w:t>While the SEC staff has brought multiple enforcement actions against digital asset projects, including trading platforms that the SEC alleges were operating, among other things, as unregistered exchanges, thus far, such cases have not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52" w:name="page53"/>
    <w:bookmarkEnd w:id="52"/>
    <w:p>
      <w:pPr>
        <w:ind w:right="260"/>
        <w:spacing w:after="0" w:line="248" w:lineRule="auto"/>
        <w:rPr>
          <w:sz w:val="20"/>
          <w:szCs w:val="20"/>
          <w:color w:val="auto"/>
        </w:rPr>
      </w:pPr>
      <w:r>
        <w:rPr>
          <w:rFonts w:ascii="Times New Roman" w:cs="Times New Roman" w:eastAsia="Times New Roman" w:hAnsi="Times New Roman"/>
          <w:sz w:val="14"/>
          <w:szCs w:val="14"/>
          <w:color w:val="auto"/>
        </w:rPr>
        <w:t>resolved the legal uncertainty in the U.S. concerning digital assets. Several of such recent enforcement actions are court cases that remain ongoing, and, to the extent that courts have rendered opinions, for example, in the SEC v. Ripple and SEC v. Terraform Labs/Do Kwon cases, both of which were filed and heard in the Southern District of New York, the applicable opinions, and the reasoning in support of them, have not necessarily been consistent with one another. The SEC’s 2023 settlements with issuers of non-fungible tokens (“NFTs”) could signal the SEC’s interest in regulating the broader NFT market, including NFT trading platforms, to the extent that the SEC determines that certain NFTs are securities.</w:t>
      </w:r>
    </w:p>
    <w:p>
      <w:pPr>
        <w:spacing w:after="0" w:line="162" w:lineRule="exact"/>
        <w:rPr>
          <w:sz w:val="20"/>
          <w:szCs w:val="20"/>
          <w:color w:val="auto"/>
        </w:rPr>
      </w:pPr>
    </w:p>
    <w:p>
      <w:pPr>
        <w:ind w:right="40" w:firstLine="509"/>
        <w:spacing w:after="0"/>
        <w:rPr>
          <w:sz w:val="20"/>
          <w:szCs w:val="20"/>
          <w:color w:val="auto"/>
        </w:rPr>
      </w:pPr>
      <w:r>
        <w:rPr>
          <w:rFonts w:ascii="Times New Roman" w:cs="Times New Roman" w:eastAsia="Times New Roman" w:hAnsi="Times New Roman"/>
          <w:sz w:val="14"/>
          <w:szCs w:val="14"/>
          <w:color w:val="auto"/>
        </w:rPr>
        <w:t>In addition to a continued focus on digital asset issuers and centralized digital asset trading platforms, regulators and private plaintiffs alike have initiated actions against decentralized finance (“DeFi”) projects, including decentralized autonomous organizations (“DAOs”), under various theories of liability. Among other things, DAOs have been characterized by certain plaintiffs as unincorporated associations or general partnerships, with some plaintiffs asserting that liability should be assigned to participants in DAO governance, while others have sought to establish joint and several liability for DAO members generally, including on negligence theories of liability. The CFTC has announced a commitment to pursue DeFi protocols operating unregistered platforms that allow U.S. persons to trade digital asset derivatives and, in 2023, settled charges against three different DeFi platforms for offering, or making available for trading, contracts based on various digital assets, including swaps and other derivatives, without registering with the CFTC.</w:t>
      </w:r>
    </w:p>
    <w:p>
      <w:pPr>
        <w:spacing w:after="0" w:line="169"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4"/>
          <w:szCs w:val="14"/>
          <w:color w:val="auto"/>
        </w:rPr>
        <w:t>The SEC similarly appears focused on DeFi and has brought enforcement actions against DeFi projects in 2024. In addition, in April 2024, Uniswap Labs announced that it was served with a Wells Notice, suggesting that the SEC may bring an enforcement action against it. This is notable because the Uniswap Protocol reportedly is the largest decentralized trading and automated market making protocol on the Ethereum blockchain. In addition to the SEC’s proposed rule change that would expand the definition of “exchange” to potentially include certain DeFi-related activities (see discussion under the heading "Regulatory Risks of Operating as an Unregistered Exchange or as Part of an Unregistered Exchange Mechanism" below), in 2023, SEC staff served as lead drafter of the International Organization of Securities Commissions' (“IOSCO”) proposed recommendations concerning DeFi. The terms “DeFi” and “DAO” may be interpreted broadly to encompass a wide variety of projects, services and participants, and if a regulator or private plaintiff were to claim that Arculus is deemed to have participated in or facilitated DeFi- or DAO-related activities that were in violation of applicable law, there may be significant associated risks, including the potential for joint and several liability.</w:t>
      </w:r>
    </w:p>
    <w:p>
      <w:pPr>
        <w:spacing w:after="0" w:line="17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Recently, the SEC staff has brought enforcement actions against alleged digital assets dealers and brokers. For instance, in March 2024, the SEC announced a cease-and-desist order against ShapeShift AG for allegedly acting as an unregistered dealer. Additionally, in June 2024, the SEC charged Consensys Software Inc. in the Eastern District of New York for, among other things, allegedly operating as an unregistered broker through its MetaMask Staking and MetaMask Swaps services, and the case remains ongoing. While, as discussed elsewhere in these Risk Factors, we do not believe that our activities are of a nature that would constitute acting as an unregistered broker or dealer under U.S. law, the SEC staff appears to be focused on alleged brokers and dealers in the digital assets space.</w:t>
      </w:r>
    </w:p>
    <w:p>
      <w:pPr>
        <w:spacing w:after="0" w:line="164" w:lineRule="exact"/>
        <w:rPr>
          <w:sz w:val="20"/>
          <w:szCs w:val="20"/>
          <w:color w:val="auto"/>
        </w:rPr>
      </w:pPr>
    </w:p>
    <w:p>
      <w:pPr>
        <w:ind w:right="360" w:firstLine="509"/>
        <w:spacing w:after="0" w:line="270" w:lineRule="auto"/>
        <w:rPr>
          <w:sz w:val="20"/>
          <w:szCs w:val="20"/>
          <w:color w:val="auto"/>
        </w:rPr>
      </w:pPr>
      <w:r>
        <w:rPr>
          <w:rFonts w:ascii="Times New Roman" w:cs="Times New Roman" w:eastAsia="Times New Roman" w:hAnsi="Times New Roman"/>
          <w:sz w:val="14"/>
          <w:szCs w:val="14"/>
          <w:color w:val="auto"/>
        </w:rPr>
        <w:t>In addition to the U.S. regulatory questions before the courts, multiple Congressional digital asset-related bills have been published, including some with a focus on digital asset market structure. While multiple bills describe joint oversight by the SEC and CFTC over the digital assets markets and focus on market structure, at this time, it is unclear whether any of these bills ultimately will become law.</w:t>
      </w:r>
    </w:p>
    <w:p>
      <w:pPr>
        <w:spacing w:after="0" w:line="157"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4"/>
          <w:szCs w:val="14"/>
          <w:color w:val="auto"/>
        </w:rPr>
        <w:t>Moreover, given recent geopolitical conflict and instability, certain U.S. legislators and regulators have signaled heightened concerns about national security and the importance of “know your customer” (“KYC”), anti-money laundering (“AML”), counter financing of terrorism (“CFT”) and sanctions checks and compliance, including concerns about potential use by certain terrorist groups of digital assets to fund their operations or evade U.S. sanctions. In addition to the introduction of potential digital asset-focused legislation in Congress aimed at addressing such concerns, regulators have focused on enforcement. In 2022 and 2023, OFAC, sanctioned digital assets market participants alleged to have supported sanctioned countries and/or terrorist operations, and, in 2023, the U.S. Treasury’s FinCEN, pursuant seldom-used powers granted to it under Section 311 of the USA PATRIOT Act, designated an entire class of transactions, namely transactions associated with digital asset mixers, as being of primary money laundering concern. In addition, the U.S. Treasury, the IRS and other agencies also continue to propose new rules and guidance applicable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digital assets,.such as regulations on tax information reporting and withholding obligations. In June 2024, the U.S. Treasury finalized a rule requiring digital assets brokers to report additional</w:t>
      </w:r>
    </w:p>
    <w:p>
      <w:pPr>
        <w:spacing w:after="0" w:line="4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information concerning users’ digital assets sales and trades. While such rule primarily addressed reporting requirements for custodial brokers, the accompanying release stated that the U.S. Treasury and the IRS anticipate issuing additional rules later in the year establishing reporting requirements for non-custodial brokers.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53" w:name="page54"/>
    <w:bookmarkEnd w:id="53"/>
    <w:p>
      <w:pPr>
        <w:ind w:firstLine="509"/>
        <w:spacing w:after="0" w:line="259" w:lineRule="auto"/>
        <w:rPr>
          <w:sz w:val="20"/>
          <w:szCs w:val="20"/>
          <w:color w:val="auto"/>
        </w:rPr>
      </w:pPr>
      <w:r>
        <w:rPr>
          <w:rFonts w:ascii="Times New Roman" w:cs="Times New Roman" w:eastAsia="Times New Roman" w:hAnsi="Times New Roman"/>
          <w:sz w:val="14"/>
          <w:szCs w:val="14"/>
          <w:color w:val="auto"/>
        </w:rPr>
        <w:t>In July 2024, the U.S. Supreme Court overturned established administrative law precedent through three key decisions (collectively, the “Administrative Decisions”). In so ruling, the Court abandoned the requirement that courts defer to regulatory agencies’ interpretations of ambiguous statutory language; overturned regulatory agencies’ ability to impose civil penalties in administrative proceedings and have extended the statute of limitations within which entities may challenge agency actions. The lasting effects of such decisions may vary based on judicial districts and circuits; the SEC and other regulators, including FinCEN, may face increasing legal challenges, delays, and changes to its proposed and existing rules, regulations, policies, decisions and other guidance, including guidance that we may have relied upon. The Administrative Decisions also may lead to an increase in litigation against regulatory agencies, which may create additional legal and regulatory uncertainty and have a negative impact on our business operations.</w:t>
      </w:r>
    </w:p>
    <w:p>
      <w:pPr>
        <w:spacing w:after="0" w:line="16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In sum, these U.S. federal regulators and courts, and various U.S. state and non-U.S. regulators, are still developing their frameworks for regulating digital assets. If we are found to have supported purchase and swap transactions in the Arculus Cold Storage Wallet for digital assets which are subsequently determined to be securities, it is possible that we could be viewed as inadvertently acting as an unlicensed broker-dealer, which could subject us to, among other things, regulatory enforcement actions, censure, monetary fines, restrictions on the conduct of the Arculus business operations and/or rescission/damages claims by customers who use the Arculus Cold Storage Wallet. Our failure to comply with applicable laws or regulations, or the costs associated with defending any action alleging our noncompliance with applicable laws or regulations, could materially and adversely affect us, our business and our results of operations.</w:t>
      </w:r>
    </w:p>
    <w:p>
      <w:pPr>
        <w:spacing w:after="0" w:line="164"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4"/>
          <w:szCs w:val="14"/>
          <w:color w:val="auto"/>
        </w:rPr>
        <w:t>Further, a particular digital asset's status as a “security” or the treatment of digital currency for tax purposes, in any relevant jurisdiction is subject to a high degree of uncertainty and potential inconsistency across regulatory regimes, and if we are unable to properly characterize a digital asset (or a digital asset-related transaction) or assess our tax treatment, we may be subject to regulatory scrutiny, investigations, fines, and other penalties, which may adversely affect our business, operating results, and financial condition.</w:t>
      </w:r>
    </w:p>
    <w:p>
      <w:pPr>
        <w:spacing w:after="0" w:line="146" w:lineRule="exact"/>
        <w:rPr>
          <w:sz w:val="20"/>
          <w:szCs w:val="20"/>
          <w:color w:val="auto"/>
        </w:rPr>
      </w:pPr>
    </w:p>
    <w:p>
      <w:pPr>
        <w:ind w:right="80" w:firstLine="509"/>
        <w:spacing w:after="0" w:line="248" w:lineRule="auto"/>
        <w:rPr>
          <w:sz w:val="20"/>
          <w:szCs w:val="20"/>
          <w:color w:val="auto"/>
        </w:rPr>
      </w:pPr>
      <w:r>
        <w:rPr>
          <w:rFonts w:ascii="Times New Roman" w:cs="Times New Roman" w:eastAsia="Times New Roman" w:hAnsi="Times New Roman"/>
          <w:sz w:val="14"/>
          <w:szCs w:val="14"/>
          <w:color w:val="auto"/>
        </w:rPr>
        <w:t>In order to determine whether a particular digital asset is a security (or whether transactions in such digital assets would constitute an offer or sale of a security), prior to supporting purchase and swap transactions on the Arculus Cold Storage Wallet in such digital asset, we rely upon legal and regulatory analysis of legal counsel with expertise in the digital asset industry. While the methodology we have used, and expect to continue to use, to determine if purchase and swap transactions in a digital asset will be supported in the Arculus Cold Storage Wallet is ultimately a risk-based assessment, it does not preclude legal or regulatory action based on the presence of a security.</w:t>
      </w:r>
    </w:p>
    <w:p>
      <w:pPr>
        <w:spacing w:after="0" w:line="162" w:lineRule="exact"/>
        <w:rPr>
          <w:sz w:val="20"/>
          <w:szCs w:val="20"/>
          <w:color w:val="auto"/>
        </w:rPr>
      </w:pPr>
    </w:p>
    <w:p>
      <w:pPr>
        <w:ind w:right="40" w:firstLine="509"/>
        <w:spacing w:after="0"/>
        <w:rPr>
          <w:sz w:val="20"/>
          <w:szCs w:val="20"/>
          <w:color w:val="auto"/>
        </w:rPr>
      </w:pPr>
      <w:r>
        <w:rPr>
          <w:rFonts w:ascii="Times New Roman" w:cs="Times New Roman" w:eastAsia="Times New Roman" w:hAnsi="Times New Roman"/>
          <w:sz w:val="14"/>
          <w:szCs w:val="14"/>
          <w:color w:val="auto"/>
        </w:rPr>
        <w:t>Because the Arculus Cold Storage Wallet may facilitate purchase and swap transactions in digital assets which could be classified as "securities," our business may be subject to additional risk because such digital assets are subject to heightened scrutiny including under customer protection, anti-money laundering, counter terrorism financing and sanctions regulations. To the extent the Arculus Cold Storage Wallet supports purchase and swap transactions in any digital assets that are deemed to be securities under any of the laws of the U.S. or another jurisdiction , or in a proceeding in a court of law or otherwise, it may have adverse consequences. To counter such risks, we may have to remove Arculus Cold Storage Wallet support for purchase and swap transactions in certain digital assets if and when such digital assets are designated as securities, which could hurt our business. Alternatively, we may be required to partner with third-party registered securities broker/dealers to facilitate securities trading by Arculus customers, and we may be unsuccessful in efforts to establish such a partnership.</w:t>
      </w:r>
    </w:p>
    <w:p>
      <w:pPr>
        <w:spacing w:after="0" w:line="169" w:lineRule="exact"/>
        <w:rPr>
          <w:sz w:val="20"/>
          <w:szCs w:val="20"/>
          <w:color w:val="auto"/>
        </w:rPr>
      </w:pPr>
    </w:p>
    <w:p>
      <w:pPr>
        <w:ind w:right="100" w:firstLine="509"/>
        <w:spacing w:after="0" w:line="241" w:lineRule="auto"/>
        <w:rPr>
          <w:sz w:val="20"/>
          <w:szCs w:val="20"/>
          <w:color w:val="auto"/>
        </w:rPr>
      </w:pPr>
      <w:r>
        <w:rPr>
          <w:rFonts w:ascii="Times New Roman" w:cs="Times New Roman" w:eastAsia="Times New Roman" w:hAnsi="Times New Roman"/>
          <w:sz w:val="14"/>
          <w:szCs w:val="14"/>
          <w:color w:val="auto"/>
        </w:rPr>
        <w:t>In addition, we do not presently intend to effect or otherwise facilitate trading in securities by our Arculus customers through the use of our Arculus Cold Storage Wallet if such activities would require the use of a registered broker-dealer or investment adviser. Although we are establishing policies and procedures to ensure that our Arculus business activities do not result in us inadvertently acting as an unregistered broker-dealer or investment adviser, there can be no assurance that such policies and procedures will be effective. If we are found by relevant regulatory agencies to have inadvertently acted as an unregistered broker-dealer with respect to purchase and swap transactions in particular digital assets, we would expect to immediately cease supporting purchase and swap transactions in those digital assets unless and until either the digital asset at issue is determined by the SEC or a judicial ruling to not be a security or we partner with a third-party registered broker-dealer or investment adviser, acquire a registered broker-dealer or investment adviser or register the Company as a securities broker-dealer or investment adviser, any of which we may elect not to do or may not be successful in doing. For any period of time during which we are found to have inadvertently acted as an unregistered broker-dealer or investment adviser, we could be subject to, among other things, regulatory enforcement actions, monetary fines, censure, restrictions on the conduct of our Arculus business operations and/or rescission/damages claims by customers who use the Arculus Cold Storage Wallet. Our failure to comply with applicable laws or regulations, or the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color w:val="auto"/>
        </w:rPr>
        <w:t>associated with defending any action alleging our noncompliance with applicable laws or regulations, could materially and adversely affect us, our business and our results of operations.</w:t>
      </w:r>
    </w:p>
    <w:p>
      <w:pPr>
        <w:spacing w:after="0" w:line="200"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We do not believe the storage and peer-to-peer/send &amp; receive functionality provided by the Arculus Cold Storage Wallet involves purchases, sales or other transactions effected by us (or any party other than the sender and the recipient). Further, we are not compensated for such user-directed activities. However, it is possible that regulators may determine that user-directed peer-to-peer transfers using the Arculus Cold Storage Wallet would require registration and compliance with broker-dealer and/or securities exchange regulations.</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Regulatory Risks of Operating as an Unregistered Exchange or as Part of an Unregistered Exchange Mechanism</w:t>
      </w:r>
    </w:p>
    <w:p>
      <w:pPr>
        <w:spacing w:after="0" w:line="191" w:lineRule="exact"/>
        <w:rPr>
          <w:sz w:val="20"/>
          <w:szCs w:val="20"/>
          <w:color w:val="auto"/>
        </w:rPr>
      </w:pPr>
    </w:p>
    <w:p>
      <w:pPr>
        <w:ind w:right="80" w:firstLine="509"/>
        <w:spacing w:after="0" w:line="239" w:lineRule="auto"/>
        <w:rPr>
          <w:sz w:val="20"/>
          <w:szCs w:val="20"/>
          <w:color w:val="auto"/>
        </w:rPr>
      </w:pPr>
      <w:r>
        <w:rPr>
          <w:rFonts w:ascii="Times New Roman" w:cs="Times New Roman" w:eastAsia="Times New Roman" w:hAnsi="Times New Roman"/>
          <w:sz w:val="14"/>
          <w:szCs w:val="14"/>
          <w:color w:val="auto"/>
        </w:rPr>
        <w:t>Any venue that brings together purchasers and sellers of digital asset which are characterized as securities in the United States is generally subject to registration as a national securities exchange, or must qualify for an exemption, such as by being operated by a registered broker-dealer as an alternative trading system (or ATS). To the extent that any venue accessed via the Arculus Cold Storage Wallet is not so registered (or appropriately exempt), we may be unable to permit continued support for purchase and swap transactions for digital assets which become subject to characterization as securities and due to operation of an unregistered exchange or as part of an unregistered exchange mechanism, we could be subject to significant monetary penalties, censure or other actions that may have a material and adverse effect on us. While we do not believe that the Arculus Cold Storage Wallet, which facilitates purchase and swap transactions in certain digital assets, is itself a securities exchange or ATS or is part of an unregistered exchange mechanism, regulators may determine that this is the case, and we would then be required to register as a securities exchange or qualify and register as an ATS, either of which could cause us to discontinue our purchase and swap support for such digital assets or otherwise limit or modify Arculus Cold Storage Wallet functionality or access. In September 2022, the SEC proposed a rule change concerning the definition of “exchange.” While it is not yet clear whether or in what form such proposed rule change may be adopted, it is possible that a change to the definition of “exchange” could result in regulators determining that the Arculus Cold Storage Wallet is functioning as a securities exchange or ATS or is part of an unregistered exchange mechanism, in which case, the potential registration requirements, or cessation, limitation or other modifications contemplated above could become necessary or advisable. Any such discontinuation, limitation or other modification could negatively impact our business, operating results,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inability to safeguard against misappropriation or infringement of our intellectual property may adversely affect our business.</w:t>
      </w:r>
    </w:p>
    <w:p>
      <w:pPr>
        <w:spacing w:after="0" w:line="20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4"/>
          <w:szCs w:val="14"/>
          <w:color w:val="auto"/>
        </w:rPr>
        <w:t>Our patents, trade secrets and other intellectual property rights are critical to our business. Our ability to safeguard our proprietary product designs and production processes against misappropriation by third parties is necessary to maintain our competitive position within our industry. Therefore, we routinely enter into confidentiality agreements with our employees, consultants and strategic partners to limit access to, and distribution of, our proprietary information in an effort to safeguard our proprietary rights and trade secrets. However, such efforts may not adequately protect our intellectual property against infringement and misappropriation by unauthorized third parties. Such third parties could interfere with our relationships with customers if they are successful in attempts to misappropriate our proprietary information or copy our products designs, or portions thereof. Additionally, because some of our customers purchase products on a purchase order basis and not pursuant to a detailed written contract, where we do not have the benefit of written protections with respect to certain intellectual property terms beyond standard terms and conditions, we may be exposed to potential infringement of our intellectual property rights. Enforcing our intellectual property rights against unauthorized use may be expensive and cause us to incur significant costs, all of which could adversely affect our business, financial condition and results of operations. There is no assurance that our existing or future patents will not be challenged, invalidated or otherwise circumvented. The patents and intellectual property rights we obtain, including our intellectual property rights which are formally registered in the United States and abroad, may be insufficient to provide meaningful protection or commercial advantage. Moreover, we may have difficulty obtaining additional patents and other intellectual property protections in the future. Effective patent, trademark, service mark, copyright and trade secret protection may not be available in every country in which we provide our products or services. Any of the foregoing factors may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i w:val="1"/>
          <w:iCs w:val="1"/>
          <w:color w:val="auto"/>
        </w:rPr>
        <w:t>We may incur substantial costs because of litigation or other proceedings relating to patents and other intellectual property rights.</w:t>
      </w:r>
    </w:p>
    <w:p>
      <w:pPr>
        <w:spacing w:after="0" w:line="20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Companies in our industry have commenced litigation to properly protect their intellectual property rights. Any proceedings or litigation that we initiate to enforce our intellectual property rights, or any intellectual property litigation asserted against us, could be costly and divert the attention of managerial and other personnel and further, could result in an adverse judgement or other determination that could preclude us from enforcing our intellectual property rights or offering some of our products to our customers. Royalty or other payments arising in settlements could negatively impact our profit margins and financial results. If we are unable to successfully defend against claims that we have infringed the intellectual property rights of others, we may need to indemnify some customers and strategic partners related to allegations that our products infringe the intellectual property rights of others. Additionally, some of our customers, suppliers and licensors may not be obligated to indemnify us for the full costs and expenses of defending against infringement claims. We may also be required to defend against alleged infringement of the intellectual property rights of third parties because our products contain technologies properly sourced from suppliers or customers. We may be unable to determine in a timely manner or at all whether such intellectual property use infringes the rights of third parties. Any such litigation or other proceedings could adversely affect our business, financial condition and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dependent on certain distribution partners for distribution of our products and services. A loss of distribution partners could adversely affect our business.</w:t>
      </w:r>
    </w:p>
    <w:p>
      <w:pPr>
        <w:spacing w:after="0" w:line="202"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A small number of distribution partners currently deliver a significant percentage of our products and services to customers. We intend to continue devoting resources in support of our distribution partners, but there are no guarantees that these relationships will remain in place over the short-or long-term. In addition, we cannot be assured that any of these distribution partners will continue to generate current levels of customer demand. A loss of any of these distribution partners could have a material adverse effect on our business,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competition that may result in a loss of our market share and/or a decline in profitability.</w:t>
      </w:r>
    </w:p>
    <w:p>
      <w:pPr>
        <w:spacing w:after="0" w:line="20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4"/>
          <w:szCs w:val="14"/>
          <w:color w:val="auto"/>
        </w:rPr>
        <w:t>Our industry is highly competitive and we expect it to remain highly competitive as competitors cut production costs, new product markets develop, and other competitors attempt to enter the markets in which we operate or new markets in which we may enter. Some of our existing competitors have more sales, greater marketing, more specialized manufacturing, and highly efficient distribution processes. We may also face competition from new competitors that may enter our industry or specific product market. Such current or new competitors may develop technologies, processes or products that are better suited to succeed in the marketplace as a result of enhanced features and functionality at lower costs, particularly as technological sophistication of such competitors and the size of the market increase. These factors could lower our average selling prices, resulting in reduced gross margins. If we cannot sufficiently reduce our production costs or develop innovative technologies or products, we may not be able to compete effectively in our product markets and maintain market share, which could adversely affect our business, financial condition and results of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long-lived assets represent a significant portion of our total assets, and their full value may never be realized.</w:t>
      </w:r>
    </w:p>
    <w:p>
      <w:pPr>
        <w:spacing w:after="0" w:line="185"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Our long-lived assets recorded as of September 30, 2024 were $29.0 million, representing approximately 7% of our total assets, of which we have recorded plant, equipment and leasehold improvements of $23.1 million, as our operations require significant investments in machinery and equipment.</w:t>
      </w:r>
    </w:p>
    <w:p>
      <w:pPr>
        <w:spacing w:after="0" w:line="145"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We review other long-lived assets for impairment on an as-needed basis and when circumstances, alterations, or other events indicate that an asset group or carrying amount of an asset may not be recoverable. Examples of these other long-lived assets include intangible but identifiable assets and plant, equipment, and leasehold improvements. Such write-downs of long-lived assets may result from a drop in future expected cash flows and worsening performance, among other factors. If we must write-down long-lived assets, we record the appropriate charge, which may adversely affect our results of operations.</w:t>
      </w:r>
    </w:p>
    <w:p>
      <w:pPr>
        <w:spacing w:after="0" w:line="160"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failure to operate our business in compliance with the security standards of the payment card industry or other industry standards applicable to our customers, such as payment networks certification standards,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9" w:right="359" w:bottom="1440" w:gutter="0" w:footer="0" w:header="0"/>
        </w:sectPr>
      </w:pPr>
    </w:p>
    <w:bookmarkStart w:id="56" w:name="page57"/>
    <w:bookmarkEnd w:id="56"/>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Many of our customers issue their cards on payment networks that are subject to the security standards of the payment card industry or other standards and criteria relating to product specifications and supplier facility physical and logical security that we must satisfy in order to be eligible to supply products and services to such customers. Our contractual arrangements with our customers may be terminated if we fail to comply with these standards and criteria.</w:t>
      </w:r>
    </w:p>
    <w:p>
      <w:pPr>
        <w:spacing w:after="0" w:line="157"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4"/>
          <w:szCs w:val="14"/>
          <w:color w:val="auto"/>
        </w:rPr>
        <w:t>We make significant investments in our facilities and technology in order to meet these industry standards, including investments required to satisfy changes adopted from time to time in industry standards. We may become ineligible to provide products and services to our customers if we are unable to continue to meet these standards. Many of the products we produce and services we provide are subject to certification with one or more of the payment networks. We may lose the ability to produce cards for or provide services to banks issuing credit or debit cards on the payment networks if we were to lose our certification from one or more of the payment networks or payment card industry certification for one or more of our facilities. If we are not able to produce cards for or provide services to any or all of the issuers issuing debit or credit cards on such payment networks, we could lose a substantial number of our customers, which could have a material adverse effect on our business, financial condition and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 consumers and businesses spend less, our business, operation outcomes, and financial state may be adversely affected.</w:t>
      </w:r>
    </w:p>
    <w:p>
      <w:pPr>
        <w:spacing w:after="0" w:line="20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4"/>
          <w:szCs w:val="14"/>
          <w:color w:val="auto"/>
        </w:rPr>
        <w:t>Companies that rely heavily on consumer and business spending are exposed to changing economic conditions and are impacted by changes in consumer confidence, consumer spending, discretionary income levels or consumer purchasing habits. A continuous decline in general economic conditions, particularly in the United States, or further increases in interest rates, may reduce demand for our products, which could negatively impact our sales. An economic downturn could cause credit card issuers to switch card programs to plastic cards, seek lower-priced metal hybrid card suppliers, reduce credit limits, close accounts, and become more selective with respect to whom they issue credit cards. Such conditions and potential outcomes could adversely affect our financial performance, business, and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liability and warranty claims and their associated costs may adversely affect our business.</w:t>
      </w:r>
    </w:p>
    <w:p>
      <w:pPr>
        <w:spacing w:after="0" w:line="20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The nature of our products is highly complex. As a result, we cannot guarantee that defects will not occur from time to time. We may incur extensive costs as a result of these defects and any resulting claims. For example, product recalls, writing down defective inventory, replacing defective items, lost sales or profits, and third-party claims can all give rise to costs incurred by us. We may also face liability for judgments and/or damages in connection with product liability and warranty claims. Damage to our reputation could occur if defective products are sold into the marketplace, which could result in further lost sales and profits. To the extent that we rely on purchase orders to govern our commercial relationships with our customers, we may not have specifically negotiated the allocation of risk for product liability obligations. Instead, we typically rely on warranties and limitations of liability included in our standard forms of order acceptance, invoice and other contract documents with our customers. Similarly, we obtain products and services from suppliers, some of which also use purchase order documents which may include limitations on product liability obligations with respect to their products and services. As a result, we may bear all or a significant portion of any product liability obligations rather than transferring this risk to our customers. Our reputation could be harmed and there could be a material adverse effect on our business, financial condition and results of operations if such risks materialize.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tariffs and other restrictions on imported goods are imposed by the U.S. government, our revenue and operations may be materially and adversely affected.</w:t>
      </w:r>
    </w:p>
    <w:p>
      <w:pPr>
        <w:spacing w:after="0" w:line="202"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4"/>
          <w:szCs w:val="14"/>
          <w:color w:val="auto"/>
        </w:rPr>
        <w:t>A portion of the raw materials used by us to manufacture our products are obtained, directly or indirectly, from companies located outside of the United States. Recently, tariffs have been imposed on imports from certain countries outside of the United States. Further trade restrictions and/or tariffs may be forthcoming, and may be dependent on evolving domestic and international political developments. Certain international trade agreements may also be at risk. Tariffs and similar trade restrictions may stagnate the general economy, impact our relationships with and access to our suppliers, and/or materially and adversely affect our business, financial condition and results of operations. These and future tariffs, as well as any other global trade or supply chain developments, bring with them uncertainty. We cannot predict future changes to imports covered by tariffs or which countries will be included or excluded from such tariffs. The reactions of other countries and resulting actions on the United States and similarly situated companies could negatively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6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i w:val="1"/>
          <w:iCs w:val="1"/>
          <w:color w:val="auto"/>
        </w:rPr>
        <w:t>Our international sales subject us to additional risks that can adversely affect our business, operating results and financial condition.</w:t>
      </w:r>
    </w:p>
    <w:p>
      <w:pPr>
        <w:spacing w:after="0" w:line="202" w:lineRule="exact"/>
        <w:rPr>
          <w:sz w:val="20"/>
          <w:szCs w:val="20"/>
          <w:color w:val="auto"/>
        </w:rPr>
      </w:pPr>
    </w:p>
    <w:p>
      <w:pPr>
        <w:ind w:right="180" w:firstLine="509"/>
        <w:spacing w:after="0" w:line="270" w:lineRule="auto"/>
        <w:rPr>
          <w:sz w:val="20"/>
          <w:szCs w:val="20"/>
          <w:color w:val="auto"/>
        </w:rPr>
      </w:pPr>
      <w:r>
        <w:rPr>
          <w:rFonts w:ascii="Times New Roman" w:cs="Times New Roman" w:eastAsia="Times New Roman" w:hAnsi="Times New Roman"/>
          <w:sz w:val="14"/>
          <w:szCs w:val="14"/>
          <w:color w:val="auto"/>
        </w:rPr>
        <w:t>During each of 2023 and 2022, we derived 18% and 22% of our net sales from customers located outside the U.S. Our ability to convince customers to expand their use of our products or renew their agreements with us are directly correlated to our direct engagement with such customers. To the extent that we are unable to engage with non-U.S. customers effectively, we may be unable to grow sales to international customers to the same degree we have experienced in the past.</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international operations subject us to a variety of risks and challenges, including:</w:t>
      </w:r>
    </w:p>
    <w:p>
      <w:pPr>
        <w:spacing w:after="0" w:line="200" w:lineRule="exact"/>
        <w:rPr>
          <w:sz w:val="20"/>
          <w:szCs w:val="20"/>
          <w:color w:val="auto"/>
        </w:rPr>
      </w:pPr>
    </w:p>
    <w:p>
      <w:pPr>
        <w:ind w:left="700" w:hanging="186"/>
        <w:spacing w:after="0"/>
        <w:tabs>
          <w:tab w:leader="none" w:pos="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currency exchange rates and related effect on our operating results;</w:t>
      </w:r>
    </w:p>
    <w:p>
      <w:pPr>
        <w:spacing w:after="0" w:line="23"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geopolitical conditions, including wars, in each country or region;</w:t>
      </w:r>
    </w:p>
    <w:p>
      <w:pPr>
        <w:spacing w:after="0" w:line="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systemic supply chain disruptions, including those resulting from a public health crisis;</w:t>
      </w:r>
    </w:p>
    <w:p>
      <w:pPr>
        <w:spacing w:after="0" w:line="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uncertainty around the world; and</w:t>
      </w:r>
    </w:p>
    <w:p>
      <w:pPr>
        <w:spacing w:after="0" w:line="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U.S. laws and regulations imposed by other countries on foreign operations,</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including the Foreign Corrupt Practices Act, the U.K. Bribery Act, import and export control laws,</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tariffs, trade barriers, economic sanctions and other regulatory or contractual limitations on our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ability to sell our products in certain foreign markets, and the risks and costs of non-compliance.</w:t>
      </w:r>
    </w:p>
    <w:p>
      <w:pPr>
        <w:spacing w:after="0" w:line="175"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For example, in response to the conflict between Russia and Ukraine, the United States has imposed and may further impose, and other countries may additionally impose, broad sanctions or other restrictive actions against governmental and other entities in Russia. Additionally, further escalation of geopolitical tensions, such as the ongoing conflict in Israel, Gaza and the surrounding areas, could have a broader impact that extends into other markets where we do business. Any of these risks could adversely affect our international sales, reduce our international revenues or increase our operating costs, adversely affecting our business, financial condition and operating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licensing arrangements in production and other fields, and actions taken by any of our licensing partners could have a material adverse effect on our business.</w:t>
      </w:r>
    </w:p>
    <w:p>
      <w:pPr>
        <w:spacing w:after="0" w:line="20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Some of our products integrate third-party technologies that we license or otherwise obtain the right to use. We have entered into licensing agreements that provide access to technology owned by third parties. The terms of our licensing arrangements vary. These different terms could have a negative impact on our performance to the extent new or existing licensees demand a greater proportion of royalty revenues under our licensing arrangements. Additionally, such third parties may not continue to renew their licenses with us on similar terms or at all, which could negatively impact our net sales. If we are unable to continue to successfully renew these agreements, we may lose our access to certain technologies relied upon to develop certain of our products. The loss of access to those technologies, if not replaced with internally-developed or other licensed technology, could have a material adverse effect on our business and result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adoption of new tax legislation could affect our financial performance.</w:t>
      </w:r>
    </w:p>
    <w:p>
      <w:pPr>
        <w:spacing w:after="0" w:line="20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We are subject to income and other taxes in the United States. Our effective tax rate in the future could be adversely affected by changes in tax laws. More generally, it is possible that U.S. federal income or other tax laws or the interpretation of tax laws will change. For example, the Biden Administration has proposed an increase in the U.S. corporate income tax rate and a minimum corporate tax based on book income. It is difficult to predict whether and when there will be tax law changes having a material adverse effect on our business, financial condition, results of operations and cash flows.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Risks Related to the Tax Receivable Agreement</w:t>
      </w:r>
    </w:p>
    <w:p>
      <w:pPr>
        <w:spacing w:after="0" w:line="200"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only significant asset is our ownership interest in Holdings and such ownership may not be sufficient to pay dividends or make distributions or loans to enable us to pay any dividends on our Common Stock or satisfy our other financial obligations, including our obligations under the Tax Receivable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50" w:right="339" w:bottom="1440" w:gutter="0" w:footer="0" w:header="0"/>
        </w:sectPr>
      </w:pPr>
    </w:p>
    <w:bookmarkStart w:id="58" w:name="page59"/>
    <w:bookmarkEnd w:id="58"/>
    <w:p>
      <w:pPr>
        <w:ind w:firstLine="509"/>
        <w:spacing w:after="0" w:line="245" w:lineRule="auto"/>
        <w:rPr>
          <w:sz w:val="20"/>
          <w:szCs w:val="20"/>
          <w:color w:val="auto"/>
        </w:rPr>
      </w:pPr>
      <w:r>
        <w:rPr>
          <w:rFonts w:ascii="Times New Roman" w:cs="Times New Roman" w:eastAsia="Times New Roman" w:hAnsi="Times New Roman"/>
          <w:sz w:val="14"/>
          <w:szCs w:val="14"/>
          <w:color w:val="auto"/>
        </w:rPr>
        <w:t>We have no direct operations and no significant assets other than our ownership interest in Holdings. We depend on Holdings for distributions, loans and other payments to generate the funds necessary to meet our financial obligations, including our expenses as a publicly traded company, to pay any dividends with respect to our Common Stock, and to satisfy our obligations under the Tax Receivable Agreement, which was amended in connection with the closing of the Resolute Transaction as of September 17, 2024. The financial condition and operating requirements of Holdings may limit our ability to obtain cash from Holdings. The earnings from, or other available assets of, Holdings may not be sufficient to pay dividends or make distributions or loans to enable us to pay any dividends on our Common Stock or satisfy our other financial obligations, including our obligations under the Tax Receivable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required to pay the TRA Parties for most of the benefits relating to any additional tax depreciation or amortization deductions that we may claim.</w:t>
      </w:r>
    </w:p>
    <w:p>
      <w:pPr>
        <w:spacing w:after="0" w:line="20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4"/>
          <w:szCs w:val="14"/>
          <w:color w:val="auto"/>
        </w:rPr>
        <w:t>In connection with the merger with Roman DBDR Tech Acquisition Corp. ("Roman") completed in December 2021 (the "Business Combination"), we entered into the Tax Receivable Agreement with Holdings and the TRA Parties (as defined therein). The Tax Receivable Agreement provides for the payment by us to the TRA Parties of 90% of the benefits, if any, that we are deemed to realize (calculated using certain assumptions) as a result of (i) our allocable share of existing tax basis in the assets of Holdings and its subsidiaries acquired (A) in the Business Combination and (B) upon sales or exchanges of Holdings Units pursuant to the Exchange Agreement after the Business Combination, (ii) certain increases in tax basis that occur as a result of (A) the Business Combination and (B) sales or exchanges of Holdings Units pursuant to the Exchange Agreement after the Business Combination, and (iii) certain other tax benefits, including tax benefits attributable to payments under the Tax Receivable Agreement. These tax attributes may increase (for tax purposes) our depreciation and amortization deductions and, therefore, may reduce the amount of tax that we would otherwise be required to pay in the future, although the IRS may challenge all or part of the validity of such tax attributes, and a court could sustain such a challenge. Such tax basis may also decrease gains (or increase losses) on future dispositions of certain capital assets to the extent tax basis is allocated to those capital assets. Actual tax benefits realized by us may differ from tax benefits calculated under the Tax Receivable Agreement as a result of the use of certain assumptions in the Tax Receivable Agreement, including the use of an assumed weighted-average state and local income tax rate to calculate tax benefits. The payment obligations under the Tax Receivable Agreement are an obligation of CompoSecure, Inc. We expect to benefit from the remaining 10% of realized cash tax benefits. While the amount of existing tax basis, the anticipated tax basis adjustments, and the actual amount and utilization of tax attributes, as well as the amount and timing of any payments under the Tax Receivable Agreement, will vary depending upon a number of factors, including the timing of exchanges, the price of shares of our Class A Common Stock at the time of exchanges, and the amount and timing of our income, we expect that as a result of the size of the transfers and increases in the tax basis of the tangible and intangible assets of Holdings and our possible utilization of tax attributes, the payments that we may make under the Tax Receivable Agreement will be substantial. The payments under the Tax Receivable Agreement are not conditioned upon continued ownership of our securities by the TRA Parties. See “Certain Relationships and Related Person Transactions of the Company — Tax Receivable Agreement.”</w:t>
      </w:r>
    </w:p>
    <w:p>
      <w:pPr>
        <w:spacing w:after="0" w:line="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15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4"/>
          <w:szCs w:val="14"/>
          <w:color w:val="auto"/>
        </w:rPr>
        <w:t>Our payment obligations under the Tax Receivable Agreement may be accelerated in the event of certain changes of control and will be accelerated in the event we elect to terminate the Tax Receivable Agreement early. The accelerated payments will relate to all relevant tax attributes that would subsequently be available to us. The accelerated payments required in such circumstances will be calculated by reference to the present value (at a discount rate equal to the lesser of 15% of all future payments that holders of Holdings Class B Units or other recipients would have been entitled to receive under the Tax Receivable Agreement, and such accelerated payments and any other future payments under the Tax Receivable Agreement will utilize certain valuation assumptions, including that we will have sufficient taxable income to fully utilize the deductions arising from the increased tax deductions and tax basis and other benefits related to entering into the Tax Receivable Agreement and sufficient taxable income to fully utilize any remaining net operating losses subject to the Tax Receivable Agreement on a straight line basis over the shorter of the statutory expiration period for such net operating losses and the five-year period after the early termination or change of control. In addition, recipients of payments under the Tax Receivable Agreement will not reimburse us for any payments previously made under the Tax Receivable Agreement if such tax basis and our utilization of certain tax attributes is successfully challenged by the IRS (although any such detriment would be taken into account in future payments under the Tax Receivable Agreement). Our ability to achieve benefits from any existing tax basis, tax basis adjustments or other tax attributes, and the payments to be made under the Tax Receivable Agreement, will depend upon a number of factors, including the timing and amount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59" w:name="page60"/>
    <w:bookmarkEnd w:id="59"/>
    <w:p>
      <w:pPr>
        <w:spacing w:after="0" w:line="287" w:lineRule="auto"/>
        <w:rPr>
          <w:sz w:val="20"/>
          <w:szCs w:val="20"/>
          <w:color w:val="auto"/>
        </w:rPr>
      </w:pPr>
      <w:r>
        <w:rPr>
          <w:rFonts w:ascii="Times New Roman" w:cs="Times New Roman" w:eastAsia="Times New Roman" w:hAnsi="Times New Roman"/>
          <w:sz w:val="14"/>
          <w:szCs w:val="14"/>
          <w:color w:val="auto"/>
        </w:rPr>
        <w:t>future income. As a result, even in the absence of a change of control or an election to terminate the Tax Receivable Agreement, payments under the Tax Receivable Agreement could be in excess of 90% of our actual cash tax benefits.</w:t>
      </w:r>
    </w:p>
    <w:p>
      <w:pPr>
        <w:spacing w:after="0" w:line="145" w:lineRule="exact"/>
        <w:rPr>
          <w:sz w:val="20"/>
          <w:szCs w:val="20"/>
          <w:color w:val="auto"/>
        </w:rPr>
      </w:pPr>
    </w:p>
    <w:p>
      <w:pPr>
        <w:ind w:right="120" w:firstLine="509"/>
        <w:spacing w:after="0" w:line="259" w:lineRule="auto"/>
        <w:rPr>
          <w:sz w:val="20"/>
          <w:szCs w:val="20"/>
          <w:color w:val="auto"/>
        </w:rPr>
      </w:pPr>
      <w:r>
        <w:rPr>
          <w:rFonts w:ascii="Times New Roman" w:cs="Times New Roman" w:eastAsia="Times New Roman" w:hAnsi="Times New Roman"/>
          <w:sz w:val="14"/>
          <w:szCs w:val="14"/>
          <w:color w:val="auto"/>
        </w:rPr>
        <w:t>Accordingly, it is possible that the actual cash tax benefits realized by us may be significantly less than the corresponding Tax Receivable Agreement payments or that payments under the Tax Receivable Agreement may be made years in advance of the actual realization, if any, of the anticipated future tax benefits. There may be a material negative effect on our liquidity if the payments under the Tax Receivable Agreement exceed the actual cash tax benefits that we realize in respect of the tax attributes subject to the Tax Receivable Agreement and/or payments to us by Holdings are not sufficient to permit us to make payments under the Tax Receivable Agreement after it has paid taxes and other expenses. We may need to incur additional indebtedness to finance payments under the Tax Receivable Agreement to the extent our cash resources are insufficient to meet our obligations under the Tax Receivable Agreement as a result of timing discrepancies or otherwise, and these obligations could have the effect of delaying, deferring, or preventing certain mergers, asset sales, other forms of business combinations, or other changes of control.</w:t>
      </w:r>
    </w:p>
    <w:p>
      <w:pPr>
        <w:spacing w:after="0" w:line="165"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143" w:lineRule="exact"/>
        <w:rPr>
          <w:sz w:val="20"/>
          <w:szCs w:val="20"/>
          <w:color w:val="auto"/>
        </w:rPr>
      </w:pPr>
    </w:p>
    <w:p>
      <w:pPr>
        <w:jc w:val="both"/>
        <w:ind w:right="40" w:firstLine="509"/>
        <w:spacing w:after="0" w:line="264" w:lineRule="auto"/>
        <w:rPr>
          <w:sz w:val="20"/>
          <w:szCs w:val="20"/>
          <w:color w:val="auto"/>
        </w:rPr>
      </w:pPr>
      <w:r>
        <w:rPr>
          <w:rFonts w:ascii="Times New Roman" w:cs="Times New Roman" w:eastAsia="Times New Roman" w:hAnsi="Times New Roman"/>
          <w:sz w:val="14"/>
          <w:szCs w:val="14"/>
          <w:color w:val="auto"/>
        </w:rPr>
        <w:t>In the case of certain changes of control, payments under the Tax Receivable Agreement may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Risks Related to Our Indebtedness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substantial amount of indebtedness, which may limit our operating flexibility and could adversely affect our business, financial condition and results of operations.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had approximately $340.3 million of indebtedness as of December 31, 2023, consisting of amounts outstanding under our senior secured credit facility and senior notes.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indebtedness could have important consequences to our investors, including, but not limited to:</w:t>
      </w:r>
    </w:p>
    <w:p>
      <w:pPr>
        <w:spacing w:after="0" w:line="200" w:lineRule="exact"/>
        <w:rPr>
          <w:sz w:val="20"/>
          <w:szCs w:val="20"/>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and reducing our flexibility to respond to, general adverse economic and industry conditions;</w:t>
      </w:r>
    </w:p>
    <w:p>
      <w:pPr>
        <w:spacing w:after="0" w:line="2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the dedication of a substantial portion of our cash flow from operations to servicing debt, including interest payments and annual excess cash flow prepayment obligations;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flexibility in planning for, or reacting to, changes in our business and the competitive environment; and</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ability to borrow additional funds and increasing the cost of any such borrowing.</w:t>
      </w:r>
    </w:p>
    <w:p>
      <w:pPr>
        <w:spacing w:after="0" w:line="185" w:lineRule="exact"/>
        <w:rPr>
          <w:sz w:val="20"/>
          <w:szCs w:val="20"/>
          <w:color w:val="auto"/>
        </w:rPr>
      </w:pPr>
    </w:p>
    <w:p>
      <w:pPr>
        <w:ind w:right="280" w:firstLine="509"/>
        <w:spacing w:after="0" w:line="270" w:lineRule="auto"/>
        <w:rPr>
          <w:sz w:val="20"/>
          <w:szCs w:val="20"/>
          <w:color w:val="auto"/>
        </w:rPr>
      </w:pPr>
      <w:r>
        <w:rPr>
          <w:rFonts w:ascii="Times New Roman" w:cs="Times New Roman" w:eastAsia="Times New Roman" w:hAnsi="Times New Roman"/>
          <w:sz w:val="14"/>
          <w:szCs w:val="14"/>
          <w:color w:val="auto"/>
        </w:rPr>
        <w:t>The interest rates in our credit facility are set based upon stated margins above lender’s base rate and the SOFR, an interest rate at which banks can borrow funds, which is subject to fluctuation. In addition, the interest rate margin applicable to our term loans and revolving loans can vary by one hundred (100) basis points depending on our total leverage ratio. An increase in interest rates would adversely affect our profitability.</w:t>
      </w:r>
    </w:p>
    <w:p>
      <w:pPr>
        <w:spacing w:after="0" w:line="155"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required to repurchase an amount of exchangeable notes in excess of our cash on hand, we would be required to access funds available through our revolving credit facility, which would result in an increase in our outstanding indebtedness.</w:t>
      </w:r>
    </w:p>
    <w:p>
      <w:pPr>
        <w:spacing w:after="0" w:line="143"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As a result of the Resolute Transaction, we were required to offer to repurchase our outstanding $130.0 million principal amount, together with interest accrued thereon, of exchangeable notes. We also temporarily increased the exchange rate at which the notes can be exchanged for shares of our Class A Common Stock. Through November 6, 2024,</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61" w:right="399" w:bottom="1440" w:gutter="0" w:footer="0" w:header="0"/>
        </w:sectPr>
      </w:pPr>
    </w:p>
    <w:bookmarkStart w:id="60" w:name="page61"/>
    <w:bookmarkEnd w:id="60"/>
    <w:p>
      <w:pPr>
        <w:jc w:val="both"/>
        <w:spacing w:after="0" w:line="270" w:lineRule="auto"/>
        <w:rPr>
          <w:sz w:val="20"/>
          <w:szCs w:val="20"/>
          <w:color w:val="auto"/>
        </w:rPr>
      </w:pPr>
      <w:r>
        <w:rPr>
          <w:rFonts w:ascii="Times New Roman" w:cs="Times New Roman" w:eastAsia="Times New Roman" w:hAnsi="Times New Roman"/>
          <w:sz w:val="14"/>
          <w:szCs w:val="14"/>
          <w:color w:val="auto"/>
        </w:rPr>
        <w:t>an aggregate of $51.4 million of the Notes have been surrendered and exchanged for an aggregate of 5.4 million newly-issued shares of Class A Common Stock. If we are required to purchase all or a substantial portion of the outstanding notes, and such amounts exceed our cash on hand, we would be required to access funds available through our revolving credit facility, which would result in an increase in our outstanding indebtedness.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Upon the occurrence of an event of default relating to our credit facility, the lenders could elect to accelerate payments due and terminate all commitments to extend further credit.</w:t>
      </w:r>
    </w:p>
    <w:p>
      <w:pPr>
        <w:spacing w:after="0" w:line="202" w:lineRule="exact"/>
        <w:rPr>
          <w:sz w:val="20"/>
          <w:szCs w:val="20"/>
          <w:color w:val="auto"/>
        </w:rPr>
      </w:pPr>
    </w:p>
    <w:p>
      <w:pPr>
        <w:jc w:val="both"/>
        <w:ind w:right="40" w:firstLine="509"/>
        <w:spacing w:after="0" w:line="270" w:lineRule="auto"/>
        <w:rPr>
          <w:sz w:val="20"/>
          <w:szCs w:val="20"/>
          <w:color w:val="auto"/>
        </w:rPr>
      </w:pPr>
      <w:r>
        <w:rPr>
          <w:rFonts w:ascii="Times New Roman" w:cs="Times New Roman" w:eastAsia="Times New Roman" w:hAnsi="Times New Roman"/>
          <w:sz w:val="14"/>
          <w:szCs w:val="14"/>
          <w:color w:val="auto"/>
        </w:rPr>
        <w:t>Under our credit facility, upon the occurrence of an event of default, the lenders will be able to elect to declare all amounts outstanding under the credit agreement to be immediately due and payable and terminate all commitments to lend additional funds. If we are unable to repay those amounts, the lenders under the credit agreement could proceed to foreclose against our collateral that secures that indebtedness. We have granted the lenders a security interest in substantially all of our assets.</w:t>
      </w:r>
    </w:p>
    <w:p>
      <w:pPr>
        <w:spacing w:after="0" w:line="155"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debt outstanding under our existing credit facility has a variable rate of interest that is based on the SOFR which may have consequences for us that cannot be reasonably predicted and may increase our cost of borrowing in the future.</w:t>
      </w:r>
    </w:p>
    <w:p>
      <w:pPr>
        <w:spacing w:after="0" w:line="143"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On February 28, 2023, we amended our credit facility to transition from bearing interest based on the London Interbank Offered Rate ("LIBOR") to SOFR. The future performance of SOFR cannot be predicted based on historical performance and the future level of SOFR may have little or no relation to historical levels of SOFR. Any patterns in market variable behaviors, such as correlations, may change in the future. Hypothetical or historical performance data are not indicative of, and have no bearing on, the potential performance of SOFR. The Company is not able to predict whether SOFR what the impact the transition to SOFR may be on the Company's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credit facility contains restrictive covenants that may impair our ability to conduct business.</w:t>
      </w:r>
    </w:p>
    <w:p>
      <w:pPr>
        <w:spacing w:after="0" w:line="20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Our credit facility contains operating covenants and financial covenants that may in each case limit management’s discretion with respect to certain business matters. We must comply with a maximum senior secured leverage ratio and a minimum debt service coverage ratio. Among other things, these covenants restrict our and our subsidiaries’ ability to grant additional liens, consolidate or merge with other entities, purchase or sell assets, declare dividends, incur additional debt, make advances, investments and loans, transact with affiliates, issue equity interests, modify organizational documents and engage in other business. As a result of these covenants and restrictions, we will be limited in how we conduct our business and we may be unable to raise additional debt or other financing to compete effectively or to take advantage of new business opportunities. The terms of any future indebtedness we may incur could include more restrictive covenants. Failure to comply with such restrictive covenants may lead to default and acceleration under our credit facility and may impair our ability to conduct business. We may not be able to maintain compliance with these covenants in the future and, if we fail to do so, that we will be able to obtain waivers from the lenders and/or amend the covenants, which may result in foreclosure of our assets.</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See Note 5 of Notes to Consolidated Financial Statements in the Unaudited Consolidated Financial Statements of the Company in this report for additional information.</w:t>
      </w:r>
    </w:p>
    <w:p>
      <w:pPr>
        <w:spacing w:after="0" w:line="198"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guarantees of indebtedness and liabilities could limit the cash flow available for our operations, expose us to risks that could adversely affect our business, financial condition and results of operations and impair our ability to satisfy our obligations.</w:t>
      </w:r>
    </w:p>
    <w:p>
      <w:pPr>
        <w:spacing w:after="0" w:line="143"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Holdings' notes are exchangeable into shares of our Class A Common Stock. The exchangeable notes are guaranteed by CompoSecure, L.L.C. Our guarantees of indebtedness could have significant negative consequences for our security holders, equity holders and our business, results of operations and financial condition by, among other things:</w:t>
      </w:r>
    </w:p>
    <w:p>
      <w:pPr>
        <w:spacing w:after="0" w:line="145"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adverse economic and industry conditions;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ability to obtain additional financing;</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the dedication of a substantial portion of our cash flow from operations to service our guarantees of indebtedness, which reduces the amount of cash available for other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61" w:right="339" w:bottom="1440" w:gutter="0" w:footer="0" w:header="0"/>
        </w:sectPr>
      </w:pPr>
    </w:p>
    <w:bookmarkStart w:id="61" w:name="page62"/>
    <w:bookmarkEnd w:id="61"/>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flexibility to plan for, or react to, changes in our business;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diluting the interests of our stockholders as a result of the issuance shares of our Class A Common Stock upon conversion of the exchangeable notes;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placing us at a possible competitive disadvantage with competitors that are less leveraged than us or have better access to capital.</w:t>
      </w:r>
    </w:p>
    <w:p>
      <w:pPr>
        <w:spacing w:after="0" w:line="18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Our business may not generate sufficient funds, and we may otherwise be unable to maintain sufficient cash reserves, to pay amounts that may become due under our guarantees of indebtedness, including in connection with the exchangeable notes, and our cash needs may increase in the future. In addition, any future indebtedness or guarantees of indebtedness that we may incur may contain financial and other restrictive covenants that limit our ability to operate our business, raise capital or make payments under our other indebtedness. If we fail to comply with these covenants or to make payments under our guarantees of indebtedness if and when due, then we could be in default under those guarantees of indebtedness, which could, in turn, result in that and our other indebtedness becoming immediately payable in full.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General Risks Related to Ownership of our Securities</w:t>
      </w:r>
    </w:p>
    <w:p>
      <w:pPr>
        <w:spacing w:after="0" w:line="200"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only significant asset will be our ownership of our subsidiaries’ business. If the business of our subsidiaries is not profitably operated, our subsidiaries may be unable to pay us dividends or make distributions to enable us to pay any dividends on our common stock or satisfy our other financial obligations.</w:t>
      </w:r>
    </w:p>
    <w:p>
      <w:pPr>
        <w:spacing w:after="0" w:line="143"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4"/>
          <w:szCs w:val="14"/>
          <w:color w:val="auto"/>
        </w:rPr>
        <w:t>CompoSecure, Inc. has no direct operations and no significant assets other than the ownership of its subsidiaries, which operate the Company’s business. CompoSecure, Inc. will depend on profits generated by its subsidiaries’ business for debt repayment and other payments to generate the funds necessary to meet its financial obligations, including its expenses as a publicly traded company, to pay any dividends with respect to its capital stock and to make distributions. Legal and contractual restrictions in agreements governing the indebtedness of the Company or its subsidiaries, as well as their financial condition and operating requirements, may limit the ability of our subsidiaries to make distributions to the Company.</w:t>
      </w:r>
    </w:p>
    <w:p>
      <w:pPr>
        <w:spacing w:after="0" w:line="160"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Provisions in our Charter and Delaware law may inhibit a takeover of us, which could limit the price investors might be willing to pay in the future for our Class A Common Stock and could entrench management.</w:t>
      </w:r>
    </w:p>
    <w:p>
      <w:pPr>
        <w:spacing w:after="0" w:line="143"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Our Charter contains provisions that may discourage unsolicited takeover proposals that stockholders may consider to be in their best interests. These provisions include the classification of our Board, the ability of our Board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157" w:lineRule="exact"/>
        <w:rPr>
          <w:sz w:val="20"/>
          <w:szCs w:val="20"/>
          <w:color w:val="auto"/>
        </w:rPr>
      </w:pPr>
    </w:p>
    <w:p>
      <w:pPr>
        <w:ind w:right="320" w:firstLine="509"/>
        <w:spacing w:after="0" w:line="287" w:lineRule="auto"/>
        <w:rPr>
          <w:sz w:val="20"/>
          <w:szCs w:val="20"/>
          <w:color w:val="auto"/>
        </w:rPr>
      </w:pPr>
      <w:r>
        <w:rPr>
          <w:rFonts w:ascii="Times New Roman" w:cs="Times New Roman" w:eastAsia="Times New Roman" w:hAnsi="Times New Roman"/>
          <w:sz w:val="14"/>
          <w:szCs w:val="14"/>
          <w:color w:val="auto"/>
        </w:rPr>
        <w:t>In addition, while we have opted out of Section 203 of the DGCL, our charter contains similar provisions providing that we may not engage in certain “business combinations” with any “interested stockholder” for a three-year period following the time that the stockholder became an interested stockholder, unless:</w:t>
      </w:r>
    </w:p>
    <w:p>
      <w:pPr>
        <w:spacing w:after="0" w:line="145"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such time, our Board approved either the business combination or the transaction that resulted in the stockholder becoming an interested stockholder;</w:t>
      </w:r>
    </w:p>
    <w:p>
      <w:pPr>
        <w:spacing w:after="0" w:line="23" w:lineRule="exact"/>
        <w:rPr>
          <w:rFonts w:ascii="Times New Roman" w:cs="Times New Roman" w:eastAsia="Times New Roman" w:hAnsi="Times New Roman"/>
          <w:sz w:val="14"/>
          <w:szCs w:val="14"/>
          <w:color w:val="auto"/>
        </w:rPr>
      </w:pPr>
    </w:p>
    <w:p>
      <w:pPr>
        <w:ind w:left="520" w:right="180" w:hanging="260"/>
        <w:spacing w:after="0" w:line="253"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ind w:left="520" w:right="20" w:hanging="260"/>
        <w:spacing w:after="0" w:line="266"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that time, the business combination is approved by our Board and by the affirmative vote of holders of at least two-thirds of our outstanding voting stock that is not owned by the interested stockholder.</w:t>
      </w:r>
    </w:p>
    <w:p>
      <w:pPr>
        <w:spacing w:after="0" w:line="159"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These anti-takeover defenses could discourage, delay or prevent a transaction involving a change in control of the Company. These provisions could also discourage proxy contests and make it more difficult for you and other stockholders to elect directors of your choosing and cause us to take corporate actions other than those you desire.</w:t>
      </w:r>
    </w:p>
    <w:p>
      <w:pPr>
        <w:spacing w:after="0" w:line="143"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satisfy the Nasdaq Global Market listing requirements in the future, which could limit investors’ ability to effect transactions in our securities and subject us to additional trading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62" w:name="page63"/>
    <w:bookmarkEnd w:id="62"/>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We may be unable to maintain the listing of our securities on the Nasdaq Global Market in the future. If our securities are delisted from the Nasdaq Global Market, there could be significant material adverse consequences, including:</w:t>
      </w:r>
    </w:p>
    <w:p>
      <w:pPr>
        <w:spacing w:after="0" w:line="145"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 availability of market quotations for our securities;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 amount of news and analyst coverage about the Company;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decreased ability to obtain capital or pursue acquisitions by issuing additional equity or convertible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incur significant costs and obligations as a result of being a public company.</w:t>
      </w:r>
    </w:p>
    <w:p>
      <w:pPr>
        <w:spacing w:after="0" w:line="20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As a public company, we incur significant legal, accounting, insurance and other expenses. These expenses will increase once we are no longer an “emerging growth company” as defined under the Jumpstart Our Business Startups Act of 2012, or the JOBS Act. In addition, new and changing laws, regulations and standards relating to corporate governance and public disclosure for public companies, including Dodd Frank, the Sarbanes-Oxley Act, regulations related hereto and the rules and regulations of the SEC and the Nasdaq Global Market, have increased the costs and the time that must be devoted to compliance matters. We expect these rules and regulations will increase our legal and financial costs and lead to a diversion of management time and attention from revenue-generating activities.</w:t>
      </w:r>
    </w:p>
    <w:p>
      <w:pPr>
        <w:spacing w:after="0" w:line="16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For as long as we remain an “emerging growth company” as defined in the JOBS Act, we may take advantage of certain exemptions from various reporting requirements that are applicable to other public companies that are not “emerging growth companies.” We may remain an “emerging growth company” for up to five years from the consummation of our initial public offering or until such earlier time that we have $1.23 billion or more in annual revenues, have more than $700.0 million in market value of our common stock held by non-affiliates, or issue more than $1.0 billion of non-convertible debt over a three-year period. To the extent we choose not to use exemptions from various reporting requirements under the JOBS Act, or if we no longer can be classified as an “emerging growth company,” we expect that we will incur additional compliance costs, which will reduce our ability to operate profitably.</w:t>
      </w:r>
    </w:p>
    <w:p>
      <w:pPr>
        <w:spacing w:after="0" w:line="162" w:lineRule="exact"/>
        <w:rPr>
          <w:sz w:val="20"/>
          <w:szCs w:val="20"/>
          <w:color w:val="auto"/>
        </w:rPr>
      </w:pPr>
    </w:p>
    <w:p>
      <w:pPr>
        <w:ind w:right="3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14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As an “emerging growth company,” we may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emerging growth company can take advantage of an extended transition period for complying with new or revised accounting standards, which we have elected to do.</w:t>
      </w:r>
    </w:p>
    <w:p>
      <w:pPr>
        <w:spacing w:after="0" w:line="164"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We cannot predict if investors will find our securities less attractive because we will rely on these exemptions. If some investors find our securities less attractive as a result, there may be a less active market for our securities, our share price may be more volatile and the price at which our securities trade could be less than if we did not use these exemptions.</w:t>
      </w:r>
    </w:p>
    <w:p>
      <w:pPr>
        <w:spacing w:after="0" w:line="143"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do not properly maintain and implement all required accounting practices and policies, including new accounting practices and policies, as applicable, we may be unable to provide the financial information required of a United States publicly traded company in a timely and reliable manner.</w:t>
      </w:r>
    </w:p>
    <w:p>
      <w:pPr>
        <w:spacing w:after="0" w:line="14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We are required to implement and maintain the financial reporting and disclosure procedures and controls required of a United States publicly traded company. If we fail to properly maintain and implement all required accounting practices and policies, including new accounting practices and policies, as applicable, or maintain effective internal controls and procedures and disclosure procedures and controls, we may be unable to provide financial information and required SEC reports that are timely and reliable. Any such delays or deficiencies could harm us, including by limiting our ability to obtain financing, either in the public capital markets or from private sources or by damaging our reputation, which in either case, could impede our ability to implement our growth strategy. In addition, any such delays or deficiencies could result in our failure to meet the requirements for continued listing of our securities on the Nasdaq Global Market.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6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i w:val="1"/>
          <w:iCs w:val="1"/>
          <w:color w:val="auto"/>
        </w:rPr>
        <w:t>If our operating performance does not meet market expectations, the price of our securities may decline.</w:t>
      </w:r>
    </w:p>
    <w:p>
      <w:pPr>
        <w:spacing w:after="0" w:line="202" w:lineRule="exact"/>
        <w:rPr>
          <w:sz w:val="20"/>
          <w:szCs w:val="20"/>
          <w:color w:val="auto"/>
        </w:rPr>
      </w:pPr>
    </w:p>
    <w:p>
      <w:pPr>
        <w:jc w:val="both"/>
        <w:ind w:right="240" w:firstLine="509"/>
        <w:spacing w:after="0" w:line="270" w:lineRule="auto"/>
        <w:rPr>
          <w:sz w:val="20"/>
          <w:szCs w:val="20"/>
          <w:color w:val="auto"/>
        </w:rPr>
      </w:pPr>
      <w:r>
        <w:rPr>
          <w:rFonts w:ascii="Times New Roman" w:cs="Times New Roman" w:eastAsia="Times New Roman" w:hAnsi="Times New Roman"/>
          <w:sz w:val="14"/>
          <w:szCs w:val="14"/>
          <w:color w:val="auto"/>
        </w:rPr>
        <w:t>The trading price of our securities could be volatile and subject to wide fluctuations in response to various factors, some of which are beyond our control. Fluctuations in the price of our securities could result in the loss of all or part of your investment. Any of the factors listed below could have a material adverse effect on your investment in our securities, and our securities may trade at prices significantly below the price you paid for them.</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Factors affecting the trading price of our securities may include:</w:t>
      </w:r>
    </w:p>
    <w:p>
      <w:pPr>
        <w:spacing w:after="0" w:line="200" w:lineRule="exact"/>
        <w:rPr>
          <w:sz w:val="20"/>
          <w:szCs w:val="20"/>
          <w:color w:val="auto"/>
        </w:rPr>
      </w:pPr>
    </w:p>
    <w:p>
      <w:pPr>
        <w:ind w:left="760" w:right="2200" w:firstLine="9"/>
        <w:spacing w:after="0" w:line="263" w:lineRule="auto"/>
        <w:tabs>
          <w:tab w:leader="none" w:pos="1011"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quarterly financial results or the quarterly financial results of companies perceived to be similar to us; ◦ changes in the market’s expectations about our operating results;</w:t>
      </w: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success of competitors;</w:t>
      </w:r>
    </w:p>
    <w:p>
      <w:pPr>
        <w:spacing w:after="0" w:line="8" w:lineRule="exact"/>
        <w:rPr>
          <w:rFonts w:ascii="Times New Roman" w:cs="Times New Roman" w:eastAsia="Times New Roman" w:hAnsi="Times New Roman"/>
          <w:sz w:val="14"/>
          <w:szCs w:val="14"/>
          <w:color w:val="auto"/>
        </w:rPr>
      </w:pP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our operating results failing to meet market expectations in a particular period;</w:t>
      </w:r>
    </w:p>
    <w:p>
      <w:pPr>
        <w:spacing w:after="0" w:line="8" w:lineRule="exact"/>
        <w:rPr>
          <w:rFonts w:ascii="Times New Roman" w:cs="Times New Roman" w:eastAsia="Times New Roman" w:hAnsi="Times New Roman"/>
          <w:sz w:val="14"/>
          <w:szCs w:val="14"/>
          <w:color w:val="auto"/>
        </w:rPr>
      </w:pPr>
    </w:p>
    <w:p>
      <w:pPr>
        <w:ind w:left="760" w:right="580"/>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changes in financial estimates and recommendations by securities analysts concerning us or the financial payment card and digital asset industries and markets in general; ◦ operating and stock price performance of other companies that investors deem comparable to us;</w:t>
      </w:r>
    </w:p>
    <w:p>
      <w:pPr>
        <w:ind w:left="760" w:right="6400"/>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our ability to market new and enhanced products on a timely basis; ◦ changes in laws and regulations affecting our business;</w:t>
      </w: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commencement of, or involvement in, litigation involving us;</w:t>
      </w:r>
    </w:p>
    <w:p>
      <w:pPr>
        <w:spacing w:after="0" w:line="8" w:lineRule="exact"/>
        <w:rPr>
          <w:rFonts w:ascii="Times New Roman" w:cs="Times New Roman" w:eastAsia="Times New Roman" w:hAnsi="Times New Roman"/>
          <w:sz w:val="14"/>
          <w:szCs w:val="14"/>
          <w:color w:val="auto"/>
        </w:rPr>
      </w:pPr>
    </w:p>
    <w:p>
      <w:pPr>
        <w:ind w:left="760" w:right="4220"/>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changes in our capital structure, such as future issuances of securities or the incurrence of additional debt; ◦ the volume of shares of our securities available for public sale;</w:t>
      </w: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any significant change in our board or management;</w:t>
      </w:r>
    </w:p>
    <w:p>
      <w:pPr>
        <w:spacing w:after="0" w:line="8" w:lineRule="exact"/>
        <w:rPr>
          <w:rFonts w:ascii="Times New Roman" w:cs="Times New Roman" w:eastAsia="Times New Roman" w:hAnsi="Times New Roman"/>
          <w:sz w:val="14"/>
          <w:szCs w:val="14"/>
          <w:color w:val="auto"/>
        </w:rPr>
      </w:pPr>
    </w:p>
    <w:p>
      <w:pPr>
        <w:ind w:left="760" w:right="1300"/>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sales of substantial amounts of our securities by our directors, executive officers or significant stockholders or the perception that such sales could occur; and ◦ general economic and political conditions such as recessions, interest rates, fuel prices, international currency fluctuations and acts of war or terrorism.</w:t>
      </w:r>
    </w:p>
    <w:p>
      <w:pPr>
        <w:spacing w:after="0" w:line="15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Broad market and industry factors may depress the market price of our securities irrespective of our operating performance. The stock market in general and the Nasdaq Global Market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financial technology stocks or the stocks of other companies which investors perceive to be similar to us could depress our securities prices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Warrants may not remain in the money, and they may expire worthless.</w:t>
      </w:r>
    </w:p>
    <w:p>
      <w:pPr>
        <w:spacing w:after="0" w:line="19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4"/>
          <w:szCs w:val="14"/>
          <w:color w:val="auto"/>
        </w:rPr>
        <w:t>The exercise price for our Warrants is $11.50 per share. Due to recent improvement in the market price of our Class A Common Stock, the price of our Class A Common Stock has recently exceeded the price of our Warrants. There can be no assurance that the Warrants will remain in the money prior to their expiration on December 27, 2026, and, as such, the Warrants may expire worthless.</w:t>
      </w:r>
    </w:p>
    <w:p>
      <w:pPr>
        <w:spacing w:after="0" w:line="168"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The terms of our Warrants may be amended in a manner that may be adverse to the holders. The warrant agreement between Continental Stock Transfer &amp; Trust Company, as warrant agent, and us provides that the terms of the Warrants may be amended without the consent of any holder to cure any ambiguity or correct any defective provision, but requires the approval by the holders of a majority of the then outstanding Warrants to make any change that adversely affects the interests of the registered holders. Accordingly, we may amend the terms of the Warrants in a manner adverse to a holder if holders of at least a majority of the then outstanding Warrants approve of such amendment. Our ability to amend the terms of the Warrants with the consent of at least a majority of the then outstanding Warrants is unlimited. Examples of such amendments could be amendments to, among other things, increase the exercise price of the Warrants, shorten the exercise period or decrease the number of shares of our common stock purchasable upon exercise of a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950"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i w:val="1"/>
          <w:iCs w:val="1"/>
          <w:color w:val="auto"/>
        </w:rPr>
        <w:t>We may redeem your unexpired Warrants prior to their exercise at a time that is disadvantageous to you, thereby making your Warrants worthless.</w:t>
      </w:r>
    </w:p>
    <w:p>
      <w:pPr>
        <w:spacing w:after="0" w:line="202"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We have the ability to redeem outstanding Warrants at any time after they become exercisable and prior to their expiration, at $0.01 per warrant, provided that the last reported sales price (or the closing bid price of our common stock in the event the shares of our common stock are not traded on any specific trading day) of the common stock equals or exceeds $18.00 per share on each of 20 trading days within the 30 trading-day period ending on the third business day prior to the date on which we send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you as a Warrant holder: (i) to exercise your Warrants and pay the exercise price therefore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could be substantially less than the market value of your Warrants.</w:t>
      </w:r>
    </w:p>
    <w:p>
      <w:pPr>
        <w:spacing w:after="0" w:line="165"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Warrants to purchase our Class A Common Stock are presently exercisable, which could increase the number of shares of Class A Common Stock eligible for future resale in the public market and result in dilution to our stockholders.</w:t>
      </w:r>
    </w:p>
    <w:p>
      <w:pPr>
        <w:spacing w:after="0" w:line="143"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As of September 30, 2024, we had outstanding Warrants to purchase an aggregate of 22,415,189 shares of our common stock, exercisable in accordance with the terms of the warrant agreement governing those securities. Each Warrant entitles its holder to purchase one share of our common stock at an exercise price of $11.50 per share and will expire at 5:00 p.m., New York time, on December 27, 2026 or earlier upon redemption of our Class A Common Stock or our liquidation. To the extent Warrants are exercised, additional shares of our Class A Common Stock will be issued, which will result in dilution to our then existing stockholders and increase the number of shares of Class A Common Stock eligible for resale in the public market. Sales of substantial numbers of such shares in the public market could depress the market price of our securities.</w:t>
      </w:r>
    </w:p>
    <w:p>
      <w:pPr>
        <w:spacing w:after="0" w:line="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timely and effectively implement controls and procedures required by Section 404 of the Sarbanes-Oxley Act of 2002, which could have a material adverse effect on our business.</w:t>
      </w:r>
    </w:p>
    <w:p>
      <w:pPr>
        <w:spacing w:after="0" w:line="15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4"/>
          <w:szCs w:val="14"/>
          <w:color w:val="auto"/>
        </w:rPr>
        <w:t>Under the Sarbanes-Oxley Act of 2002, we are required to provide management’s attestation on internal controls. The standards required for a public company under Section 404 of the Sarbanes-Oxley Act are significantly more stringent than those previously required of Holdings as a privately-held company. Management may not be able to effectively and timely implement controls and procedures that adequately respond to the increased regulatory compliance and reporting requirements that are applicable to us as a public company. If we are not able to implement the additional requirements of Section 404 in a timely manner or with adequate compliance, we may not be able to assess whether our internal controls over financial reporting are effective, which may subject us to adverse regulatory consequences and could harm investor confidence and lead to a decrease in the market price of our securities.</w:t>
      </w:r>
    </w:p>
    <w:p>
      <w:pPr>
        <w:spacing w:after="0" w:line="16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spacing w:after="0" w:line="14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will be an “emerging growth company” until the earlier of (1) the last day of the fiscal year (a) following November 10, 2025, the fifth anniversary of the consummation of our initial public offering, (b) in which we have total annual gross revenue of at least $1.23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65" w:name="page66"/>
    <w:bookmarkEnd w:id="65"/>
    <w:p>
      <w:pPr>
        <w:ind w:right="100"/>
        <w:spacing w:after="0" w:line="287" w:lineRule="auto"/>
        <w:rPr>
          <w:sz w:val="20"/>
          <w:szCs w:val="20"/>
          <w:color w:val="auto"/>
        </w:rPr>
      </w:pPr>
      <w:r>
        <w:rPr>
          <w:rFonts w:ascii="Times New Roman" w:cs="Times New Roman" w:eastAsia="Times New Roman" w:hAnsi="Times New Roman"/>
          <w:sz w:val="14"/>
          <w:szCs w:val="14"/>
          <w:color w:val="auto"/>
        </w:rPr>
        <w:t>the prior three-year period. Accordingly, until we cease being an “emerging growth company” stockholders will not have the benefit of an independent assessment of the effectiveness of our internal control environment.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successfully operate our business largely depends upon the efforts of certain key personnel. The loss of such key personnel could adversely affect our operations and profitability.</w:t>
      </w:r>
    </w:p>
    <w:p>
      <w:pPr>
        <w:spacing w:after="0" w:line="202"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Our ability to successfully operate our business depends upon the efforts of certain key personnel. The unexpected loss of key personnel may adversely affect our operations and profitability. In addition, our future success depends in part on our ability to identify and retain key personnel to expand and/or succeed senior management. Furthermore, while we have closely scrutinized the skills, abilities and qualifications of our key personnel, our assessment may not prove to be correct. If such personnel do not possess the skills, qualifications or abilities we expect or those necessary to manage a public company, the operations and profitability of our business may be adversely impacted.</w:t>
      </w:r>
    </w:p>
    <w:p>
      <w:pPr>
        <w:spacing w:after="0" w:line="160"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ability to meet expectations and projections in any research or reports published by securities or industry analysts, or a lack of coverage by securities or industry analysts, could result in a depressed market price and limited liquidity for our securities.</w:t>
      </w:r>
    </w:p>
    <w:p>
      <w:pPr>
        <w:spacing w:after="0" w:line="143"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4"/>
          <w:szCs w:val="14"/>
          <w:color w:val="auto"/>
        </w:rPr>
        <w:t>The trading market for our securities will be influenced by the research and reports that industry or securities analysts may publish about us, our business, our market, or our competitors. If no securities or industry analysts commence coverage of us, prices for our securities would likely be less than that which would obtain if we had such coverage and the liquidity, or trading volume of our securities may be limited, making it more difficult for a holder to sell securities at an acceptable price or amount. If any analysts do cover us, their projections may vary widely and may not accurately predict the results we actually achieve. Prices for our securities may decline if our actual results do not match the projections of research analysts covering us. Similarly, if one or more of the analysts who write reports on us downgrades our securities or publishes inaccurate or unfavorable research about our business, prices for our securities could decline. If one or more of these analysts ceases coverage of us or fails to publish reports on us regularly, prices for our securities or trading volume could decline.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our securities, including resale of securities issued to certain stockholders, may reduce the market price of our securities that you might otherwise obtain.</w:t>
      </w:r>
    </w:p>
    <w:p>
      <w:pPr>
        <w:spacing w:after="0" w:line="202"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Our stockholders may sell large amounts of our securities in the open market or in privately negotiated transactions. The registration and availability of such a significant number of securities for trading in the public market may increase the volatility in the price of our securities or put significant downward pressure on the price of our securities. In addition, we may use shares of our common stock as consideration for future acquisitions, which could further dilute our stockholders.</w:t>
      </w:r>
    </w:p>
    <w:p>
      <w:pPr>
        <w:spacing w:after="0" w:line="155"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certain significant shareholders control a significant percentage of our common stock, such shareholders may influence major corporate decisions of the Company and our interests may conflict with the interests of other holders of our common stock.</w:t>
      </w:r>
    </w:p>
    <w:p>
      <w:pPr>
        <w:spacing w:after="0" w:line="14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As a result of the Resolute Transaction completed in September 2024, Resolute (together with its affiliates) is the beneficial owner of approximately 60% of the voting power of our outstanding common stock. As a result of this control, Resolute will be able to influence matters requiring approval by our stockholders and/or our Board, including the election of directors and the approval of business combinations or dispositions and other extraordinary transactions. Resolute may also have interests that differ from the interests of other holders of our securities and may vote in a way with which you disagree and which may be adverse to your interests. The concentration of ownership may have the effect of delaying, preventing or deterring a change of control of the Company and may materially and adversely affect the market price of our securities. In addition, Resolute may in the future own businesses that directly compete with the business of the Company.</w:t>
      </w:r>
    </w:p>
    <w:p>
      <w:pPr>
        <w:spacing w:after="0" w:line="162"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Charter renounces any expectancy in or right to be offered an opportunity to participate in certain transactions or matters that may be investment, corporate or business opportunities and that are presented to the Company or our officers, directors or stockholders.</w:t>
      </w:r>
    </w:p>
    <w:p>
      <w:pPr>
        <w:spacing w:after="0" w:line="143" w:lineRule="exact"/>
        <w:rPr>
          <w:sz w:val="20"/>
          <w:szCs w:val="20"/>
          <w:color w:val="auto"/>
        </w:rPr>
      </w:pPr>
    </w:p>
    <w:p>
      <w:pPr>
        <w:ind w:right="300" w:firstLine="509"/>
        <w:spacing w:after="0" w:line="287" w:lineRule="auto"/>
        <w:rPr>
          <w:sz w:val="20"/>
          <w:szCs w:val="20"/>
          <w:color w:val="auto"/>
        </w:rPr>
      </w:pPr>
      <w:r>
        <w:rPr>
          <w:rFonts w:ascii="Times New Roman" w:cs="Times New Roman" w:eastAsia="Times New Roman" w:hAnsi="Times New Roman"/>
          <w:sz w:val="14"/>
          <w:szCs w:val="14"/>
          <w:color w:val="auto"/>
        </w:rPr>
        <w:t>Our Charter provides that, to the fullest extent permitted by Delaware law, each member of Holdings, their respective affiliates (other than the Company and our subsidiaries) and, to the extent any member is a series limited liability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66" w:name="page67"/>
    <w:bookmarkEnd w:id="66"/>
    <w:p>
      <w:pPr>
        <w:ind w:right="120"/>
        <w:spacing w:after="0" w:line="257" w:lineRule="auto"/>
        <w:rPr>
          <w:sz w:val="20"/>
          <w:szCs w:val="20"/>
          <w:color w:val="auto"/>
        </w:rPr>
      </w:pPr>
      <w:r>
        <w:rPr>
          <w:rFonts w:ascii="Times New Roman" w:cs="Times New Roman" w:eastAsia="Times New Roman" w:hAnsi="Times New Roman"/>
          <w:sz w:val="14"/>
          <w:szCs w:val="14"/>
          <w:color w:val="auto"/>
        </w:rPr>
        <w:t>company, any series thereof and all of their respective partners, principals, directors, officers, members, managers, equity holders and/or employees, including any of the foregoing who serve as officers or directors of the Company (each, an “Excluded Party”), shall not have any fiduciary duty to refrain from (a) directly or indirectly engaging in any opportunity in which we, directly or indirectly, could have an interest or expectancy or (b) otherwise competing with us. Our Charter also renounces, to the fullest extent permitted by Delaware law, any interest or expectancy that we have in any opportunity in which any Excluded Party engages, even if the opportunity is one in which we, directly or indirectly, could have had an interest or expectancy. To the fullest extent permitted by Delaware law, in the event that any Excluded Party acquires knowledge of an opportunity that may be an opportunity for itself, himself or herself and for us, such party shall have no duty to communicate or present such opportunity to us and shall not be liable to us or any of our stockholders for breach of any fiduciary duty as our stockholder, director or officer solely for having pursued or acquired such opportunity or for offering or directing such opportunity to another person. To the fullest extent permitted by Delaware law, no business opportunity will be deemed to be a potential corporate opportunity for us unless we would be permitted to undertake the opportunity under our Charter, we have sufficient financial resources to undertake the opportunity and the opportunity would be in line with our business.</w:t>
      </w:r>
    </w:p>
    <w:p>
      <w:pPr>
        <w:spacing w:after="0" w:line="165" w:lineRule="exact"/>
        <w:rPr>
          <w:sz w:val="20"/>
          <w:szCs w:val="20"/>
          <w:color w:val="auto"/>
        </w:rPr>
      </w:pPr>
    </w:p>
    <w:p>
      <w:pPr>
        <w:ind w:right="6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Bylaws designate the courts of the Court of Chancery in the State of Delaware as the sole and exclusive forum for certain types of actions and proceedings that may be initiated by stockholders, which could limit the ability of stockholders to obtain a favorable judicial forum for disputes.</w:t>
      </w:r>
    </w:p>
    <w:p>
      <w:pPr>
        <w:spacing w:after="0" w:line="143"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Our Bylaws provide that, unless we consent in writing to the selection of an alternative forum, (a) any derivative action or proceeding brought on behalf of us, (b) any action asserting a claim of breach of fiduciary duty owed by any of our directors, officers or employees to us or our stockholders, (c) any action asserting a claim against us, our directors, officers or employees arising pursuant to any provision of the DGCL or our Charter or Bylaws or (d) any action asserting a claim against us, our directors, officers or employees governed by the internal affairs doctrine.</w:t>
      </w:r>
    </w:p>
    <w:p>
      <w:pPr>
        <w:spacing w:after="0" w:line="15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Notwithstanding the foregoing, these provisions of the Bylaws will not apply to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(including suits brought to enforce any liability or duty created by the Exchange Act or any other claim for which the federal district courts of the United States of America are the sole and exclusive forum), or for which the Court of Chancery does not have subject matter jurisdiction. While this exclusive provision applies to claims under the Securities Act, we note, however, that there is uncertainty as to whether a court would enforce this provision and that stockholders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68" w:lineRule="exact"/>
        <w:rPr>
          <w:sz w:val="20"/>
          <w:szCs w:val="20"/>
          <w:color w:val="auto"/>
        </w:rPr>
      </w:pPr>
    </w:p>
    <w:p>
      <w:pPr>
        <w:ind w:right="220" w:firstLine="509"/>
        <w:spacing w:after="0" w:line="264" w:lineRule="auto"/>
        <w:rPr>
          <w:sz w:val="20"/>
          <w:szCs w:val="20"/>
          <w:color w:val="auto"/>
        </w:rPr>
      </w:pPr>
      <w:r>
        <w:rPr>
          <w:rFonts w:ascii="Times New Roman" w:cs="Times New Roman" w:eastAsia="Times New Roman" w:hAnsi="Times New Roman"/>
          <w:sz w:val="14"/>
          <w:szCs w:val="14"/>
          <w:color w:val="auto"/>
        </w:rPr>
        <w:t>This choice-of-forum provision may limit a stockholder’s ability to bring a claim in a judicial forum that it finds favorable for disputes with the Company, which may discourage such lawsuits. Alternatively, if a court were to find this provision of our Bylaws inapplicable or unenforceable with respect to one or more of the specified types of actions or proceedings, the Company may incur additional costs associated with resolving such matters in other jurisdictions, which could materially and adversely affect our business, financial condition and results of operations and result in a diversion of the time and resources of our management and Board.</w:t>
      </w:r>
    </w:p>
    <w:p>
      <w:pPr>
        <w:spacing w:after="0" w:line="16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required to take write-downs or write-offs, restructuring and impairment or other charges that could have a significant negative effect on our financial condition, results of operations and securities prices, which could cause you to lose some or all of your investment.</w:t>
      </w:r>
    </w:p>
    <w:p>
      <w:pPr>
        <w:spacing w:after="0" w:line="143" w:lineRule="exact"/>
        <w:rPr>
          <w:sz w:val="20"/>
          <w:szCs w:val="20"/>
          <w:color w:val="auto"/>
        </w:rPr>
      </w:pPr>
    </w:p>
    <w:p>
      <w:pPr>
        <w:ind w:right="280" w:firstLine="509"/>
        <w:spacing w:after="0" w:line="264" w:lineRule="auto"/>
        <w:rPr>
          <w:sz w:val="20"/>
          <w:szCs w:val="20"/>
          <w:color w:val="auto"/>
        </w:rPr>
      </w:pPr>
      <w:r>
        <w:rPr>
          <w:rFonts w:ascii="Times New Roman" w:cs="Times New Roman" w:eastAsia="Times New Roman" w:hAnsi="Times New Roman"/>
          <w:sz w:val="14"/>
          <w:szCs w:val="14"/>
          <w:color w:val="auto"/>
        </w:rPr>
        <w:t>If there are material issues in the business of our subsidiaries, or factors outside of our and our subsidiaries control later arise, we may be forced to later write down or write off assets, restructure our operations, or incur impairment or other charges that could result in losses. Additionally, unexpected risks may arise and previously known risks may materialize in a manner not consistent with our initial risk analysis. Even though these charges may be non-cash items and not have an immediate impact on our liquidity, the fact that we report charges of this nature could contribute to negative market perceptions about the Company or our securities. In addition, charges of this nature may cause us to be unable to obtain future financing on favorable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securities litigation, which is expensive and could divert management attention.</w:t>
      </w:r>
    </w:p>
    <w:p>
      <w:pPr>
        <w:spacing w:after="0" w:line="202"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Our securities prices may be volatile and, in the past, companies that have experienced volatility in the market price of their securities have been subject to securities class action litigation. We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future exercise of registration rights may adversely affect the market price of our securities.</w:t>
      </w:r>
    </w:p>
    <w:p>
      <w:pPr>
        <w:spacing w:after="0" w:line="202"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Sales of a substantial number of shares of common stock in the public market could occur at any time. In addition, certain registration rights holders can request underwritten offerings to sell their securities. These sales, or the perception in the market that the holders of a large number of securities intend to sell securities, could reduce the market price of our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Unregistered Sales of Equity Securities</w:t>
      </w:r>
      <w:r>
        <w:rPr>
          <w:rFonts w:ascii="Times New Roman" w:cs="Times New Roman" w:eastAsia="Times New Roman" w:hAnsi="Times New Roman"/>
          <w:sz w:val="14"/>
          <w:szCs w:val="14"/>
          <w:color w:val="auto"/>
        </w:rPr>
        <w:t>.</w:t>
      </w:r>
    </w:p>
    <w:p>
      <w:pPr>
        <w:spacing w:after="0" w:line="2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4"/>
          <w:szCs w:val="14"/>
          <w:color w:val="auto"/>
        </w:rPr>
        <w:t>In accordance with the Holdings Second Amended and Restated LLC Agreement and the terms of the Exchange Agreement entered into in connection with the Business Combination, the Class B units of Holdings may each be exchanged at the option of the holder, together with a corresponding cancellation of the corresponding number of shares of Class B common stock of the Company, on a one-for-one basis for shares of Class A common stock of the Company. There is no cash or other consideration paid by the holder in these transactions and, therefore, there is no cash or other consideration received by the Company. The shares of Class A common stock issued by the Company in such exchanges are exempt from registration pursuant to Section 4(a)(2) of the Securities Act.</w:t>
      </w:r>
    </w:p>
    <w:p>
      <w:pPr>
        <w:spacing w:after="0" w:line="167"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On August 7, 2024, all of the Class B stockholders of the Company and Resolute entered into stock purchase agreements. Under the terms of the agreements and pursuant to the Exchange Agreement, the selling shareholders exchanged, on September 17, 2024, their 51.9 million Class B units for Class A shares, and Resolute acquired 49.3 million Class A shares. The Company did not receive any proceeds from the exchange of Class B units for Class A shares. As a result of these transactions, there are no longer any shares of Class B Common Stock outstanding.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Repurchases of Equity Securities</w:t>
      </w:r>
      <w:r>
        <w:rPr>
          <w:rFonts w:ascii="Times New Roman" w:cs="Times New Roman" w:eastAsia="Times New Roman" w:hAnsi="Times New Roman"/>
          <w:sz w:val="14"/>
          <w:szCs w:val="14"/>
          <w:color w:val="auto"/>
        </w:rPr>
        <w:t>.</w:t>
      </w:r>
    </w:p>
    <w:p>
      <w:pPr>
        <w:spacing w:after="0" w:line="2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On March 6, 2024, we announced that our Board of Directors (“Board”) had authorized a program to repurchase (“Repurchase Program”) up to $40.0 million in the aggregate of shares of our outstanding shares of common stock, par value $0.0001 per share (“Common Stock”), warrants and/or notes exchangeable for shares of Common Stock (collectively, the “Securities”). Repurchases of Securities under the Repurchase Program may be made from time to time, on the open market, in privately negotiated transactions, tender offers, or by other methods, at the discretion of the management of the Company in accordance with our senior credit facility and Indenture for the Exchangeable Notes, as applicable, and other applicable legal requirements. Repurchases of Common Stock will be in accordance with the limitations set forth in Rule 10b-18 promulgated under the Securities Exchange Act of 1934, as amended. The timing and amount of the repurchases will depend on market conditions and other requirements. The Repurchase Program does not obligate the Company to repurchase any dollar amount of Securities and the Repurchase Program may be extended, modified, suspended, or discontinued at any time. Any shares of Common Stock repurchased under the program may either be returned to the status of authorized but unissued shares of Common Stock or held as treasury stock. The Repurchase Program is effective March 7, 2024 through March 7, 2027. There was no repurchase activity during the quarter ended September 30, 2024. As of September 30, 2024, $40.0 million of the repurchase authorization under the Repurchase Program remained available.</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Rule 10b5-1 Trading Plans</w:t>
      </w:r>
      <w:r>
        <w:rPr>
          <w:rFonts w:ascii="Times New Roman" w:cs="Times New Roman" w:eastAsia="Times New Roman" w:hAnsi="Times New Roman"/>
          <w:sz w:val="14"/>
          <w:szCs w:val="14"/>
          <w:color w:val="auto"/>
        </w:rPr>
        <w:t>.</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During the quarter ended September 30, 2024, the following officers of the Company entered into and/or terminated trading plans intended to satisfy the affirmative defense conditions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Rule 10b5-1(c):</w:t>
      </w:r>
    </w:p>
    <w:p>
      <w:pPr>
        <w:spacing w:after="0" w:line="185" w:lineRule="exact"/>
        <w:rPr>
          <w:sz w:val="20"/>
          <w:szCs w:val="20"/>
          <w:color w:val="auto"/>
        </w:rPr>
      </w:pPr>
    </w:p>
    <w:p>
      <w:pPr>
        <w:ind w:left="1020" w:hanging="251"/>
        <w:spacing w:after="0" w:line="260" w:lineRule="auto"/>
        <w:tabs>
          <w:tab w:leader="none" w:pos="10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14, 2024, Adam Lowe, Chief Product &amp; Innovation Officer of the Company, terminated his pre-existing trading plan (adopted on June 12, 2024); and then on September 12, 2024, Mr. Lowe entered into a new plan covering the potential sale of 178,923 shares of Common Stock, all of which would be acquired upon exercise of stock options. This plan is scheduled to commence on December 13, 2024 and terminate on the earlier of December 31, 2025 or the date all shares subject to the plan have been sold.</w:t>
      </w:r>
    </w:p>
    <w:p>
      <w:pPr>
        <w:ind w:left="1020" w:hanging="251"/>
        <w:spacing w:after="0"/>
        <w:tabs>
          <w:tab w:leader="none" w:pos="1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14, 2024, Amanda Gourbault, Chief Revenue Officer of the Company, terminated her pre-existing trading plan (adopted June 14, 2024).</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Transactions under each of these plans are based upon pre-established stock price thresholds and will only occur upon the expiration of the applicable mandatory cooling-off period.</w:t>
      </w:r>
    </w:p>
    <w:p>
      <w:pPr>
        <w:spacing w:after="0" w:line="200"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Other than the plans described above, during the quarter ended September 30, 2024, none of the Company’s directors or officers informed the Company of the adoption or termination of a “Rule 10b5-1 trading arrangement” or “non-Rule 10b5-1 trading arrangement,” as those terms are defined in Regulation S-K, Item 408.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931" w:right="37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INDEX</w:t>
      </w:r>
    </w:p>
    <w:p>
      <w:pPr>
        <w:sectPr>
          <w:pgSz w:w="11900" w:h="16838" w:orient="portrait"/>
          <w:cols w:equalWidth="0" w:num="1">
            <w:col w:w="9019"/>
          </w:cols>
          <w:pgMar w:left="1440" w:top="7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57785</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755" w:right="1440" w:bottom="1440" w:gutter="0" w:footer="0" w:header="0"/>
          <w:type w:val="continuous"/>
        </w:sectPr>
      </w:pPr>
    </w:p>
    <w:bookmarkStart w:id="70" w:name="page71"/>
    <w:bookmarkEnd w:id="70"/>
    <w:tbl>
      <w:tblPr>
        <w:tblLayout w:type="fixed"/>
        <w:tblInd w:w="41" w:type="dxa"/>
        <w:tblCellMar>
          <w:top w:w="0" w:type="dxa"/>
          <w:left w:w="0" w:type="dxa"/>
          <w:bottom w:w="0" w:type="dxa"/>
          <w:right w:w="0" w:type="dxa"/>
        </w:tblCellMar>
      </w:tblPr>
      <w:tr>
        <w:trPr>
          <w:trHeight w:val="198"/>
        </w:trPr>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tcPr>
          <w:p>
            <w:pPr>
              <w:spacing w:after="0"/>
              <w:rPr>
                <w:sz w:val="17"/>
                <w:szCs w:val="17"/>
                <w:color w:val="auto"/>
              </w:rPr>
            </w:pPr>
          </w:p>
        </w:tc>
        <w:tc>
          <w:tcPr>
            <w:tcW w:w="26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r>
      <w:tr>
        <w:trPr>
          <w:trHeight w:val="159"/>
        </w:trPr>
        <w:tc>
          <w:tcPr>
            <w:tcW w:w="520" w:type="dxa"/>
            <w:vAlign w:val="bottom"/>
            <w:gridSpan w:val="2"/>
          </w:tcPr>
          <w:p>
            <w:pPr>
              <w:jc w:val="center"/>
              <w:ind w:left="109"/>
              <w:spacing w:after="0" w:line="159" w:lineRule="exact"/>
              <w:rPr>
                <w:sz w:val="20"/>
                <w:szCs w:val="20"/>
                <w:color w:val="auto"/>
              </w:rPr>
            </w:pPr>
            <w:r>
              <w:rPr>
                <w:rFonts w:ascii="Times New Roman" w:cs="Times New Roman" w:eastAsia="Times New Roman" w:hAnsi="Times New Roman"/>
                <w:sz w:val="14"/>
                <w:szCs w:val="14"/>
                <w:color w:val="auto"/>
              </w:rPr>
              <w:t>10.1</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40" w:type="dxa"/>
            <w:vAlign w:val="bottom"/>
            <w:gridSpan w:val="5"/>
          </w:tcPr>
          <w:p>
            <w:pPr>
              <w:spacing w:after="0" w:line="159" w:lineRule="exact"/>
              <w:rPr>
                <w:sz w:val="20"/>
                <w:szCs w:val="20"/>
                <w:color w:val="auto"/>
              </w:rPr>
            </w:pPr>
            <w:r>
              <w:rPr>
                <w:rFonts w:ascii="Times New Roman" w:cs="Times New Roman" w:eastAsia="Times New Roman" w:hAnsi="Times New Roman"/>
                <w:sz w:val="14"/>
                <w:szCs w:val="14"/>
                <w:color w:val="auto"/>
              </w:rPr>
              <w:t>Letter Agreement, dated August 7, 2024, by and among CompoSecure, Inc., CompoSecure Holdings, L.L.C. and Tungsten 2024 LLC (incorporated by</w:t>
            </w:r>
          </w:p>
        </w:tc>
      </w:tr>
      <w:tr>
        <w:trPr>
          <w:trHeight w:val="184"/>
        </w:trPr>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reference to Exhibit 10.1 to the Current Report on Form 8-K filed with the SEC on August 9, 2024).</w:t>
            </w:r>
          </w:p>
        </w:tc>
      </w:tr>
      <w:tr>
        <w:trPr>
          <w:trHeight w:val="389"/>
        </w:trPr>
        <w:tc>
          <w:tcPr>
            <w:tcW w:w="520" w:type="dxa"/>
            <w:vAlign w:val="bottom"/>
            <w:gridSpan w:val="2"/>
          </w:tcPr>
          <w:p>
            <w:pPr>
              <w:jc w:val="center"/>
              <w:ind w:left="109"/>
              <w:spacing w:after="0"/>
              <w:rPr>
                <w:sz w:val="20"/>
                <w:szCs w:val="20"/>
                <w:color w:val="auto"/>
              </w:rPr>
            </w:pPr>
            <w:r>
              <w:rPr>
                <w:rFonts w:ascii="Times New Roman" w:cs="Times New Roman" w:eastAsia="Times New Roman" w:hAnsi="Times New Roman"/>
                <w:sz w:val="14"/>
                <w:szCs w:val="14"/>
                <w:color w:val="auto"/>
              </w:rPr>
              <w:t>10.2</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Amendment No. 1 to the Tax Receivable Agreement, dated as of August 7, 2024, by and among CompoSecure, Inc., CompoSecure Holdings, L.L.C.</w:t>
            </w:r>
          </w:p>
        </w:tc>
      </w:tr>
      <w:tr>
        <w:trPr>
          <w:trHeight w:val="159"/>
        </w:trPr>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40" w:type="dxa"/>
            <w:vAlign w:val="bottom"/>
            <w:gridSpan w:val="5"/>
          </w:tcPr>
          <w:p>
            <w:pPr>
              <w:spacing w:after="0" w:line="159" w:lineRule="exact"/>
              <w:rPr>
                <w:sz w:val="20"/>
                <w:szCs w:val="20"/>
                <w:color w:val="auto"/>
              </w:rPr>
            </w:pPr>
            <w:r>
              <w:rPr>
                <w:rFonts w:ascii="Times New Roman" w:cs="Times New Roman" w:eastAsia="Times New Roman" w:hAnsi="Times New Roman"/>
                <w:sz w:val="14"/>
                <w:szCs w:val="14"/>
                <w:color w:val="auto"/>
              </w:rPr>
              <w:t>and the TRA Parties parties thereto (incorporated by reference to Exhibit 10.2 to the Current Report on Form 8-K filed with the SEC on August 9,</w:t>
            </w:r>
          </w:p>
        </w:tc>
      </w:tr>
      <w:tr>
        <w:trPr>
          <w:trHeight w:val="184"/>
        </w:trPr>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39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389"/>
        </w:trPr>
        <w:tc>
          <w:tcPr>
            <w:tcW w:w="520" w:type="dxa"/>
            <w:vAlign w:val="bottom"/>
            <w:gridSpan w:val="2"/>
          </w:tcPr>
          <w:p>
            <w:pPr>
              <w:jc w:val="center"/>
              <w:ind w:left="109"/>
              <w:spacing w:after="0"/>
              <w:rPr>
                <w:sz w:val="20"/>
                <w:szCs w:val="20"/>
                <w:color w:val="auto"/>
              </w:rPr>
            </w:pPr>
            <w:r>
              <w:rPr>
                <w:rFonts w:ascii="Times New Roman" w:cs="Times New Roman" w:eastAsia="Times New Roman" w:hAnsi="Times New Roman"/>
                <w:sz w:val="14"/>
                <w:szCs w:val="14"/>
                <w:color w:val="auto"/>
              </w:rPr>
              <w:t>10.3</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Fourth Amended and Restated Credit Agreement, dated August 7, 2024, by and among CompoSecure Holdings, L.L.C., CompoSecure, L.L.C., Arculus</w:t>
            </w:r>
          </w:p>
        </w:tc>
      </w:tr>
      <w:tr>
        <w:trPr>
          <w:trHeight w:val="159"/>
        </w:trPr>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40" w:type="dxa"/>
            <w:vAlign w:val="bottom"/>
            <w:gridSpan w:val="5"/>
          </w:tcPr>
          <w:p>
            <w:pPr>
              <w:spacing w:after="0" w:line="159" w:lineRule="exact"/>
              <w:rPr>
                <w:sz w:val="20"/>
                <w:szCs w:val="20"/>
                <w:color w:val="auto"/>
              </w:rPr>
            </w:pPr>
            <w:r>
              <w:rPr>
                <w:rFonts w:ascii="Times New Roman" w:cs="Times New Roman" w:eastAsia="Times New Roman" w:hAnsi="Times New Roman"/>
                <w:sz w:val="14"/>
                <w:szCs w:val="14"/>
                <w:color w:val="auto"/>
              </w:rPr>
              <w:t>Holdings, L.L.C., JPMorgan Chase Bank, National Association, as administrative agent, and the lenders party thereto (incorporated by reference to</w:t>
            </w:r>
          </w:p>
        </w:tc>
      </w:tr>
      <w:tr>
        <w:trPr>
          <w:trHeight w:val="184"/>
        </w:trPr>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Exhibit 10.3 to the Current Report on Form 8-K filed with the SEC on August 9, 2024).</w:t>
            </w:r>
          </w:p>
        </w:tc>
      </w:tr>
      <w:tr>
        <w:trPr>
          <w:trHeight w:val="389"/>
        </w:trPr>
        <w:tc>
          <w:tcPr>
            <w:tcW w:w="520" w:type="dxa"/>
            <w:vAlign w:val="bottom"/>
            <w:gridSpan w:val="2"/>
          </w:tcPr>
          <w:p>
            <w:pPr>
              <w:jc w:val="center"/>
              <w:ind w:left="109"/>
              <w:spacing w:after="0"/>
              <w:rPr>
                <w:sz w:val="20"/>
                <w:szCs w:val="20"/>
                <w:color w:val="auto"/>
              </w:rPr>
            </w:pPr>
            <w:r>
              <w:rPr>
                <w:rFonts w:ascii="Times New Roman" w:cs="Times New Roman" w:eastAsia="Times New Roman" w:hAnsi="Times New Roman"/>
                <w:sz w:val="14"/>
                <w:szCs w:val="14"/>
                <w:color w:val="auto"/>
              </w:rPr>
              <w:t>10.4</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Governance Agreement, dated September 17, 2024, by and between CompoSecure, Inc., Resolute Compo Holdings LLC and Tungsten 2024 LLC</w:t>
            </w:r>
          </w:p>
        </w:tc>
      </w:tr>
      <w:tr>
        <w:trPr>
          <w:trHeight w:val="184"/>
        </w:trPr>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(incorporated by reference to Exhibit 10.1 to the Current Report on Form 8-K filed with the SEC on September 17, 2024).</w:t>
            </w:r>
          </w:p>
        </w:tc>
      </w:tr>
      <w:tr>
        <w:trPr>
          <w:trHeight w:val="389"/>
        </w:trPr>
        <w:tc>
          <w:tcPr>
            <w:tcW w:w="520" w:type="dxa"/>
            <w:vAlign w:val="bottom"/>
            <w:gridSpan w:val="2"/>
          </w:tcPr>
          <w:p>
            <w:pPr>
              <w:jc w:val="center"/>
              <w:ind w:left="109"/>
              <w:spacing w:after="0"/>
              <w:rPr>
                <w:sz w:val="20"/>
                <w:szCs w:val="20"/>
                <w:color w:val="auto"/>
              </w:rPr>
            </w:pPr>
            <w:r>
              <w:rPr>
                <w:rFonts w:ascii="Times New Roman" w:cs="Times New Roman" w:eastAsia="Times New Roman" w:hAnsi="Times New Roman"/>
                <w:sz w:val="14"/>
                <w:szCs w:val="14"/>
                <w:color w:val="auto"/>
              </w:rPr>
              <w:t>10.5</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Agreement to Terminate Stockholders Agreement, dated September 17, 2024, by and between CompoSecure, Inc. and the certain stockholders</w:t>
            </w:r>
          </w:p>
        </w:tc>
      </w:tr>
      <w:tr>
        <w:trPr>
          <w:trHeight w:val="184"/>
        </w:trPr>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signatories thereto (incorporated by reference to Exhibit 10.2 to the Current Report on Form 8-K filed with the SEC on September 17, 2024).</w:t>
            </w:r>
          </w:p>
        </w:tc>
      </w:tr>
      <w:tr>
        <w:trPr>
          <w:trHeight w:val="382"/>
        </w:trPr>
        <w:tc>
          <w:tcPr>
            <w:tcW w:w="520" w:type="dxa"/>
            <w:vAlign w:val="bottom"/>
            <w:gridSpan w:val="2"/>
          </w:tcPr>
          <w:p>
            <w:pPr>
              <w:jc w:val="center"/>
              <w:ind w:left="129"/>
              <w:spacing w:after="0"/>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6*</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Amendment Number 8 to Master Services Agreement, dated August 13, 2024, by and between American Express Travel Related Services Company,</w:t>
            </w:r>
          </w:p>
        </w:tc>
      </w:tr>
      <w:tr>
        <w:trPr>
          <w:trHeight w:val="139"/>
        </w:trPr>
        <w:tc>
          <w:tcPr>
            <w:tcW w:w="20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tcBorders>
              <w:top w:val="single" w:sz="8" w:color="0000FF"/>
              <w:bottom w:val="single" w:sz="8" w:color="0000FF"/>
            </w:tcBorders>
          </w:tcPr>
          <w:p>
            <w:pPr>
              <w:spacing w:after="0" w:line="139" w:lineRule="exact"/>
              <w:rPr>
                <w:sz w:val="20"/>
                <w:szCs w:val="20"/>
                <w:color w:val="auto"/>
              </w:rPr>
            </w:pPr>
            <w:r>
              <w:rPr>
                <w:rFonts w:ascii="Times New Roman" w:cs="Times New Roman" w:eastAsia="Times New Roman" w:hAnsi="Times New Roman"/>
                <w:sz w:val="14"/>
                <w:szCs w:val="14"/>
                <w:color w:val="0000FF"/>
              </w:rPr>
              <w:t>Inc. and CompoSecure, L.L.C.</w:t>
            </w:r>
          </w:p>
        </w:tc>
        <w:tc>
          <w:tcPr>
            <w:tcW w:w="6700" w:type="dxa"/>
            <w:vAlign w:val="bottom"/>
            <w:tcBorders>
              <w:top w:val="single" w:sz="8" w:color="0000FF"/>
            </w:tcBorders>
            <w:gridSpan w:val="3"/>
          </w:tcPr>
          <w:p>
            <w:pPr>
              <w:spacing w:after="0"/>
              <w:rPr>
                <w:sz w:val="12"/>
                <w:szCs w:val="12"/>
                <w:color w:val="auto"/>
              </w:rPr>
            </w:pPr>
          </w:p>
        </w:tc>
        <w:tc>
          <w:tcPr>
            <w:tcW w:w="200" w:type="dxa"/>
            <w:vAlign w:val="bottom"/>
          </w:tcPr>
          <w:p>
            <w:pPr>
              <w:spacing w:after="0"/>
              <w:rPr>
                <w:sz w:val="12"/>
                <w:szCs w:val="12"/>
                <w:color w:val="auto"/>
              </w:rPr>
            </w:pPr>
          </w:p>
        </w:tc>
      </w:tr>
      <w:tr>
        <w:trPr>
          <w:trHeight w:val="383"/>
        </w:trPr>
        <w:tc>
          <w:tcPr>
            <w:tcW w:w="520" w:type="dxa"/>
            <w:vAlign w:val="bottom"/>
            <w:gridSpan w:val="2"/>
          </w:tcPr>
          <w:p>
            <w:pPr>
              <w:jc w:val="center"/>
              <w:ind w:left="129"/>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Section 302 of the Sarbanes-Oxley Act of 2002.</w:t>
            </w:r>
          </w:p>
        </w:tc>
      </w:tr>
      <w:tr>
        <w:trPr>
          <w:trHeight w:val="20"/>
        </w:trPr>
        <w:tc>
          <w:tcPr>
            <w:tcW w:w="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60" w:type="dxa"/>
            <w:vAlign w:val="bottom"/>
            <w:gridSpan w:val="2"/>
            <w:shd w:val="clear" w:color="auto" w:fill="0000FF"/>
          </w:tcPr>
          <w:p>
            <w:pPr>
              <w:spacing w:after="0" w:line="20" w:lineRule="exact"/>
              <w:rPr>
                <w:sz w:val="1"/>
                <w:szCs w:val="1"/>
                <w:color w:val="auto"/>
              </w:rPr>
            </w:pPr>
          </w:p>
        </w:tc>
        <w:tc>
          <w:tcPr>
            <w:tcW w:w="2660" w:type="dxa"/>
            <w:vAlign w:val="bottom"/>
            <w:tcBorders>
              <w:left w:val="single" w:sz="8" w:color="0000FF"/>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394"/>
        </w:trPr>
        <w:tc>
          <w:tcPr>
            <w:tcW w:w="520" w:type="dxa"/>
            <w:vAlign w:val="bottom"/>
            <w:gridSpan w:val="2"/>
          </w:tcPr>
          <w:p>
            <w:pPr>
              <w:jc w:val="center"/>
              <w:ind w:left="129"/>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2*</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Section 302 of the Sarbanes-Oxley Act of 2002.</w:t>
            </w:r>
          </w:p>
        </w:tc>
      </w:tr>
      <w:tr>
        <w:trPr>
          <w:trHeight w:val="20"/>
        </w:trPr>
        <w:tc>
          <w:tcPr>
            <w:tcW w:w="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60" w:type="dxa"/>
            <w:vAlign w:val="bottom"/>
            <w:gridSpan w:val="2"/>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394"/>
        </w:trPr>
        <w:tc>
          <w:tcPr>
            <w:tcW w:w="52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color w:val="0000FF"/>
                <w:w w:val="98"/>
              </w:rPr>
              <w:t>32.</w:t>
            </w:r>
            <w:r>
              <w:rPr>
                <w:rFonts w:ascii="Times New Roman" w:cs="Times New Roman" w:eastAsia="Times New Roman" w:hAnsi="Times New Roman"/>
                <w:sz w:val="14"/>
                <w:szCs w:val="14"/>
                <w:u w:val="single" w:color="auto"/>
                <w:color w:val="0000FF"/>
                <w:w w:val="98"/>
              </w:rPr>
              <w:t>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18 U.S.C. Section 1350 as adopted pursuant to Section 906 of the Sarbanes-Oxley Act of 2002.</w:t>
            </w:r>
          </w:p>
        </w:tc>
      </w:tr>
      <w:tr>
        <w:trPr>
          <w:trHeight w:val="20"/>
        </w:trPr>
        <w:tc>
          <w:tcPr>
            <w:tcW w:w="20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32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r>
      <w:tr>
        <w:trPr>
          <w:trHeight w:val="394"/>
        </w:trPr>
        <w:tc>
          <w:tcPr>
            <w:tcW w:w="52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color w:val="0000FF"/>
                <w:w w:val="98"/>
              </w:rPr>
              <w:t>32.</w:t>
            </w:r>
            <w:r>
              <w:rPr>
                <w:rFonts w:ascii="Times New Roman" w:cs="Times New Roman" w:eastAsia="Times New Roman" w:hAnsi="Times New Roman"/>
                <w:sz w:val="14"/>
                <w:szCs w:val="14"/>
                <w:u w:val="single" w:color="auto"/>
                <w:color w:val="0000FF"/>
                <w:w w:val="98"/>
              </w:rPr>
              <w:t>2**</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U.S.C. Section 1350 as adopted pursuant to Section 906 of the Sarbanes-Oxley Act of 2002.</w:t>
            </w:r>
          </w:p>
        </w:tc>
      </w:tr>
      <w:tr>
        <w:trPr>
          <w:trHeight w:val="20"/>
        </w:trPr>
        <w:tc>
          <w:tcPr>
            <w:tcW w:w="20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920" w:type="dxa"/>
            <w:vAlign w:val="bottom"/>
            <w:shd w:val="clear" w:color="auto" w:fill="0000FF"/>
          </w:tcPr>
          <w:p>
            <w:pPr>
              <w:spacing w:after="0" w:line="20" w:lineRule="exact"/>
              <w:rPr>
                <w:sz w:val="1"/>
                <w:szCs w:val="1"/>
                <w:color w:val="auto"/>
              </w:rPr>
            </w:pPr>
          </w:p>
        </w:tc>
        <w:tc>
          <w:tcPr>
            <w:tcW w:w="26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51" w:lineRule="exact"/>
        <w:rPr>
          <w:sz w:val="20"/>
          <w:szCs w:val="20"/>
          <w:color w:val="auto"/>
        </w:rPr>
      </w:pPr>
    </w:p>
    <w:p>
      <w:pPr>
        <w:ind w:left="1101" w:right="499" w:hanging="813"/>
        <w:spacing w:after="0" w:line="242" w:lineRule="auto"/>
        <w:tabs>
          <w:tab w:leader="none" w:pos="1101"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materials from CompoSecure, Inc.'s Form 10-Q for the quarter ended September 30, 2024, formatted in Extensible Business Reporting Language (XBRL): (i) Consolidated Balance Sheets as of September 30, 2024 (Unaudited) and December 31, 2023, (ii) Consolidated Statements of Operations (Unaudited) for the three and nine months ended September 30, 2024 and September 30, 2023, (iii) Consolidated Statements of Comprehensive Income (Unaudited) for the three and nine months ended September 30, 2024 and September 30, 2023 (iv) Consolidated Statements of Stockholders’ Equity (Unaudited) for the three and nine months ended September 30, 2024 and September 30, 2023, as well as the year ended December 31, 2023, (v) Consolidated Statements of Cash Flows (Unaudited) for the nine months ended September 30, 2024 and September 30, 2023, and (vi) Notes to Consolidated Financial Statements - Unaudited.</w:t>
      </w:r>
    </w:p>
    <w:p>
      <w:pPr>
        <w:spacing w:after="0" w:line="232" w:lineRule="exact"/>
        <w:rPr>
          <w:sz w:val="20"/>
          <w:szCs w:val="20"/>
          <w:color w:val="auto"/>
        </w:rPr>
      </w:pPr>
    </w:p>
    <w:p>
      <w:pPr>
        <w:ind w:left="1101" w:hanging="813"/>
        <w:spacing w:after="0"/>
        <w:tabs>
          <w:tab w:leader="none" w:pos="1101"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220" w:lineRule="exact"/>
        <w:rPr>
          <w:rFonts w:ascii="Times New Roman" w:cs="Times New Roman" w:eastAsia="Times New Roman" w:hAnsi="Times New Roman"/>
          <w:sz w:val="14"/>
          <w:szCs w:val="14"/>
          <w:color w:val="auto"/>
        </w:rPr>
      </w:pPr>
    </w:p>
    <w:p>
      <w:pPr>
        <w:ind w:left="1"/>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40" w:lineRule="exact"/>
        <w:rPr>
          <w:rFonts w:ascii="Times New Roman" w:cs="Times New Roman" w:eastAsia="Times New Roman" w:hAnsi="Times New Roman"/>
          <w:sz w:val="14"/>
          <w:szCs w:val="14"/>
          <w:color w:val="auto"/>
        </w:rPr>
      </w:pPr>
    </w:p>
    <w:p>
      <w:pPr>
        <w:ind w:left="181" w:hanging="181"/>
        <w:spacing w:after="0"/>
        <w:tabs>
          <w:tab w:leader="none" w:pos="181"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SEC Release 33-8238, Exhibits 32.1 and 32.2 are being furnished and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541"/>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57785</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40"/>
          </w:cols>
          <w:pgMar w:left="319" w:top="777" w:right="1440" w:bottom="1440" w:gutter="0" w:footer="0" w:header="0"/>
        </w:sectPr>
      </w:pPr>
    </w:p>
    <w:bookmarkStart w:id="71" w:name="page72"/>
    <w:bookmarkEnd w:id="71"/>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57785</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2" w:name="page73"/>
    <w:bookmarkEnd w:id="72"/>
    <w:p>
      <w:pPr>
        <w:ind w:left="530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39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CompoSecure, Inc.</w:t>
      </w:r>
    </w:p>
    <w:p>
      <w:pPr>
        <w:spacing w:after="0" w:line="391"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14"/>
          <w:szCs w:val="14"/>
          <w:color w:val="auto"/>
        </w:rPr>
        <w:t>Date: November 8, 2024</w:t>
      </w:r>
      <w:r>
        <w:rPr>
          <w:sz w:val="20"/>
          <w:szCs w:val="20"/>
          <w:color w:val="auto"/>
        </w:rPr>
        <w:tab/>
      </w:r>
      <w:r>
        <w:rPr>
          <w:rFonts w:ascii="Times New Roman" w:cs="Times New Roman" w:eastAsia="Times New Roman" w:hAnsi="Times New Roman"/>
          <w:sz w:val="13"/>
          <w:szCs w:val="13"/>
          <w:color w:val="auto"/>
        </w:rPr>
        <w:t xml:space="preserve">By: </w:t>
      </w:r>
      <w:r>
        <w:rPr>
          <w:rFonts w:ascii="Times New Roman" w:cs="Times New Roman" w:eastAsia="Times New Roman" w:hAnsi="Times New Roman"/>
          <w:sz w:val="13"/>
          <w:szCs w:val="13"/>
          <w:u w:val="single" w:color="auto"/>
          <w:color w:val="auto"/>
        </w:rPr>
        <w:t>/s/ Jonathan C. Wilk</w:t>
      </w:r>
    </w:p>
    <w:p>
      <w:pPr>
        <w:spacing w:after="0" w:line="2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Name: Jonathan C. Wilk</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Title: President and Chief Executive Officer</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200" w:lineRule="exact"/>
        <w:rPr>
          <w:sz w:val="20"/>
          <w:szCs w:val="20"/>
          <w:color w:val="auto"/>
        </w:rPr>
      </w:pPr>
    </w:p>
    <w:p>
      <w:pPr>
        <w:spacing w:after="0" w:line="367"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14"/>
          <w:szCs w:val="14"/>
          <w:color w:val="auto"/>
        </w:rPr>
        <w:t>Date: November 8, 2024</w:t>
      </w:r>
      <w:r>
        <w:rPr>
          <w:sz w:val="20"/>
          <w:szCs w:val="20"/>
          <w:color w:val="auto"/>
        </w:rPr>
        <w:tab/>
      </w:r>
      <w:r>
        <w:rPr>
          <w:rFonts w:ascii="Times New Roman" w:cs="Times New Roman" w:eastAsia="Times New Roman" w:hAnsi="Times New Roman"/>
          <w:sz w:val="13"/>
          <w:szCs w:val="13"/>
          <w:color w:val="auto"/>
        </w:rPr>
        <w:t xml:space="preserve">By: </w:t>
      </w:r>
      <w:r>
        <w:rPr>
          <w:rFonts w:ascii="Times New Roman" w:cs="Times New Roman" w:eastAsia="Times New Roman" w:hAnsi="Times New Roman"/>
          <w:sz w:val="13"/>
          <w:szCs w:val="13"/>
          <w:u w:val="single" w:color="auto"/>
          <w:color w:val="auto"/>
        </w:rPr>
        <w:t>/s/ Timothy Fitzsimmons</w:t>
      </w:r>
    </w:p>
    <w:p>
      <w:pPr>
        <w:spacing w:after="0" w:line="2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Name: Timothy Fitzsimmons</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70</w:t>
      </w:r>
    </w:p>
    <w:p>
      <w:pPr>
        <w:sectPr>
          <w:pgSz w:w="11900" w:h="16838" w:orient="portrait"/>
          <w:cols w:equalWidth="0" w:num="1">
            <w:col w:w="10320"/>
          </w:cols>
          <w:pgMar w:left="300" w:top="755" w:right="1279" w:bottom="1440"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4"/>
          <w:szCs w:val="14"/>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Jonathan C. Wilk, certify that:</w:t>
      </w:r>
    </w:p>
    <w:p>
      <w:pPr>
        <w:spacing w:after="0" w:line="9" w:lineRule="exact"/>
        <w:rPr>
          <w:sz w:val="20"/>
          <w:szCs w:val="20"/>
          <w:color w:val="auto"/>
        </w:rPr>
      </w:pPr>
    </w:p>
    <w:p>
      <w:pPr>
        <w:ind w:left="260" w:hanging="255"/>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CompoSecure, Inc.</w:t>
      </w:r>
    </w:p>
    <w:p>
      <w:pPr>
        <w:spacing w:after="0" w:line="8" w:lineRule="exact"/>
        <w:rPr>
          <w:rFonts w:ascii="Times New Roman" w:cs="Times New Roman" w:eastAsia="Times New Roman" w:hAnsi="Times New Roman"/>
          <w:sz w:val="14"/>
          <w:szCs w:val="14"/>
          <w:color w:val="auto"/>
        </w:rPr>
      </w:pPr>
    </w:p>
    <w:p>
      <w:pPr>
        <w:ind w:right="160" w:firstLine="5"/>
        <w:spacing w:after="0" w:line="253" w:lineRule="auto"/>
        <w:tabs>
          <w:tab w:leader="none" w:pos="24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20" w:firstLine="5"/>
        <w:spacing w:after="0" w:line="253" w:lineRule="auto"/>
        <w:tabs>
          <w:tab w:leader="none" w:pos="24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60" w:firstLine="5"/>
        <w:spacing w:after="0" w:line="253" w:lineRule="auto"/>
        <w:tabs>
          <w:tab w:leader="none" w:pos="245"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20" w:right="20" w:hanging="6"/>
        <w:spacing w:after="0" w:line="253" w:lineRule="auto"/>
        <w:tabs>
          <w:tab w:leader="none" w:pos="771"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right="240" w:hanging="6"/>
        <w:spacing w:after="0" w:line="253" w:lineRule="auto"/>
        <w:tabs>
          <w:tab w:leader="none" w:pos="779"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right="420" w:hanging="6"/>
        <w:spacing w:after="0" w:line="253" w:lineRule="auto"/>
        <w:tabs>
          <w:tab w:leader="none" w:pos="771"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right="60" w:hanging="6"/>
        <w:spacing w:after="0" w:line="253" w:lineRule="auto"/>
        <w:tabs>
          <w:tab w:leader="none" w:pos="779"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right="20" w:firstLine="5"/>
        <w:spacing w:after="0" w:line="253" w:lineRule="auto"/>
        <w:tabs>
          <w:tab w:leader="none" w:pos="245"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right="120" w:hanging="6"/>
        <w:spacing w:after="0" w:line="253" w:lineRule="auto"/>
        <w:tabs>
          <w:tab w:leader="none" w:pos="763"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hanging="246"/>
        <w:spacing w:after="0"/>
        <w:tabs>
          <w:tab w:leader="none" w:pos="76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9"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4"/>
          <w:szCs w:val="14"/>
          <w:color w:val="auto"/>
        </w:rPr>
        <w:t>Date: November 8, 2024</w:t>
      </w:r>
      <w:r>
        <w:rPr>
          <w:sz w:val="20"/>
          <w:szCs w:val="20"/>
          <w:color w:val="auto"/>
        </w:rPr>
        <w:tab/>
      </w:r>
      <w:r>
        <w:rPr>
          <w:rFonts w:ascii="Times New Roman" w:cs="Times New Roman" w:eastAsia="Times New Roman" w:hAnsi="Times New Roman"/>
          <w:sz w:val="13"/>
          <w:szCs w:val="13"/>
          <w:color w:val="auto"/>
        </w:rPr>
        <w:t xml:space="preserve">By: </w:t>
      </w:r>
      <w:r>
        <w:rPr>
          <w:rFonts w:ascii="Times New Roman" w:cs="Times New Roman" w:eastAsia="Times New Roman" w:hAnsi="Times New Roman"/>
          <w:sz w:val="13"/>
          <w:szCs w:val="13"/>
          <w:u w:val="single" w:color="auto"/>
          <w:color w:val="auto"/>
        </w:rPr>
        <w:t>/s/ Jonathan C. Wilk</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Name: Jonathan C. Wilk</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Title: President and Chief Executive Officer</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125" w:right="31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4"/>
          <w:szCs w:val="14"/>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Timothy Fitzsimmons, certify that:</w:t>
      </w:r>
    </w:p>
    <w:p>
      <w:pPr>
        <w:spacing w:after="0" w:line="9" w:lineRule="exact"/>
        <w:rPr>
          <w:sz w:val="20"/>
          <w:szCs w:val="20"/>
          <w:color w:val="auto"/>
        </w:r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CompoSecure, Inc.</w:t>
      </w:r>
    </w:p>
    <w:p>
      <w:pPr>
        <w:spacing w:after="0" w:line="8" w:lineRule="exact"/>
        <w:rPr>
          <w:rFonts w:ascii="Times New Roman" w:cs="Times New Roman" w:eastAsia="Times New Roman" w:hAnsi="Times New Roman"/>
          <w:sz w:val="14"/>
          <w:szCs w:val="14"/>
          <w:color w:val="auto"/>
        </w:rPr>
      </w:pPr>
    </w:p>
    <w:p>
      <w:pPr>
        <w:ind w:right="160" w:firstLine="5"/>
        <w:spacing w:after="0" w:line="253" w:lineRule="auto"/>
        <w:tabs>
          <w:tab w:leader="none" w:pos="248"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20" w:firstLine="5"/>
        <w:spacing w:after="0" w:line="253" w:lineRule="auto"/>
        <w:tabs>
          <w:tab w:leader="none" w:pos="248"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60" w:firstLine="5"/>
        <w:spacing w:after="0" w:line="253" w:lineRule="auto"/>
        <w:tabs>
          <w:tab w:leader="none" w:pos="245"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20" w:right="20" w:hanging="6"/>
        <w:spacing w:after="0" w:line="253" w:lineRule="auto"/>
        <w:tabs>
          <w:tab w:leader="none" w:pos="771"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right="240" w:hanging="6"/>
        <w:spacing w:after="0" w:line="253" w:lineRule="auto"/>
        <w:tabs>
          <w:tab w:leader="none" w:pos="779"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right="420" w:hanging="6"/>
        <w:spacing w:after="0" w:line="253" w:lineRule="auto"/>
        <w:tabs>
          <w:tab w:leader="none" w:pos="771"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right="60" w:hanging="6"/>
        <w:spacing w:after="0" w:line="253" w:lineRule="auto"/>
        <w:tabs>
          <w:tab w:leader="none" w:pos="779"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right="20" w:firstLine="5"/>
        <w:spacing w:after="0" w:line="253" w:lineRule="auto"/>
        <w:tabs>
          <w:tab w:leader="none" w:pos="245"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right="120" w:hanging="6"/>
        <w:spacing w:after="0" w:line="253" w:lineRule="auto"/>
        <w:tabs>
          <w:tab w:leader="none" w:pos="763"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hanging="246"/>
        <w:spacing w:after="0"/>
        <w:tabs>
          <w:tab w:leader="none" w:pos="76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9"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4"/>
          <w:szCs w:val="14"/>
          <w:color w:val="auto"/>
        </w:rPr>
        <w:t>Date: November 8, 2024</w:t>
      </w:r>
      <w:r>
        <w:rPr>
          <w:sz w:val="20"/>
          <w:szCs w:val="20"/>
          <w:color w:val="auto"/>
        </w:rPr>
        <w:tab/>
      </w:r>
      <w:r>
        <w:rPr>
          <w:rFonts w:ascii="Times New Roman" w:cs="Times New Roman" w:eastAsia="Times New Roman" w:hAnsi="Times New Roman"/>
          <w:sz w:val="13"/>
          <w:szCs w:val="13"/>
          <w:color w:val="auto"/>
        </w:rPr>
        <w:t xml:space="preserve">By: </w:t>
      </w:r>
      <w:r>
        <w:rPr>
          <w:rFonts w:ascii="Times New Roman" w:cs="Times New Roman" w:eastAsia="Times New Roman" w:hAnsi="Times New Roman"/>
          <w:sz w:val="13"/>
          <w:szCs w:val="13"/>
          <w:u w:val="single" w:color="auto"/>
          <w:color w:val="auto"/>
        </w:rPr>
        <w:t>/s/ Timothy Fitzsimmons</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Name: Timothy Fitzsimmons</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ectPr>
          <w:pgSz w:w="11900" w:h="16838" w:orient="portrait"/>
          <w:cols w:equalWidth="0" w:num="1">
            <w:col w:w="11280"/>
          </w:cols>
          <w:pgMar w:left="300" w:top="125" w:right="31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4"/>
          <w:szCs w:val="14"/>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w:t>
      </w:r>
    </w:p>
    <w:p>
      <w:pPr>
        <w:spacing w:after="0" w:line="185"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CompoSecure, Inc., a Delaware corporation (the “Company”), on Form 10-Q for the quarter ended September 30, 2024, as filed with the Securities and Exchange Commission on the date hereof (the “Report”), I, Jonathan C. Wilk, President and Chief Executive Officer of the Company, hereby certify, pursuant to 18 U.S.C. § 1350, as adopted pursuant to Section 906 of the Sarbanes-Oxley Act of 2002, that to my knowledge:</w:t>
      </w:r>
    </w:p>
    <w:p>
      <w:pPr>
        <w:spacing w:after="0" w:line="157" w:lineRule="exact"/>
        <w:rPr>
          <w:sz w:val="20"/>
          <w:szCs w:val="20"/>
          <w:color w:val="auto"/>
        </w:rPr>
      </w:pPr>
    </w:p>
    <w:p>
      <w:pPr>
        <w:ind w:left="240" w:hanging="235"/>
        <w:spacing w:after="0"/>
        <w:tabs>
          <w:tab w:leader="none" w:pos="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240" w:hanging="235"/>
        <w:spacing w:after="0"/>
        <w:tabs>
          <w:tab w:leader="none" w:pos="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4"/>
          <w:szCs w:val="14"/>
          <w:color w:val="auto"/>
        </w:rPr>
        <w:t>Date: November 8, 2024</w:t>
      </w:r>
      <w:r>
        <w:rPr>
          <w:sz w:val="20"/>
          <w:szCs w:val="20"/>
          <w:color w:val="auto"/>
        </w:rPr>
        <w:tab/>
      </w:r>
      <w:r>
        <w:rPr>
          <w:rFonts w:ascii="Times New Roman" w:cs="Times New Roman" w:eastAsia="Times New Roman" w:hAnsi="Times New Roman"/>
          <w:sz w:val="13"/>
          <w:szCs w:val="13"/>
          <w:color w:val="auto"/>
        </w:rPr>
        <w:t xml:space="preserve">By: </w:t>
      </w:r>
      <w:r>
        <w:rPr>
          <w:rFonts w:ascii="Times New Roman" w:cs="Times New Roman" w:eastAsia="Times New Roman" w:hAnsi="Times New Roman"/>
          <w:sz w:val="13"/>
          <w:szCs w:val="13"/>
          <w:u w:val="single" w:color="auto"/>
          <w:color w:val="auto"/>
        </w:rPr>
        <w:t>/s/ Jonathan C. Wilk</w:t>
      </w:r>
    </w:p>
    <w:p>
      <w:pPr>
        <w:spacing w:after="0" w:line="2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Name: Jonathan C. Wilk</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Title: President and Chief Executive Officer</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125" w:right="31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4"/>
          <w:szCs w:val="14"/>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w:t>
      </w:r>
    </w:p>
    <w:p>
      <w:pPr>
        <w:spacing w:after="0" w:line="185"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CompoSecure, Inc., a Delaware corporation (the “Company”), on Form 10-Q for the quarter ended September 30, 2024, as filed with the Securities and Exchange Commission on the date hereof (the “Report”), I, Timothy Fitzsimmons, Chief Financial Officer of the Company, hereby certify, pursuant to 18 U.S.C. § 1350, as adopted pursuant to Section 906 of the Sarbanes-Oxley Act of 2002, that to my knowledge:</w:t>
      </w:r>
    </w:p>
    <w:p>
      <w:pPr>
        <w:spacing w:after="0" w:line="157" w:lineRule="exact"/>
        <w:rPr>
          <w:sz w:val="20"/>
          <w:szCs w:val="20"/>
          <w:color w:val="auto"/>
        </w:rPr>
      </w:pPr>
    </w:p>
    <w:p>
      <w:pPr>
        <w:ind w:left="240" w:hanging="235"/>
        <w:spacing w:after="0"/>
        <w:tabs>
          <w:tab w:leader="none" w:pos="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240" w:hanging="235"/>
        <w:spacing w:after="0"/>
        <w:tabs>
          <w:tab w:leader="none" w:pos="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4"/>
          <w:szCs w:val="14"/>
          <w:color w:val="auto"/>
        </w:rPr>
        <w:t>Date: November 8, 2024</w:t>
      </w:r>
      <w:r>
        <w:rPr>
          <w:sz w:val="20"/>
          <w:szCs w:val="20"/>
          <w:color w:val="auto"/>
        </w:rPr>
        <w:tab/>
      </w:r>
      <w:r>
        <w:rPr>
          <w:rFonts w:ascii="Times New Roman" w:cs="Times New Roman" w:eastAsia="Times New Roman" w:hAnsi="Times New Roman"/>
          <w:sz w:val="13"/>
          <w:szCs w:val="13"/>
          <w:color w:val="auto"/>
        </w:rPr>
        <w:t xml:space="preserve">By: </w:t>
      </w:r>
      <w:r>
        <w:rPr>
          <w:rFonts w:ascii="Times New Roman" w:cs="Times New Roman" w:eastAsia="Times New Roman" w:hAnsi="Times New Roman"/>
          <w:sz w:val="13"/>
          <w:szCs w:val="13"/>
          <w:u w:val="single" w:color="auto"/>
          <w:color w:val="auto"/>
        </w:rPr>
        <w:t>/s/ Timothy Fitzsimmons</w:t>
      </w:r>
    </w:p>
    <w:p>
      <w:pPr>
        <w:spacing w:after="0" w:line="2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Name: Timothy Fitzsimmons</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(Principal Financial and Accounting Officer)</w:t>
      </w:r>
    </w:p>
    <w:sectPr>
      <w:pgSz w:w="11900" w:h="16838" w:orient="portrait"/>
      <w:cols w:equalWidth="0" w:num="1">
        <w:col w:w="11280"/>
      </w:cols>
      <w:pgMar w:left="30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decimal"/>
      <w:start w:val="6"/>
    </w:lvl>
  </w:abstractNum>
  <w:abstractNum w:abstractNumId="6">
    <w:nsid w:val="4E6AFB66"/>
    <w:multiLevelType w:val="hybridMultilevel"/>
    <w:lvl w:ilvl="0">
      <w:lvlJc w:val="left"/>
      <w:lvlText w:val="%1."/>
      <w:numFmt w:val="decimal"/>
      <w:start w:val="8"/>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
      <w:numFmt w:val="bullet"/>
      <w:start w:val="1"/>
    </w:lvl>
    <w:lvl w:ilvl="1">
      <w:lvlJc w:val="left"/>
      <w:lvlText w:val="◦"/>
      <w:numFmt w:val="bullet"/>
      <w:start w:val="1"/>
    </w:lvl>
  </w:abstractNum>
  <w:abstractNum w:abstractNumId="10">
    <w:nsid w:val="3F2DBA31"/>
    <w:multiLevelType w:val="hybridMultilevel"/>
    <w:lvl w:ilvl="0">
      <w:lvlJc w:val="left"/>
      <w:lvlText w:val="•"/>
      <w:numFmt w:val="bullet"/>
      <w:start w:val="1"/>
    </w:lvl>
    <w:lvl w:ilvl="1">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01"/>
    </w:lvl>
  </w:abstractNum>
  <w:abstractNum w:abstractNumId="20">
    <w:nsid w:val="6763845E"/>
    <w:multiLevelType w:val="hybridMultilevel"/>
    <w:lvl w:ilvl="0">
      <w:lvlJc w:val="left"/>
      <w:lvlText w:val="*"/>
      <w:numFmt w:val="bullet"/>
      <w:start w:val="1"/>
    </w:lvl>
    <w:lvl w:ilvl="1">
      <w:lvlJc w:val="left"/>
      <w:lvlText w:val="%2"/>
      <w:numFmt w:val="decimal"/>
      <w:start w:val="104"/>
    </w:lvl>
  </w:abstractNum>
  <w:abstractNum w:abstractNumId="21">
    <w:nsid w:val="75A2A8D4"/>
    <w:multiLevelType w:val="hybridMultilevel"/>
    <w:lvl w:ilvl="0">
      <w:lvlJc w:val="left"/>
      <w:lvlText w:val="**"/>
      <w:numFmt w:val="bullet"/>
      <w:start w:val="1"/>
    </w:lvl>
    <w:lvl w:ilvl="1">
      <w:lvlJc w:val="left"/>
      <w:lvlText w:val="%2"/>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2024-11-08T08:19:14Z</dcterms:created>
  <dcterms:modified xsi:type="dcterms:W3CDTF">2024-11-08T08:19:14Z</dcterms:modified>
</cp:coreProperties>
</file>