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405"/>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333"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333" w:before="0" w:after="20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40" w:after="180"/>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left"/>
        <w:rPr>
          <w:rFonts w:ascii="Times New Roman;sans-serif" w:hAnsi="Times New Roman;sans-serif"/>
          <w:b/>
          <w:color w:val="000000"/>
          <w:sz w:val="18"/>
        </w:rPr>
      </w:pPr>
      <w:r>
        <w:rPr>
          <w:rFonts w:ascii="Times New Roman;sans-serif" w:hAnsi="Times New Roman;sans-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333"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September 30, 2023</w:t>
      </w:r>
    </w:p>
    <w:p>
      <w:pPr>
        <w:pStyle w:val="TextBody"/>
        <w:bidi w:val="0"/>
        <w:spacing w:lineRule="auto" w:line="333"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333" w:before="0" w:after="0"/>
        <w:jc w:val="center"/>
        <w:rPr>
          <w:rFonts w:ascii="Times New Roman;sans-serif" w:hAnsi="Times New Roman;sans-serif"/>
          <w:b/>
          <w:color w:val="000000"/>
          <w:sz w:val="18"/>
        </w:rPr>
      </w:pPr>
      <w:r>
        <w:rPr>
          <w:rFonts w:ascii="Times New Roman;sans-serif" w:hAnsi="Times New Roman;sans-serif"/>
          <w:b/>
          <w:color w:val="000000"/>
          <w:sz w:val="18"/>
        </w:rPr>
        <w:t>For transition period from         to</w:t>
      </w:r>
    </w:p>
    <w:p>
      <w:pPr>
        <w:pStyle w:val="TextBody"/>
        <w:bidi w:val="0"/>
        <w:spacing w:lineRule="auto" w:line="333" w:before="60" w:after="180"/>
        <w:jc w:val="center"/>
        <w:rPr>
          <w:rFonts w:ascii="Times New Roman;sans-serif" w:hAnsi="Times New Roman;sans-serif"/>
          <w:b/>
          <w:color w:val="000000"/>
          <w:sz w:val="18"/>
        </w:rPr>
      </w:pPr>
      <w:r>
        <w:rPr>
          <w:rFonts w:ascii="Times New Roman;sans-serif" w:hAnsi="Times New Roman;sans-serif"/>
          <w:b/>
          <w:color w:val="000000"/>
          <w:sz w:val="18"/>
        </w:rPr>
        <w:t>Commission File Number 001-39687</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283"/>
        <w:jc w:val="center"/>
        <w:rPr>
          <w:rFonts w:ascii="Times New Roman;sans-serif" w:hAnsi="Times New Roman;sans-serif"/>
          <w:b/>
          <w:color w:val="000000"/>
          <w:sz w:val="36"/>
        </w:rPr>
      </w:pPr>
      <w:r>
        <w:rPr>
          <w:rFonts w:ascii="Times New Roman;sans-serif" w:hAnsi="Times New Roman;sans-serif"/>
          <w:b/>
          <w:color w:val="000000"/>
          <w:sz w:val="36"/>
        </w:rPr>
        <w:t>CompoSecure, Inc.</w:t>
      </w:r>
    </w:p>
    <w:p>
      <w:pPr>
        <w:pStyle w:val="TextBody"/>
        <w:bidi w:val="0"/>
        <w:spacing w:lineRule="auto" w:line="333" w:before="0" w:after="24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916" w:type="dxa"/>
        <w:jc w:val="left"/>
        <w:tblInd w:w="0" w:type="dxa"/>
        <w:tblLayout w:type="fixed"/>
        <w:tblCellMar>
          <w:top w:w="28" w:type="dxa"/>
          <w:left w:w="28" w:type="dxa"/>
          <w:bottom w:w="28" w:type="dxa"/>
          <w:right w:w="28" w:type="dxa"/>
        </w:tblCellMar>
      </w:tblPr>
      <w:tblGrid>
        <w:gridCol w:w="933"/>
        <w:gridCol w:w="819"/>
        <w:gridCol w:w="828"/>
        <w:gridCol w:w="109"/>
        <w:gridCol w:w="109"/>
        <w:gridCol w:w="109"/>
        <w:gridCol w:w="586"/>
        <w:gridCol w:w="586"/>
        <w:gridCol w:w="83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85-2749902</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p>
            <w:pPr>
              <w:pStyle w:val="TableContents"/>
              <w:bidi w:val="0"/>
              <w:spacing w:lineRule="auto" w:line="288" w:before="0" w:after="3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bidi w:val="0"/>
              <w:spacing w:lineRule="auto" w:line="288" w:before="0" w:after="3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Number)</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309 Pierce St.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Somerset, NJ 08873</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(908) 518-0500</w:t>
      </w:r>
    </w:p>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including zip code, and telephone number, including area code, of registrant’s principal executive offices)</w:t>
      </w:r>
    </w:p>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18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141"/>
        <w:gridCol w:w="1804"/>
        <w:gridCol w:w="1828"/>
        <w:gridCol w:w="397"/>
        <w:gridCol w:w="392"/>
        <w:gridCol w:w="394"/>
        <w:gridCol w:w="109"/>
        <w:gridCol w:w="109"/>
        <w:gridCol w:w="109"/>
        <w:gridCol w:w="854"/>
        <w:gridCol w:w="854"/>
        <w:gridCol w:w="1214"/>
      </w:tblGrid>
      <w:tr>
        <w:trPr/>
        <w:tc>
          <w:tcPr>
            <w:tcW w:w="2141"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r>
      <w:tr>
        <w:trPr/>
        <w:tc>
          <w:tcPr>
            <w:tcW w:w="577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18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577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$0.0001 par value per share</w:t>
            </w:r>
          </w:p>
        </w:tc>
        <w:tc>
          <w:tcPr>
            <w:tcW w:w="118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CMPO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Market</w:t>
            </w:r>
          </w:p>
        </w:tc>
      </w:tr>
      <w:tr>
        <w:trPr/>
        <w:tc>
          <w:tcPr>
            <w:tcW w:w="577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Redeemable Warrants, each whole warrant exercisable for one share of Class A Common Stock</w:t>
            </w:r>
          </w:p>
        </w:tc>
        <w:tc>
          <w:tcPr>
            <w:tcW w:w="118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CMPOW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Market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405"/>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405"/>
                        <w:jc w:val="center"/>
                        <w:rPr/>
                      </w:pPr>
                      <w:r>
                        <w:rPr/>
                      </w:r>
                    </w:p>
                  </w:txbxContent>
                </v:textbox>
                <w10:wrap type="none"/>
              </v:rect>
            </w:pict>
          </mc:Fallback>
        </mc:AlternateContent>
      </w:r>
    </w:p>
    <w:p>
      <w:pPr>
        <w:pStyle w:val="TextBody"/>
        <w:bidi w:val="0"/>
        <w:spacing w:before="0" w:after="0"/>
        <w:ind w:left="0" w:right="0" w:firstLine="405"/>
        <w:jc w:val="both"/>
        <w:rPr/>
      </w:pPr>
      <w:r>
        <w:rPr/>
      </w:r>
    </w:p>
    <w:p>
      <w:pPr>
        <w:pStyle w:val="TextBody"/>
        <w:bidi w:val="0"/>
        <w:spacing w:lineRule="auto" w:line="333" w:before="200" w:after="283"/>
        <w:ind w:left="0" w:right="0" w:firstLine="405"/>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No ☐</w:t>
      </w:r>
    </w:p>
    <w:p>
      <w:pPr>
        <w:pStyle w:val="TextBody"/>
        <w:bidi w:val="0"/>
        <w:spacing w:lineRule="auto" w:line="333" w:before="200" w:after="283"/>
        <w:ind w:left="0" w:right="0" w:firstLine="405"/>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No ☐</w:t>
      </w:r>
    </w:p>
    <w:p>
      <w:pPr>
        <w:pStyle w:val="TextBody"/>
        <w:bidi w:val="0"/>
        <w:spacing w:lineRule="auto" w:line="333" w:before="200" w:after="283"/>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r>
    </w:tbl>
    <w:p>
      <w:pPr>
        <w:pStyle w:val="TextBody"/>
        <w:bidi w:val="0"/>
        <w:spacing w:lineRule="auto" w:line="333" w:before="200" w:after="283"/>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lineRule="auto" w:line="333" w:before="200" w:after="283"/>
        <w:ind w:left="0" w:right="0" w:firstLine="405"/>
        <w:jc w:val="both"/>
        <w:rPr/>
      </w:pPr>
      <w:r>
        <w:rPr>
          <w:rFonts w:ascii="Times New Roman;sans-serif" w:hAnsi="Times New Roman;sans-serif"/>
          <w:b w:val="false"/>
          <w:color w:val="000000"/>
          <w:sz w:val="20"/>
        </w:rPr>
        <w:t xml:space="preserve">Indicate by check mark whether the registrant is a shell company (as defined in Rule 12b-2 of the Exchange Act): Yes ☐ No </w:t>
      </w:r>
      <w:r>
        <w:rPr>
          <w:color w:val="000000"/>
        </w:rPr>
        <w:t>☒</w:t>
      </w:r>
    </w:p>
    <w:p>
      <w:pPr>
        <w:pStyle w:val="TextBody"/>
        <w:bidi w:val="0"/>
        <w:spacing w:lineRule="auto" w:line="333" w:before="200" w:after="20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As of November 2, 2023, there were 19,356,819 shares of the registrant's Class A common stock outstanding and 59,958,422 shares of the registrant's Class B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405"/>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405"/>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40"/>
        <w:jc w:val="right"/>
        <w:rPr/>
      </w:pPr>
      <w:r>
        <w:rPr/>
      </w:r>
    </w:p>
    <w:p>
      <w:pPr>
        <w:pStyle w:val="TextBody"/>
        <w:bidi w:val="0"/>
        <w:spacing w:lineRule="auto" w:line="288" w:before="0" w:after="24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Table of Contents</w:t>
      </w:r>
    </w:p>
    <w:tbl>
      <w:tblPr>
        <w:tblW w:w="8881" w:type="dxa"/>
        <w:jc w:val="left"/>
        <w:tblInd w:w="0" w:type="dxa"/>
        <w:tblLayout w:type="fixed"/>
        <w:tblCellMar>
          <w:top w:w="28" w:type="dxa"/>
          <w:left w:w="28" w:type="dxa"/>
          <w:bottom w:w="28" w:type="dxa"/>
          <w:right w:w="28" w:type="dxa"/>
        </w:tblCellMar>
      </w:tblPr>
      <w:tblGrid>
        <w:gridCol w:w="352"/>
        <w:gridCol w:w="310"/>
        <w:gridCol w:w="314"/>
        <w:gridCol w:w="2443"/>
        <w:gridCol w:w="2443"/>
        <w:gridCol w:w="2448"/>
        <w:gridCol w:w="167"/>
        <w:gridCol w:w="167"/>
        <w:gridCol w:w="237"/>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0f21f6b84a14e5da18d45e7403573ef_13">
              <w:r>
                <w:rPr>
                  <w:rStyle w:val="InternetLink"/>
                  <w:rFonts w:ascii="Times New Roman;sans-serif" w:hAnsi="Times New Roman;sans-serif"/>
                  <w:b/>
                  <w:color w:val="0000FF"/>
                  <w:sz w:val="20"/>
                  <w:u w:val="single"/>
                </w:rPr>
                <w:t>Part I.</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0f21f6b84a14e5da18d45e7403573ef_13">
              <w:r>
                <w:rPr>
                  <w:rStyle w:val="InternetLink"/>
                  <w:rFonts w:ascii="Times New Roman;sans-serif" w:hAnsi="Times New Roman;sans-serif"/>
                  <w:b/>
                  <w:color w:val="0000FF"/>
                  <w:sz w:val="20"/>
                  <w:u w:val="single"/>
                </w:rPr>
                <w:t>Financial Information</w:t>
              </w:r>
            </w:hyperlink>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pPr>
            <w:hyperlink w:anchor="i60f21f6b84a14e5da18d45e7403573ef_13">
              <w:r>
                <w:rPr>
                  <w:rStyle w:val="InternetLink"/>
                  <w:rFonts w:ascii="Times New Roman;sans-serif" w:hAnsi="Times New Roman;sans-serif"/>
                  <w:b w:val="false"/>
                  <w:strike w:val="false"/>
                  <w:dstrike w:val="false"/>
                  <w:color w:val="000000"/>
                  <w:sz w:val="20"/>
                  <w:u w:val="none"/>
                  <w:effect w:val="none"/>
                </w:rPr>
                <w:t>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60f21f6b84a14e5da18d45e7403573ef_16">
              <w:r>
                <w:rPr>
                  <w:rStyle w:val="InternetLink"/>
                  <w:rFonts w:ascii="Times New Roman;sans-serif" w:hAnsi="Times New Roman;sans-serif"/>
                  <w:b w:val="false"/>
                  <w:color w:val="0000FF"/>
                  <w:sz w:val="20"/>
                  <w:u w:val="single"/>
                </w:rPr>
                <w:t>Item 1.</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0f21f6b84a14e5da18d45e7403573ef_16">
              <w:r>
                <w:rPr>
                  <w:rStyle w:val="InternetLink"/>
                  <w:rFonts w:ascii="Times New Roman;sans-serif" w:hAnsi="Times New Roman;sans-serif"/>
                  <w:b w:val="false"/>
                  <w:color w:val="0000FF"/>
                  <w:sz w:val="20"/>
                  <w:u w:val="single"/>
                </w:rPr>
                <w:t>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0f21f6b84a14e5da18d45e7403573ef_16">
              <w:r>
                <w:rPr>
                  <w:rStyle w:val="InternetLink"/>
                  <w:rFonts w:ascii="Times New Roman;sans-serif" w:hAnsi="Times New Roman;sans-serif"/>
                  <w:b w:val="false"/>
                  <w:strike w:val="false"/>
                  <w:dstrike w:val="false"/>
                  <w:color w:val="000000"/>
                  <w:sz w:val="20"/>
                  <w:u w:val="none"/>
                  <w:effect w:val="none"/>
                </w:rPr>
                <w:t>2</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0f21f6b84a14e5da18d45e7403573ef_19">
              <w:r>
                <w:rPr>
                  <w:rStyle w:val="InternetLink"/>
                  <w:rFonts w:ascii="Times New Roman;sans-serif" w:hAnsi="Times New Roman;sans-serif"/>
                  <w:b w:val="false"/>
                  <w:color w:val="0000FF"/>
                  <w:sz w:val="20"/>
                  <w:u w:val="single"/>
                </w:rPr>
                <w:t xml:space="preserve">Consolidated Balance Sheets (Unaudited) </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0f21f6b84a14e5da18d45e7403573ef_19">
              <w:r>
                <w:rPr>
                  <w:rStyle w:val="InternetLink"/>
                  <w:rFonts w:ascii="Times New Roman;sans-serif" w:hAnsi="Times New Roman;sans-serif"/>
                  <w:b w:val="false"/>
                  <w:strike w:val="false"/>
                  <w:dstrike w:val="false"/>
                  <w:color w:val="000000"/>
                  <w:sz w:val="20"/>
                  <w:u w:val="none"/>
                  <w:effect w:val="non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0f21f6b84a14e5da18d45e7403573ef_22">
              <w:r>
                <w:rPr>
                  <w:rStyle w:val="InternetLink"/>
                  <w:rFonts w:ascii="Times New Roman;sans-serif" w:hAnsi="Times New Roman;sans-serif"/>
                  <w:b w:val="false"/>
                  <w:color w:val="0000FF"/>
                  <w:sz w:val="20"/>
                  <w:u w:val="single"/>
                </w:rPr>
                <w:t>Consolidated Statements of Operations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0f21f6b84a14e5da18d45e7403573ef_22">
              <w:r>
                <w:rPr>
                  <w:rStyle w:val="InternetLink"/>
                  <w:rFonts w:ascii="Times New Roman;sans-serif" w:hAnsi="Times New Roman;sans-serif"/>
                  <w:b w:val="false"/>
                  <w:strike w:val="false"/>
                  <w:dstrike w:val="false"/>
                  <w:color w:val="000000"/>
                  <w:sz w:val="20"/>
                  <w:u w:val="none"/>
                  <w:effect w:val="none"/>
                </w:rPr>
                <w:t>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0f21f6b84a14e5da18d45e7403573ef_25">
              <w:r>
                <w:rPr>
                  <w:rStyle w:val="InternetLink"/>
                  <w:rFonts w:ascii="Times New Roman;sans-serif" w:hAnsi="Times New Roman;sans-serif"/>
                  <w:b w:val="false"/>
                  <w:color w:val="0000FF"/>
                  <w:sz w:val="20"/>
                  <w:u w:val="single"/>
                </w:rPr>
                <w:t>Consolidated Statements of Comprehensive Income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0f21f6b84a14e5da18d45e7403573ef_25">
              <w:r>
                <w:rPr>
                  <w:rStyle w:val="InternetLink"/>
                  <w:rFonts w:ascii="Times New Roman;sans-serif" w:hAnsi="Times New Roman;sans-serif"/>
                  <w:b w:val="false"/>
                  <w:strike w:val="false"/>
                  <w:dstrike w:val="false"/>
                  <w:color w:val="000000"/>
                  <w:sz w:val="20"/>
                  <w:u w:val="none"/>
                  <w:effect w:val="non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0f21f6b84a14e5da18d45e7403573ef_28">
              <w:r>
                <w:rPr>
                  <w:rStyle w:val="InternetLink"/>
                  <w:rFonts w:ascii="Times New Roman;sans-serif" w:hAnsi="Times New Roman;sans-serif"/>
                  <w:b w:val="false"/>
                  <w:color w:val="0000FF"/>
                  <w:sz w:val="20"/>
                  <w:u w:val="single"/>
                </w:rPr>
                <w:t>Consolidated Statements of Stockholders’ Deficit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0f21f6b84a14e5da18d45e7403573ef_28">
              <w:r>
                <w:rPr>
                  <w:rStyle w:val="InternetLink"/>
                  <w:rFonts w:ascii="Times New Roman;sans-serif" w:hAnsi="Times New Roman;sans-serif"/>
                  <w:b w:val="false"/>
                  <w:strike w:val="false"/>
                  <w:dstrike w:val="false"/>
                  <w:color w:val="000000"/>
                  <w:sz w:val="20"/>
                  <w:u w:val="none"/>
                  <w:effect w:val="non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0f21f6b84a14e5da18d45e7403573ef_31">
              <w:r>
                <w:rPr>
                  <w:rStyle w:val="InternetLink"/>
                  <w:rFonts w:ascii="Times New Roman;sans-serif" w:hAnsi="Times New Roman;sans-serif"/>
                  <w:b w:val="false"/>
                  <w:color w:val="0000FF"/>
                  <w:sz w:val="20"/>
                  <w:u w:val="single"/>
                </w:rPr>
                <w:t>Consolidated Statements of Cash Flows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0f21f6b84a14e5da18d45e7403573ef_31">
              <w:r>
                <w:rPr>
                  <w:rStyle w:val="InternetLink"/>
                  <w:rFonts w:ascii="Times New Roman;sans-serif" w:hAnsi="Times New Roman;sans-serif"/>
                  <w:b w:val="false"/>
                  <w:strike w:val="false"/>
                  <w:dstrike w:val="false"/>
                  <w:color w:val="000000"/>
                  <w:sz w:val="20"/>
                  <w:u w:val="none"/>
                  <w:effect w:val="none"/>
                </w:rPr>
                <w:t>9</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0f21f6b84a14e5da18d45e7403573ef_34">
              <w:r>
                <w:rPr>
                  <w:rStyle w:val="InternetLink"/>
                  <w:rFonts w:ascii="Times New Roman;sans-serif" w:hAnsi="Times New Roman;sans-serif"/>
                  <w:b w:val="false"/>
                  <w:color w:val="0000FF"/>
                  <w:sz w:val="20"/>
                  <w:u w:val="single"/>
                </w:rPr>
                <w:t>Notes to Consolidated 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0f21f6b84a14e5da18d45e7403573ef_34">
              <w:r>
                <w:rPr>
                  <w:rStyle w:val="InternetLink"/>
                  <w:rFonts w:ascii="Times New Roman;sans-serif" w:hAnsi="Times New Roman;sans-serif"/>
                  <w:b w:val="false"/>
                  <w:strike w:val="false"/>
                  <w:dstrike w:val="false"/>
                  <w:color w:val="000000"/>
                  <w:sz w:val="20"/>
                  <w:u w:val="none"/>
                  <w:effect w:val="none"/>
                </w:rPr>
                <w:t>10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60f21f6b84a14e5da18d45e7403573ef_85">
              <w:r>
                <w:rPr>
                  <w:rStyle w:val="InternetLink"/>
                  <w:rFonts w:ascii="Times New Roman;sans-serif" w:hAnsi="Times New Roman;sans-serif"/>
                  <w:b w:val="false"/>
                  <w:color w:val="0000FF"/>
                  <w:sz w:val="20"/>
                  <w:u w:val="single"/>
                </w:rPr>
                <w:t>Item 2.</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0f21f6b84a14e5da18d45e7403573ef_85">
              <w:r>
                <w:rPr>
                  <w:rStyle w:val="InternetLink"/>
                  <w:rFonts w:ascii="Times New Roman;sans-serif" w:hAnsi="Times New Roman;sans-serif"/>
                  <w:b w:val="false"/>
                  <w:color w:val="0000FF"/>
                  <w:sz w:val="20"/>
                  <w:u w:val="single"/>
                </w:rPr>
                <w:t>Management's Discussion and Analysis of Financial Condition and Results of Operation</w:t>
              </w:r>
            </w:hyperlink>
            <w:r>
              <w:rPr>
                <w:rFonts w:ascii="Times New Roman;sans-serif" w:hAnsi="Times New Roman;sans-serif"/>
                <w:b w:val="false"/>
                <w:color w:val="000000"/>
                <w:sz w:val="20"/>
              </w:rPr>
              <w:t>s</w:t>
            </w:r>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0f21f6b84a14e5da18d45e7403573ef_85">
              <w:r>
                <w:rPr>
                  <w:rStyle w:val="InternetLink"/>
                  <w:rFonts w:ascii="Times New Roman;sans-serif" w:hAnsi="Times New Roman;sans-serif"/>
                  <w:b w:val="false"/>
                  <w:strike w:val="false"/>
                  <w:dstrike w:val="false"/>
                  <w:color w:val="000000"/>
                  <w:sz w:val="20"/>
                  <w:u w:val="none"/>
                  <w:effect w:val="none"/>
                </w:rPr>
                <w:t>28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60f21f6b84a14e5da18d45e7403573ef_118">
              <w:r>
                <w:rPr>
                  <w:rStyle w:val="InternetLink"/>
                  <w:rFonts w:ascii="Times New Roman;sans-serif" w:hAnsi="Times New Roman;sans-serif"/>
                  <w:b w:val="false"/>
                  <w:color w:val="0000FF"/>
                  <w:sz w:val="20"/>
                  <w:u w:val="single"/>
                </w:rPr>
                <w:t>Item 3.</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0f21f6b84a14e5da18d45e7403573ef_118">
              <w:r>
                <w:rPr>
                  <w:rStyle w:val="InternetLink"/>
                  <w:rFonts w:ascii="Times New Roman;sans-serif" w:hAnsi="Times New Roman;sans-serif"/>
                  <w:b w:val="false"/>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0f21f6b84a14e5da18d45e7403573ef_118">
              <w:r>
                <w:rPr>
                  <w:rStyle w:val="InternetLink"/>
                  <w:rFonts w:ascii="Times New Roman;sans-serif" w:hAnsi="Times New Roman;sans-serif"/>
                  <w:b w:val="false"/>
                  <w:strike w:val="false"/>
                  <w:dstrike w:val="false"/>
                  <w:color w:val="000000"/>
                  <w:sz w:val="20"/>
                  <w:u w:val="none"/>
                  <w:effect w:val="none"/>
                </w:rPr>
                <w:t>37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60f21f6b84a14e5da18d45e7403573ef_121">
              <w:r>
                <w:rPr>
                  <w:rStyle w:val="InternetLink"/>
                  <w:rFonts w:ascii="Times New Roman;sans-serif" w:hAnsi="Times New Roman;sans-serif"/>
                  <w:b w:val="false"/>
                  <w:color w:val="0000FF"/>
                  <w:sz w:val="20"/>
                  <w:u w:val="single"/>
                </w:rPr>
                <w:t>Item 4.</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0f21f6b84a14e5da18d45e7403573ef_121">
              <w:r>
                <w:rPr>
                  <w:rStyle w:val="InternetLink"/>
                  <w:rFonts w:ascii="Times New Roman;sans-serif" w:hAnsi="Times New Roman;sans-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0f21f6b84a14e5da18d45e7403573ef_121">
              <w:r>
                <w:rPr>
                  <w:rStyle w:val="InternetLink"/>
                  <w:rFonts w:ascii="Times New Roman;sans-serif" w:hAnsi="Times New Roman;sans-serif"/>
                  <w:b w:val="false"/>
                  <w:strike w:val="false"/>
                  <w:dstrike w:val="false"/>
                  <w:color w:val="000000"/>
                  <w:sz w:val="20"/>
                  <w:u w:val="none"/>
                  <w:effect w:val="none"/>
                </w:rPr>
                <w:t>38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0f21f6b84a14e5da18d45e7403573ef_124">
              <w:r>
                <w:rPr>
                  <w:rStyle w:val="InternetLink"/>
                  <w:rFonts w:ascii="Times New Roman;sans-serif" w:hAnsi="Times New Roman;sans-serif"/>
                  <w:b/>
                  <w:color w:val="0000FF"/>
                  <w:sz w:val="20"/>
                  <w:u w:val="single"/>
                </w:rPr>
                <w:t>Part II.</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0f21f6b84a14e5da18d45e7403573ef_124">
              <w:r>
                <w:rPr>
                  <w:rStyle w:val="InternetLink"/>
                  <w:rFonts w:ascii="Times New Roman;sans-serif" w:hAnsi="Times New Roman;sans-serif"/>
                  <w:b/>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0f21f6b84a14e5da18d45e7403573ef_124">
              <w:r>
                <w:rPr>
                  <w:rStyle w:val="InternetLink"/>
                  <w:rFonts w:ascii="Times New Roman;sans-serif" w:hAnsi="Times New Roman;sans-serif"/>
                  <w:b w:val="false"/>
                  <w:strike w:val="false"/>
                  <w:dstrike w:val="false"/>
                  <w:color w:val="000000"/>
                  <w:sz w:val="20"/>
                  <w:u w:val="none"/>
                  <w:effect w:val="none"/>
                </w:rPr>
                <w:t>40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60f21f6b84a14e5da18d45e7403573ef_127">
              <w:r>
                <w:rPr>
                  <w:rStyle w:val="InternetLink"/>
                  <w:rFonts w:ascii="Times New Roman;sans-serif" w:hAnsi="Times New Roman;sans-serif"/>
                  <w:b w:val="false"/>
                  <w:color w:val="0000FF"/>
                  <w:sz w:val="20"/>
                  <w:u w:val="single"/>
                </w:rPr>
                <w:t>Item 1.</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0f21f6b84a14e5da18d45e7403573ef_127">
              <w:r>
                <w:rPr>
                  <w:rStyle w:val="InternetLink"/>
                  <w:rFonts w:ascii="Times New Roman;sans-serif" w:hAnsi="Times New Roman;sans-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0f21f6b84a14e5da18d45e7403573ef_127">
              <w:r>
                <w:rPr>
                  <w:rStyle w:val="InternetLink"/>
                  <w:rFonts w:ascii="Times New Roman;sans-serif" w:hAnsi="Times New Roman;sans-serif"/>
                  <w:b w:val="false"/>
                  <w:strike w:val="false"/>
                  <w:dstrike w:val="false"/>
                  <w:color w:val="000000"/>
                  <w:sz w:val="20"/>
                  <w:u w:val="none"/>
                  <w:effect w:val="none"/>
                </w:rPr>
                <w:t>40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60f21f6b84a14e5da18d45e7403573ef_130">
              <w:r>
                <w:rPr>
                  <w:rStyle w:val="InternetLink"/>
                  <w:rFonts w:ascii="Times New Roman;sans-serif" w:hAnsi="Times New Roman;sans-serif"/>
                  <w:b w:val="false"/>
                  <w:color w:val="0000FF"/>
                  <w:sz w:val="20"/>
                  <w:u w:val="single"/>
                </w:rPr>
                <w:t>Item 1A.</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0f21f6b84a14e5da18d45e7403573ef_130">
              <w:r>
                <w:rPr>
                  <w:rStyle w:val="InternetLink"/>
                  <w:rFonts w:ascii="Times New Roman;sans-serif" w:hAnsi="Times New Roman;sans-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0f21f6b84a14e5da18d45e7403573ef_127">
              <w:r>
                <w:rPr>
                  <w:rStyle w:val="InternetLink"/>
                  <w:rFonts w:ascii="Times New Roman;sans-serif" w:hAnsi="Times New Roman;sans-serif"/>
                  <w:b w:val="false"/>
                  <w:strike w:val="false"/>
                  <w:dstrike w:val="false"/>
                  <w:color w:val="000000"/>
                  <w:sz w:val="20"/>
                  <w:u w:val="none"/>
                  <w:effect w:val="none"/>
                </w:rPr>
                <w:t>40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60f21f6b84a14e5da18d45e7403573ef_133">
              <w:r>
                <w:rPr>
                  <w:rStyle w:val="InternetLink"/>
                  <w:rFonts w:ascii="Times New Roman;sans-serif" w:hAnsi="Times New Roman;sans-serif"/>
                  <w:b w:val="false"/>
                  <w:color w:val="0000FF"/>
                  <w:sz w:val="20"/>
                  <w:u w:val="single"/>
                </w:rPr>
                <w:t>Item 2.</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0f21f6b84a14e5da18d45e7403573ef_133">
              <w:r>
                <w:rPr>
                  <w:rStyle w:val="InternetLink"/>
                  <w:rFonts w:ascii="Times New Roman;sans-serif" w:hAnsi="Times New Roman;sans-serif"/>
                  <w:b w:val="false"/>
                  <w:color w:val="0000FF"/>
                  <w:sz w:val="20"/>
                  <w:u w:val="singl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0f21f6b84a14e5da18d45e7403573ef_133">
              <w:r>
                <w:rPr>
                  <w:rStyle w:val="InternetLink"/>
                  <w:rFonts w:ascii="Times New Roman;sans-serif" w:hAnsi="Times New Roman;sans-serif"/>
                  <w:b w:val="false"/>
                  <w:strike w:val="false"/>
                  <w:dstrike w:val="false"/>
                  <w:color w:val="000000"/>
                  <w:sz w:val="20"/>
                  <w:u w:val="none"/>
                  <w:effect w:val="none"/>
                </w:rPr>
                <w:t>62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60f21f6b84a14e5da18d45e7403573ef_136">
              <w:r>
                <w:rPr>
                  <w:rStyle w:val="InternetLink"/>
                  <w:rFonts w:ascii="Times New Roman;sans-serif" w:hAnsi="Times New Roman;sans-serif"/>
                  <w:b w:val="false"/>
                  <w:color w:val="0000FF"/>
                  <w:sz w:val="20"/>
                  <w:u w:val="single"/>
                </w:rPr>
                <w:t>Item 3.</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0f21f6b84a14e5da18d45e7403573ef_136">
              <w:r>
                <w:rPr>
                  <w:rStyle w:val="InternetLink"/>
                  <w:rFonts w:ascii="Times New Roman;sans-serif" w:hAnsi="Times New Roman;sans-serif"/>
                  <w:b w:val="false"/>
                  <w:color w:val="0000FF"/>
                  <w:sz w:val="20"/>
                  <w:u w:val="single"/>
                </w:rPr>
                <w:t>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0f21f6b84a14e5da18d45e7403573ef_136">
              <w:r>
                <w:rPr>
                  <w:rStyle w:val="InternetLink"/>
                  <w:rFonts w:ascii="Times New Roman;sans-serif" w:hAnsi="Times New Roman;sans-serif"/>
                  <w:b w:val="false"/>
                  <w:strike w:val="false"/>
                  <w:dstrike w:val="false"/>
                  <w:color w:val="000000"/>
                  <w:sz w:val="20"/>
                  <w:u w:val="none"/>
                  <w:effect w:val="none"/>
                </w:rPr>
                <w:t>63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60f21f6b84a14e5da18d45e7403573ef_139">
              <w:r>
                <w:rPr>
                  <w:rStyle w:val="InternetLink"/>
                  <w:rFonts w:ascii="Times New Roman;sans-serif" w:hAnsi="Times New Roman;sans-serif"/>
                  <w:b w:val="false"/>
                  <w:color w:val="0000FF"/>
                  <w:sz w:val="20"/>
                  <w:u w:val="single"/>
                </w:rPr>
                <w:t>Item 4.</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0f21f6b84a14e5da18d45e7403573ef_139">
              <w:r>
                <w:rPr>
                  <w:rStyle w:val="InternetLink"/>
                  <w:rFonts w:ascii="Times New Roman;sans-serif" w:hAnsi="Times New Roman;sans-serif"/>
                  <w:b w:val="false"/>
                  <w:color w:val="0000FF"/>
                  <w:sz w:val="20"/>
                  <w:u w:val="single"/>
                </w:rPr>
                <w:t>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0f21f6b84a14e5da18d45e7403573ef_139">
              <w:r>
                <w:rPr>
                  <w:rStyle w:val="InternetLink"/>
                  <w:rFonts w:ascii="Times New Roman;sans-serif" w:hAnsi="Times New Roman;sans-serif"/>
                  <w:b w:val="false"/>
                  <w:strike w:val="false"/>
                  <w:dstrike w:val="false"/>
                  <w:color w:val="000000"/>
                  <w:sz w:val="20"/>
                  <w:u w:val="none"/>
                  <w:effect w:val="none"/>
                </w:rPr>
                <w:t>63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60f21f6b84a14e5da18d45e7403573ef_142">
              <w:r>
                <w:rPr>
                  <w:rStyle w:val="InternetLink"/>
                  <w:rFonts w:ascii="Times New Roman;sans-serif" w:hAnsi="Times New Roman;sans-serif"/>
                  <w:b w:val="false"/>
                  <w:color w:val="0000FF"/>
                  <w:sz w:val="20"/>
                  <w:u w:val="single"/>
                </w:rPr>
                <w:t>Item 5.</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0f21f6b84a14e5da18d45e7403573ef_142">
              <w:r>
                <w:rPr>
                  <w:rStyle w:val="InternetLink"/>
                  <w:rFonts w:ascii="Times New Roman;sans-serif" w:hAnsi="Times New Roman;sans-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0f21f6b84a14e5da18d45e7403573ef_142">
              <w:r>
                <w:rPr>
                  <w:rStyle w:val="InternetLink"/>
                  <w:rFonts w:ascii="Times New Roman;sans-serif" w:hAnsi="Times New Roman;sans-serif"/>
                  <w:b w:val="false"/>
                  <w:strike w:val="false"/>
                  <w:dstrike w:val="false"/>
                  <w:color w:val="000000"/>
                  <w:sz w:val="20"/>
                  <w:u w:val="none"/>
                  <w:effect w:val="none"/>
                </w:rPr>
                <w:t>63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60f21f6b84a14e5da18d45e7403573ef_145">
              <w:r>
                <w:rPr>
                  <w:rStyle w:val="InternetLink"/>
                  <w:rFonts w:ascii="Times New Roman;sans-serif" w:hAnsi="Times New Roman;sans-serif"/>
                  <w:b w:val="false"/>
                  <w:color w:val="0000FF"/>
                  <w:sz w:val="20"/>
                  <w:u w:val="single"/>
                </w:rPr>
                <w:t>Item 6.</w:t>
              </w:r>
            </w:hyperlink>
          </w:p>
        </w:tc>
        <w:tc>
          <w:tcPr>
            <w:tcW w:w="733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0f21f6b84a14e5da18d45e7403573ef_145">
              <w:r>
                <w:rPr>
                  <w:rStyle w:val="InternetLink"/>
                  <w:rFonts w:ascii="Times New Roman;sans-serif" w:hAnsi="Times New Roman;sans-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0f21f6b84a14e5da18d45e7403573ef_145">
              <w:r>
                <w:rPr>
                  <w:rStyle w:val="InternetLink"/>
                  <w:rFonts w:ascii="Times New Roman;sans-serif" w:hAnsi="Times New Roman;sans-serif"/>
                  <w:b w:val="false"/>
                  <w:strike w:val="false"/>
                  <w:dstrike w:val="false"/>
                  <w:color w:val="000000"/>
                  <w:sz w:val="20"/>
                  <w:u w:val="none"/>
                  <w:effect w:val="none"/>
                </w:rPr>
                <w:t>63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300" w:before="0" w:after="2"/>
              <w:jc w:val="right"/>
              <w:rPr/>
            </w:pPr>
            <w:hyperlink w:anchor="i60f21f6b84a14e5da18d45e7403573ef_148">
              <w:r>
                <w:rPr>
                  <w:rStyle w:val="InternetLink"/>
                  <w:rFonts w:ascii="Times New Roman;sans-serif" w:hAnsi="Times New Roman;sans-serif"/>
                  <w:b w:val="false"/>
                  <w:color w:val="0000FF"/>
                  <w:sz w:val="20"/>
                  <w:u w:val="single"/>
                </w:rPr>
                <w:t>Signatures</w:t>
              </w:r>
            </w:hyperlink>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0f21f6b84a14e5da18d45e7403573ef_148">
              <w:r>
                <w:rPr>
                  <w:rStyle w:val="InternetLink"/>
                  <w:rFonts w:ascii="Times New Roman;sans-serif" w:hAnsi="Times New Roman;sans-serif"/>
                  <w:b w:val="false"/>
                  <w:strike w:val="false"/>
                  <w:dstrike w:val="false"/>
                  <w:color w:val="000000"/>
                  <w:sz w:val="20"/>
                  <w:u w:val="none"/>
                  <w:effect w:val="none"/>
                </w:rPr>
                <w:t>64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
        <w:jc w:val="center"/>
        <w:rPr/>
      </w:pPr>
      <w:r>
        <w:rPr>
          <w:rFonts w:ascii="Times New Roman;sans-serif" w:hAnsi="Times New Roman;sans-serif"/>
          <w:b/>
          <w:color w:val="000000"/>
          <w:sz w:val="24"/>
        </w:rPr>
        <w:t>CAUTIONARY NOTE REGARDING FORWARD-LOOKING STATEMENTS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report, and the documents incorporated by reference herein, may contain forward-looking statements as defined by the Private Securities Litigation Reform Act of 1995. These statements are based on the beliefs and assumptions of management. Although the Company believes that its plans, intentions, and expectations reflected in or suggested by these forward- looking statements are reasonable, the Company cannot assure you that it will achieve or realize these plans, intentions, or expectations. Forward-looking statements are inherently subject to risks, uncertainties, and assumptions. Generally, statements that are not historical facts, including statements concerning the Company’s possible or assumed future actions, business strategies, events, or results of operations, are forward- looking statements. In some instances, these statements may be preceded by, followed by or include the words “believes,” “estimates,” “expects,” “projects,” “forecasts,” “may,” “will,” “should,” “seeks,” “plans,” “scheduled,” “anticipates” or “intends” or the negatives of these terms or variations of them or similar terminology.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not guarantees of performance. You should not put undue reliance on these statements which speak only as of the date hereof. You should understand that the following important factors, among others, could affect the Company’s future results and could cause those results or other outcomes to differ materially from those expressed or implied in the Company’s forward-looking statements: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of the Company to grow and manage growth profitably, maintain relationships with customers, compete within its industry and retain its key employees;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possibility that the Company may be adversely impacted by other global economic, business, and/or competitive factors;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outcome of any legal proceedings that may be instituted against the Company or others;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future exchange and interest rates;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other risks and uncertainties indicated in this report, including those under “Risk Factors” herein, and other filings that have been made or will be made with the SEC.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and other factors that could cause actual results to differ from those implied by the forward-looking statements in this report are more fully described in the “Risk Factors” section. The risks described in “Risk Factors” are not exhaustive. New risk factors emerge from time to time and it is not possible for us to predict all such risk factors, nor can the Company assess the impact of all such risk factors on its business or the extent to which any factor or combination of factors may cause actual results to differ materially from those contained in any forward-looking statements. All forward-looking statements attributable to the Company or persons acting on its behalf are expressly qualified in their entirety by the foregoing cautionary statements. The Company undertakes no obligations to update or revise publicly any forward-looking statements, whether as a result of new information, future events or otherwise, except as required by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Statements</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36550"/>
                <wp:effectExtent l="0" t="0" r="0" b="0"/>
                <wp:wrapNone/>
                <wp:docPr id="5" name="Frame5"/>
                <a:graphic xmlns:a="http://schemas.openxmlformats.org/drawingml/2006/main">
                  <a:graphicData uri="http://schemas.microsoft.com/office/word/2010/wordprocessingShape">
                    <wps:wsp>
                      <wps:cNvSpPr txBox="1"/>
                      <wps:spPr>
                        <a:xfrm>
                          <a:off x="0" y="0"/>
                          <a:ext cx="6480175" cy="336550"/>
                        </a:xfrm>
                        <a:prstGeom prst="rect"/>
                        <a:solidFill>
                          <a:srgbClr val="FFFFFF"/>
                        </a:solidFill>
                      </wps:spPr>
                      <wps:txbx>
                        <w:txbxContent>
                          <w:p>
                            <w:pPr>
                              <w:pStyle w:val="TextBody"/>
                              <w:bidi w:val="0"/>
                              <w:spacing w:before="0" w:after="1"/>
                              <w:jc w:val="center"/>
                              <w:rPr/>
                            </w:pPr>
                            <w:r>
                              <w:rPr/>
                            </w:r>
                          </w:p>
                          <w:p>
                            <w:pPr>
                              <w:pStyle w:val="TextBody"/>
                              <w:bidi w:val="0"/>
                              <w:spacing w:lineRule="auto" w:line="288" w:before="0" w:after="1"/>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
                        <w:jc w:val="center"/>
                        <w:rPr/>
                      </w:pPr>
                      <w:r>
                        <w:rPr/>
                      </w:r>
                    </w:p>
                    <w:p>
                      <w:pPr>
                        <w:pStyle w:val="TextBody"/>
                        <w:bidi w:val="0"/>
                        <w:spacing w:lineRule="auto" w:line="288" w:before="0" w:after="1"/>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tbl>
      <w:tblPr>
        <w:tblW w:w="5564" w:type="dxa"/>
        <w:jc w:val="left"/>
        <w:tblInd w:w="0" w:type="dxa"/>
        <w:tblLayout w:type="fixed"/>
        <w:tblCellMar>
          <w:top w:w="28" w:type="dxa"/>
          <w:left w:w="28" w:type="dxa"/>
          <w:bottom w:w="28" w:type="dxa"/>
          <w:right w:w="28" w:type="dxa"/>
        </w:tblCellMar>
      </w:tblPr>
      <w:tblGrid>
        <w:gridCol w:w="1782"/>
        <w:gridCol w:w="1567"/>
        <w:gridCol w:w="2215"/>
      </w:tblGrid>
      <w:tr>
        <w:trPr/>
        <w:tc>
          <w:tcPr>
            <w:tcW w:w="1782"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8"/>
              </w:rPr>
            </w:pPr>
            <w:r>
              <w:rPr>
                <w:rFonts w:ascii="Times New Roman;sans-serif" w:hAnsi="Times New Roman;sans-serif"/>
                <w:b/>
                <w:color w:val="000000"/>
                <w:sz w:val="28"/>
              </w:rPr>
              <w:t>COMPOSECURE, INC.</w:t>
            </w:r>
          </w:p>
        </w:tc>
      </w:tr>
      <w:tr>
        <w:trPr/>
        <w:tc>
          <w:tcPr>
            <w:tcW w:w="556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Consolidated Balance Sheets</w:t>
            </w:r>
          </w:p>
        </w:tc>
      </w:tr>
      <w:tr>
        <w:trPr/>
        <w:tc>
          <w:tcPr>
            <w:tcW w:w="55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 in thousands, except par value and share amounts)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89"/>
        <w:gridCol w:w="2326"/>
        <w:gridCol w:w="2360"/>
        <w:gridCol w:w="204"/>
        <w:gridCol w:w="770"/>
        <w:gridCol w:w="113"/>
        <w:gridCol w:w="109"/>
        <w:gridCol w:w="109"/>
        <w:gridCol w:w="109"/>
        <w:gridCol w:w="200"/>
        <w:gridCol w:w="754"/>
        <w:gridCol w:w="162"/>
      </w:tblGrid>
      <w:tr>
        <w:trPr/>
        <w:tc>
          <w:tcPr>
            <w:tcW w:w="2989"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0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13,642 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37,272 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42,374 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128,249 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97,112 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22,655 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 of use assets operating, net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25,569 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asset - interest rate swap</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 and other assets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195,047 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162,943 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DEFICIT</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long-term debt</w:t>
            </w:r>
          </w:p>
        </w:tc>
        <w:tc>
          <w:tcPr>
            <w:tcW w:w="20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14,372 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lease liabilities, operating</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tax receivable agreement liability</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 payable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Bonus payable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52,869 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47,360 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 net of deferred finance costs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202,839 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216,276 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Convertible notes, net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127,708 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127,348 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liability - convertible notes redemption make-whole provision</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 liability</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16,341 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liabilities, operating</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receivable agreement liability</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Earnout consideration liability</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15,090 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433,890 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454,941 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13)</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Redeemable non-controlling interest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596,587 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600,234 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$0.0001 par value; 10,000,000 shares authorized, no shares issued and outstanding</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$0.0001 par value; 250,000,000 shares authorized, 19,293,287 and 16,446,748 shares issued and outstanding as of September 30, 2023 and December 31, 2022, respectively.</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Class B common stock, $0.0001 par value; 75,000,000 shares authorized, 59,958,422 and 60,325,057 shares issued and outstanding as of September 30, 2023 and December 31, 2022, respectively.</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24,107 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8,283 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(877,849)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(924,630)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deficit</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(835,430)</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(892,232)</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STOCKHOLDERS' DEFICIT</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195,047 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162,943 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3695"/>
                <wp:effectExtent l="0" t="0" r="0" b="0"/>
                <wp:wrapNone/>
                <wp:docPr id="6" name="Frame6"/>
                <a:graphic xmlns:a="http://schemas.openxmlformats.org/drawingml/2006/main">
                  <a:graphicData uri="http://schemas.microsoft.com/office/word/2010/wordprocessingShape">
                    <wps:wsp>
                      <wps:cNvSpPr txBox="1"/>
                      <wps:spPr>
                        <a:xfrm>
                          <a:off x="0" y="0"/>
                          <a:ext cx="6480175" cy="353695"/>
                        </a:xfrm>
                        <a:prstGeom prst="rect"/>
                        <a:solidFill>
                          <a:srgbClr val="FFFFFF"/>
                        </a:solidFill>
                      </wps:spPr>
                      <wps:txbx>
                        <w:txbxContent>
                          <w:p>
                            <w:pPr>
                              <w:pStyle w:val="TextBody"/>
                              <w:bidi w:val="0"/>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bidi w:val="0"/>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bidi w:val="0"/>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before="0" w:after="0"/>
        <w:jc w:val="left"/>
        <w:rPr/>
      </w:pPr>
      <w:r>
        <w:rPr/>
      </w:r>
    </w:p>
    <w:tbl>
      <w:tblPr>
        <w:tblW w:w="5400" w:type="dxa"/>
        <w:jc w:val="left"/>
        <w:tblInd w:w="0" w:type="dxa"/>
        <w:tblLayout w:type="fixed"/>
        <w:tblCellMar>
          <w:top w:w="28" w:type="dxa"/>
          <w:left w:w="28" w:type="dxa"/>
          <w:bottom w:w="28" w:type="dxa"/>
          <w:right w:w="28" w:type="dxa"/>
        </w:tblCellMar>
      </w:tblPr>
      <w:tblGrid>
        <w:gridCol w:w="1729"/>
        <w:gridCol w:w="1521"/>
        <w:gridCol w:w="2150"/>
      </w:tblGrid>
      <w:tr>
        <w:trPr/>
        <w:tc>
          <w:tcPr>
            <w:tcW w:w="1729"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8"/>
              </w:rPr>
            </w:pPr>
            <w:r>
              <w:rPr>
                <w:rFonts w:ascii="Times New Roman;sans-serif" w:hAnsi="Times New Roman;sans-serif"/>
                <w:b/>
                <w:color w:val="000000"/>
                <w:sz w:val="28"/>
              </w:rPr>
              <w:t>COMPOSECURE, INC.</w:t>
            </w:r>
          </w:p>
        </w:tc>
      </w:tr>
      <w:tr>
        <w:trPr/>
        <w:tc>
          <w:tcPr>
            <w:tcW w:w="54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Consolidated Statements of Operations (Unaudited)</w:t>
            </w:r>
          </w:p>
        </w:tc>
      </w:tr>
      <w:tr>
        <w:trPr/>
        <w:tc>
          <w:tcPr>
            <w:tcW w:w="54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 in thousands, except per share amounts)</w:t>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63"/>
        <w:gridCol w:w="1417"/>
        <w:gridCol w:w="1208"/>
        <w:gridCol w:w="226"/>
        <w:gridCol w:w="775"/>
        <w:gridCol w:w="117"/>
        <w:gridCol w:w="117"/>
        <w:gridCol w:w="117"/>
        <w:gridCol w:w="117"/>
        <w:gridCol w:w="226"/>
        <w:gridCol w:w="888"/>
        <w:gridCol w:w="117"/>
        <w:gridCol w:w="109"/>
        <w:gridCol w:w="109"/>
        <w:gridCol w:w="109"/>
        <w:gridCol w:w="220"/>
        <w:gridCol w:w="863"/>
        <w:gridCol w:w="113"/>
        <w:gridCol w:w="113"/>
        <w:gridCol w:w="113"/>
        <w:gridCol w:w="113"/>
        <w:gridCol w:w="220"/>
        <w:gridCol w:w="863"/>
        <w:gridCol w:w="172"/>
      </w:tblGrid>
      <w:tr>
        <w:trPr/>
        <w:tc>
          <w:tcPr>
            <w:tcW w:w="1763"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4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96,886 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103,305 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290,729 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284,687 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41,547 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115,318 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61,758 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156,187 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169,369 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79,325 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88,560 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90,044 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Revaluation of earnout consideration liability</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Revaluation of warrant liability</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 - convertible notes redemption make-whole provision</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(6,408)</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82,152 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113,197 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81,496 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109,459 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redeemable non-controlling interests</w:t>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93,973 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CompoSecure, Inc.</w:t>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Class A common stockholders - basic</w:t>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Class A common stockholders - diluted</w:t>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to compute net income per share attributable to Class A common stockholders - basic (in thousands)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to compute net income per share attributable to Class A common stockholders - diluted (in thousands)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8"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4388"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3695"/>
                <wp:effectExtent l="0" t="0" r="0" b="0"/>
                <wp:wrapNone/>
                <wp:docPr id="7" name="Frame7"/>
                <a:graphic xmlns:a="http://schemas.openxmlformats.org/drawingml/2006/main">
                  <a:graphicData uri="http://schemas.microsoft.com/office/word/2010/wordprocessingShape">
                    <wps:wsp>
                      <wps:cNvSpPr txBox="1"/>
                      <wps:spPr>
                        <a:xfrm>
                          <a:off x="0" y="0"/>
                          <a:ext cx="6480175" cy="353695"/>
                        </a:xfrm>
                        <a:prstGeom prst="rect"/>
                        <a:solidFill>
                          <a:srgbClr val="FFFFFF"/>
                        </a:solidFill>
                      </wps:spPr>
                      <wps:txbx>
                        <w:txbxContent>
                          <w:p>
                            <w:pPr>
                              <w:pStyle w:val="TextBody"/>
                              <w:bidi w:val="0"/>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bidi w:val="0"/>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bidi w:val="0"/>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tbl>
      <w:tblPr>
        <w:tblW w:w="6674" w:type="dxa"/>
        <w:jc w:val="left"/>
        <w:tblInd w:w="0" w:type="dxa"/>
        <w:tblLayout w:type="fixed"/>
        <w:tblCellMar>
          <w:top w:w="28" w:type="dxa"/>
          <w:left w:w="28" w:type="dxa"/>
          <w:bottom w:w="28" w:type="dxa"/>
          <w:right w:w="28" w:type="dxa"/>
        </w:tblCellMar>
      </w:tblPr>
      <w:tblGrid>
        <w:gridCol w:w="2137"/>
        <w:gridCol w:w="1880"/>
        <w:gridCol w:w="2657"/>
      </w:tblGrid>
      <w:tr>
        <w:trPr/>
        <w:tc>
          <w:tcPr>
            <w:tcW w:w="2137"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8"/>
              </w:rPr>
            </w:pPr>
            <w:r>
              <w:rPr>
                <w:rFonts w:ascii="Times New Roman;sans-serif" w:hAnsi="Times New Roman;sans-serif"/>
                <w:b/>
                <w:color w:val="000000"/>
                <w:sz w:val="28"/>
              </w:rPr>
              <w:t>COMPOSECURE, INC.</w:t>
            </w:r>
          </w:p>
        </w:tc>
      </w:tr>
      <w:tr>
        <w:trPr/>
        <w:tc>
          <w:tcPr>
            <w:tcW w:w="66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Consolidated Statements of Comprehensive Income (Unaudited)</w:t>
            </w:r>
          </w:p>
        </w:tc>
      </w:tr>
      <w:tr>
        <w:trPr/>
        <w:tc>
          <w:tcPr>
            <w:tcW w:w="66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 in thousands)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75"/>
        <w:gridCol w:w="1287"/>
        <w:gridCol w:w="1307"/>
        <w:gridCol w:w="256"/>
        <w:gridCol w:w="846"/>
        <w:gridCol w:w="142"/>
        <w:gridCol w:w="142"/>
        <w:gridCol w:w="142"/>
        <w:gridCol w:w="142"/>
        <w:gridCol w:w="256"/>
        <w:gridCol w:w="846"/>
        <w:gridCol w:w="142"/>
        <w:gridCol w:w="109"/>
        <w:gridCol w:w="109"/>
        <w:gridCol w:w="109"/>
        <w:gridCol w:w="239"/>
        <w:gridCol w:w="790"/>
        <w:gridCol w:w="133"/>
        <w:gridCol w:w="133"/>
        <w:gridCol w:w="133"/>
        <w:gridCol w:w="133"/>
        <w:gridCol w:w="239"/>
        <w:gridCol w:w="900"/>
        <w:gridCol w:w="195"/>
      </w:tblGrid>
      <w:tr>
        <w:trPr/>
        <w:tc>
          <w:tcPr>
            <w:tcW w:w="1475"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4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38,049 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21,894 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81,496 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109,459 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 net:</w:t>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gain on derivative - interest rate swap, (net of tax)</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(loss) income, net</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8,999 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37,785 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25,536 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80,859 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118,458 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06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3695"/>
                <wp:effectExtent l="0" t="0" r="0" b="0"/>
                <wp:wrapNone/>
                <wp:docPr id="8" name="Frame8"/>
                <a:graphic xmlns:a="http://schemas.openxmlformats.org/drawingml/2006/main">
                  <a:graphicData uri="http://schemas.microsoft.com/office/word/2010/wordprocessingShape">
                    <wps:wsp>
                      <wps:cNvSpPr txBox="1"/>
                      <wps:spPr>
                        <a:xfrm>
                          <a:off x="0" y="0"/>
                          <a:ext cx="6480175" cy="353695"/>
                        </a:xfrm>
                        <a:prstGeom prst="rect"/>
                        <a:solidFill>
                          <a:srgbClr val="FFFFFF"/>
                        </a:solidFill>
                      </wps:spPr>
                      <wps:txbx>
                        <w:txbxContent>
                          <w:p>
                            <w:pPr>
                              <w:pStyle w:val="TextBody"/>
                              <w:bidi w:val="0"/>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bidi w:val="0"/>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bidi w:val="0"/>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tbl>
      <w:tblPr>
        <w:tblW w:w="6374" w:type="dxa"/>
        <w:jc w:val="left"/>
        <w:tblInd w:w="0" w:type="dxa"/>
        <w:tblLayout w:type="fixed"/>
        <w:tblCellMar>
          <w:top w:w="28" w:type="dxa"/>
          <w:left w:w="28" w:type="dxa"/>
          <w:bottom w:w="28" w:type="dxa"/>
          <w:right w:w="28" w:type="dxa"/>
        </w:tblCellMar>
      </w:tblPr>
      <w:tblGrid>
        <w:gridCol w:w="2041"/>
        <w:gridCol w:w="1795"/>
        <w:gridCol w:w="2538"/>
      </w:tblGrid>
      <w:tr>
        <w:trPr/>
        <w:tc>
          <w:tcPr>
            <w:tcW w:w="2041"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8"/>
              </w:rPr>
            </w:pPr>
            <w:r>
              <w:rPr>
                <w:rFonts w:ascii="Times New Roman;sans-serif" w:hAnsi="Times New Roman;sans-serif"/>
                <w:b/>
                <w:color w:val="000000"/>
                <w:sz w:val="28"/>
              </w:rPr>
              <w:t>COMPOSECURE, INC.</w:t>
            </w:r>
          </w:p>
        </w:tc>
      </w:tr>
      <w:tr>
        <w:trPr/>
        <w:tc>
          <w:tcPr>
            <w:tcW w:w="63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Consolidated Statements of Stockholders' Deficit (Unaudited)</w:t>
            </w:r>
          </w:p>
        </w:tc>
      </w:tr>
      <w:tr>
        <w:trPr/>
        <w:tc>
          <w:tcPr>
            <w:tcW w:w="63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 in thousands, except share data)</w:t>
            </w:r>
          </w:p>
        </w:tc>
      </w:tr>
    </w:tbl>
    <w:p>
      <w:pPr>
        <w:pStyle w:val="TextBody"/>
        <w:bidi w:val="0"/>
        <w:spacing w:before="0" w:after="0"/>
        <w:jc w:val="left"/>
        <w:rPr/>
      </w:pPr>
      <w:r>
        <w:rPr/>
      </w:r>
    </w:p>
    <w:tbl>
      <w:tblPr>
        <w:tblW w:w="13402" w:type="dxa"/>
        <w:jc w:val="left"/>
        <w:tblInd w:w="0" w:type="dxa"/>
        <w:tblLayout w:type="fixed"/>
        <w:tblCellMar>
          <w:top w:w="28" w:type="dxa"/>
          <w:left w:w="28" w:type="dxa"/>
          <w:bottom w:w="28" w:type="dxa"/>
          <w:right w:w="28" w:type="dxa"/>
        </w:tblCellMar>
      </w:tblPr>
      <w:tblGrid>
        <w:gridCol w:w="679"/>
        <w:gridCol w:w="268"/>
        <w:gridCol w:w="269"/>
        <w:gridCol w:w="109"/>
        <w:gridCol w:w="109"/>
        <w:gridCol w:w="109"/>
        <w:gridCol w:w="480"/>
        <w:gridCol w:w="481"/>
        <w:gridCol w:w="196"/>
        <w:gridCol w:w="109"/>
        <w:gridCol w:w="109"/>
        <w:gridCol w:w="109"/>
        <w:gridCol w:w="290"/>
        <w:gridCol w:w="292"/>
        <w:gridCol w:w="109"/>
        <w:gridCol w:w="109"/>
        <w:gridCol w:w="109"/>
        <w:gridCol w:w="109"/>
        <w:gridCol w:w="375"/>
        <w:gridCol w:w="376"/>
        <w:gridCol w:w="308"/>
        <w:gridCol w:w="109"/>
        <w:gridCol w:w="109"/>
        <w:gridCol w:w="109"/>
        <w:gridCol w:w="288"/>
        <w:gridCol w:w="294"/>
        <w:gridCol w:w="109"/>
        <w:gridCol w:w="109"/>
        <w:gridCol w:w="109"/>
        <w:gridCol w:w="109"/>
        <w:gridCol w:w="196"/>
        <w:gridCol w:w="661"/>
        <w:gridCol w:w="109"/>
        <w:gridCol w:w="109"/>
        <w:gridCol w:w="109"/>
        <w:gridCol w:w="109"/>
        <w:gridCol w:w="272"/>
        <w:gridCol w:w="792"/>
        <w:gridCol w:w="152"/>
        <w:gridCol w:w="109"/>
        <w:gridCol w:w="109"/>
        <w:gridCol w:w="109"/>
        <w:gridCol w:w="196"/>
        <w:gridCol w:w="751"/>
        <w:gridCol w:w="109"/>
        <w:gridCol w:w="109"/>
        <w:gridCol w:w="109"/>
        <w:gridCol w:w="109"/>
        <w:gridCol w:w="196"/>
        <w:gridCol w:w="751"/>
        <w:gridCol w:w="109"/>
        <w:gridCol w:w="109"/>
        <w:gridCol w:w="109"/>
        <w:gridCol w:w="109"/>
        <w:gridCol w:w="240"/>
        <w:gridCol w:w="921"/>
        <w:gridCol w:w="190"/>
      </w:tblGrid>
      <w:tr>
        <w:trPr/>
        <w:tc>
          <w:tcPr>
            <w:tcW w:w="6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7"/>
              </w:rPr>
            </w:pPr>
            <w:r>
              <w:rPr>
                <w:rFonts w:ascii="Times New Roman;sans-serif" w:hAnsi="Times New Roman;sans-serif"/>
                <w:b/>
                <w:color w:val="000000"/>
                <w:sz w:val="17"/>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7"/>
              </w:rPr>
            </w:pPr>
            <w:r>
              <w:rPr>
                <w:rFonts w:ascii="Times New Roman;sans-serif" w:hAnsi="Times New Roman;sans-serif"/>
                <w:b/>
                <w:color w:val="000000"/>
                <w:sz w:val="17"/>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7"/>
              </w:rPr>
            </w:pPr>
            <w:r>
              <w:rPr>
                <w:rFonts w:ascii="Times New Roman;sans-serif" w:hAnsi="Times New Roman;sans-serif"/>
                <w:b/>
                <w:color w:val="000000"/>
                <w:sz w:val="17"/>
              </w:rPr>
              <w:t>Additional 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7"/>
              </w:rPr>
            </w:pPr>
            <w:r>
              <w:rPr>
                <w:rFonts w:ascii="Times New Roman;sans-serif" w:hAnsi="Times New Roman;sans-serif"/>
                <w:b/>
                <w:color w:val="000000"/>
                <w:sz w:val="17"/>
              </w:rPr>
              <w:t>Accumulated Other 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7"/>
              </w:rPr>
            </w:pPr>
            <w:r>
              <w:rPr>
                <w:rFonts w:ascii="Times New Roman;sans-serif" w:hAnsi="Times New Roman;sans-serif"/>
                <w:b/>
                <w:color w:val="000000"/>
                <w:sz w:val="17"/>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7"/>
              </w:rPr>
            </w:pPr>
            <w:r>
              <w:rPr>
                <w:rFonts w:ascii="Times New Roman;sans-serif" w:hAnsi="Times New Roman;sans-serif"/>
                <w:b/>
                <w:color w:val="000000"/>
                <w:sz w:val="17"/>
              </w:rPr>
              <w:t>Total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7"/>
              </w:rPr>
            </w:pPr>
            <w:r>
              <w:rPr>
                <w:rFonts w:ascii="Times New Roman;sans-serif" w:hAnsi="Times New Roman;sans-serif"/>
                <w:b/>
                <w:color w:val="000000"/>
                <w:sz w:val="17"/>
              </w:rPr>
              <w:t>Redeemable Non-Controlling</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7"/>
              </w:rPr>
            </w:pPr>
            <w:r>
              <w:rPr>
                <w:rFonts w:ascii="Times New Roman;sans-serif" w:hAnsi="Times New Roman;sans-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7"/>
              </w:rPr>
            </w:pPr>
            <w:r>
              <w:rPr>
                <w:rFonts w:ascii="Times New Roman;sans-serif" w:hAnsi="Times New Roman;sans-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7"/>
              </w:rPr>
            </w:pPr>
            <w:r>
              <w:rPr>
                <w:rFonts w:ascii="Times New Roman;sans-serif" w:hAnsi="Times New Roman;sans-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7"/>
              </w:rPr>
            </w:pPr>
            <w:r>
              <w:rPr>
                <w:rFonts w:ascii="Times New Roman;sans-serif" w:hAnsi="Times New Roman;sans-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7"/>
              </w:rPr>
            </w:pPr>
            <w:r>
              <w:rPr>
                <w:rFonts w:ascii="Times New Roman;sans-serif" w:hAnsi="Times New Roman;sans-serif"/>
                <w:b/>
                <w:color w:val="000000"/>
                <w:sz w:val="17"/>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7"/>
              </w:rPr>
            </w:pPr>
            <w:r>
              <w:rPr>
                <w:rFonts w:ascii="Times New Roman;sans-serif" w:hAnsi="Times New Roman;sans-serif"/>
                <w:b/>
                <w:color w:val="000000"/>
                <w:sz w:val="17"/>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7"/>
              </w:rPr>
            </w:pPr>
            <w:r>
              <w:rPr>
                <w:rFonts w:ascii="Times New Roman;sans-serif" w:hAnsi="Times New Roman;sans-serif"/>
                <w:b/>
                <w:color w:val="000000"/>
                <w:sz w:val="17"/>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7"/>
              </w:rPr>
            </w:pPr>
            <w:r>
              <w:rPr>
                <w:rFonts w:ascii="Times New Roman;sans-serif" w:hAnsi="Times New Roman;sans-serif"/>
                <w:b/>
                <w:color w:val="000000"/>
                <w:sz w:val="17"/>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7"/>
              </w:rPr>
            </w:pPr>
            <w:r>
              <w:rPr>
                <w:rFonts w:ascii="Times New Roman;sans-serif" w:hAnsi="Times New Roman;sans-serif"/>
                <w:b/>
                <w:color w:val="000000"/>
                <w:sz w:val="17"/>
              </w:rPr>
              <w:t>Interest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16,446,748 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60,325,057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8,283 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(924,630)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(892,232)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600,234 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8,408 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Class A common stock issued pursuant to equity awards, net of shares withheld for taxes, and employee stock purchase plan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1,564,956 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employee stock purchase plan and exercises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Class A common stock withheld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Class A common stock issued pursuant to Class B common stock exchanges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366,635 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(366,635)</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Unrealized loss on derivative -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(1,649)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 receivable agreement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 of redeemable non-controlling interests to redemption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(12,055)</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Balance as of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7"/>
              </w:rPr>
            </w:pPr>
            <w:r>
              <w:rPr>
                <w:rFonts w:ascii="Times New Roman;sans-serif" w:hAnsi="Times New Roman;sans-serif"/>
                <w:b/>
                <w:color w:val="000000"/>
                <w:sz w:val="17"/>
              </w:rPr>
              <w:t>18,378,339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7"/>
              </w:rPr>
              <w:t>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7"/>
              </w:rPr>
            </w:pPr>
            <w:r>
              <w:rPr>
                <w:rFonts w:ascii="Times New Roman;sans-serif" w:hAnsi="Times New Roman;sans-serif"/>
                <w:b/>
                <w:color w:val="000000"/>
                <w:sz w:val="17"/>
              </w:rPr>
              <w:t>59,958,422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7"/>
              </w:rPr>
              <w:t>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7"/>
              </w:rPr>
              <w:t>25,576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7"/>
              </w:rPr>
              <w:t>6,634</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7"/>
              </w:rPr>
            </w:pPr>
            <w:r>
              <w:rPr>
                <w:rFonts w:ascii="Times New Roman;sans-serif" w:hAnsi="Times New Roman;sans-serif"/>
                <w:b/>
                <w:color w:val="000000"/>
                <w:sz w:val="17"/>
              </w:rPr>
              <w:t>(919,960)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7"/>
              </w:rPr>
            </w:pPr>
            <w:r>
              <w:rPr>
                <w:rFonts w:ascii="Times New Roman;sans-serif" w:hAnsi="Times New Roman;sans-serif"/>
                <w:b/>
                <w:color w:val="000000"/>
                <w:sz w:val="17"/>
              </w:rPr>
              <w:t>(887,742)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7"/>
              </w:rPr>
              <w:t>596,587</w:t>
            </w: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(19,294)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(19,294)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26,973 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Class A common stock issued pursuant to equity awards, net of shares withheld for taxes, and employee stock purchase plan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313,767 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employee stock purchase plan and exercises of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Class A common stock withheld related to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Unrealized gain on derivative - interest rate swap,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 receivable agreement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 of redeemable non-controlling interests to redemption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30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26,973 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26,973 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(26,973)</w:t>
            </w:r>
          </w:p>
        </w:tc>
        <w:tc>
          <w:tcPr>
            <w:tcW w:w="19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3695"/>
                <wp:effectExtent l="0" t="0" r="0" b="0"/>
                <wp:wrapNone/>
                <wp:docPr id="9" name="Frame9"/>
                <a:graphic xmlns:a="http://schemas.openxmlformats.org/drawingml/2006/main">
                  <a:graphicData uri="http://schemas.microsoft.com/office/word/2010/wordprocessingShape">
                    <wps:wsp>
                      <wps:cNvSpPr txBox="1"/>
                      <wps:spPr>
                        <a:xfrm>
                          <a:off x="0" y="0"/>
                          <a:ext cx="6480175" cy="353695"/>
                        </a:xfrm>
                        <a:prstGeom prst="rect"/>
                        <a:solidFill>
                          <a:srgbClr val="FFFFFF"/>
                        </a:solidFill>
                      </wps:spPr>
                      <wps:txbx>
                        <w:txbxContent>
                          <w:p>
                            <w:pPr>
                              <w:pStyle w:val="TextBody"/>
                              <w:bidi w:val="0"/>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bidi w:val="0"/>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bidi w:val="0"/>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tbl>
      <w:tblPr>
        <w:tblW w:w="6374" w:type="dxa"/>
        <w:jc w:val="left"/>
        <w:tblInd w:w="0" w:type="dxa"/>
        <w:tblLayout w:type="fixed"/>
        <w:tblCellMar>
          <w:top w:w="28" w:type="dxa"/>
          <w:left w:w="28" w:type="dxa"/>
          <w:bottom w:w="28" w:type="dxa"/>
          <w:right w:w="28" w:type="dxa"/>
        </w:tblCellMar>
      </w:tblPr>
      <w:tblGrid>
        <w:gridCol w:w="2041"/>
        <w:gridCol w:w="1795"/>
        <w:gridCol w:w="2538"/>
      </w:tblGrid>
      <w:tr>
        <w:trPr/>
        <w:tc>
          <w:tcPr>
            <w:tcW w:w="2041"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8"/>
              </w:rPr>
            </w:pPr>
            <w:r>
              <w:rPr>
                <w:rFonts w:ascii="Times New Roman;sans-serif" w:hAnsi="Times New Roman;sans-serif"/>
                <w:b/>
                <w:color w:val="000000"/>
                <w:sz w:val="28"/>
              </w:rPr>
              <w:t>COMPOSECURE, INC.</w:t>
            </w:r>
          </w:p>
        </w:tc>
      </w:tr>
      <w:tr>
        <w:trPr/>
        <w:tc>
          <w:tcPr>
            <w:tcW w:w="63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Consolidated Statements of Stockholders' Deficit (Unaudited)</w:t>
            </w:r>
          </w:p>
        </w:tc>
      </w:tr>
      <w:tr>
        <w:trPr/>
        <w:tc>
          <w:tcPr>
            <w:tcW w:w="63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(in thousands, except share data) - continued</w:t>
            </w:r>
          </w:p>
        </w:tc>
      </w:tr>
    </w:tbl>
    <w:tbl>
      <w:tblPr>
        <w:tblW w:w="12294" w:type="dxa"/>
        <w:jc w:val="left"/>
        <w:tblInd w:w="0" w:type="dxa"/>
        <w:tblLayout w:type="fixed"/>
        <w:tblCellMar>
          <w:top w:w="28" w:type="dxa"/>
          <w:left w:w="28" w:type="dxa"/>
          <w:bottom w:w="28" w:type="dxa"/>
          <w:right w:w="28" w:type="dxa"/>
        </w:tblCellMar>
      </w:tblPr>
      <w:tblGrid>
        <w:gridCol w:w="775"/>
        <w:gridCol w:w="220"/>
        <w:gridCol w:w="221"/>
        <w:gridCol w:w="109"/>
        <w:gridCol w:w="109"/>
        <w:gridCol w:w="109"/>
        <w:gridCol w:w="368"/>
        <w:gridCol w:w="368"/>
        <w:gridCol w:w="306"/>
        <w:gridCol w:w="109"/>
        <w:gridCol w:w="109"/>
        <w:gridCol w:w="109"/>
        <w:gridCol w:w="196"/>
        <w:gridCol w:w="256"/>
        <w:gridCol w:w="109"/>
        <w:gridCol w:w="109"/>
        <w:gridCol w:w="109"/>
        <w:gridCol w:w="109"/>
        <w:gridCol w:w="305"/>
        <w:gridCol w:w="305"/>
        <w:gridCol w:w="306"/>
        <w:gridCol w:w="109"/>
        <w:gridCol w:w="109"/>
        <w:gridCol w:w="109"/>
        <w:gridCol w:w="196"/>
        <w:gridCol w:w="256"/>
        <w:gridCol w:w="109"/>
        <w:gridCol w:w="109"/>
        <w:gridCol w:w="109"/>
        <w:gridCol w:w="109"/>
        <w:gridCol w:w="196"/>
        <w:gridCol w:w="661"/>
        <w:gridCol w:w="109"/>
        <w:gridCol w:w="109"/>
        <w:gridCol w:w="109"/>
        <w:gridCol w:w="109"/>
        <w:gridCol w:w="196"/>
        <w:gridCol w:w="571"/>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54"/>
      </w:tblGrid>
      <w:tr>
        <w:trPr/>
        <w:tc>
          <w:tcPr>
            <w:tcW w:w="7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Balance as of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7"/>
              </w:rPr>
            </w:pPr>
            <w:r>
              <w:rPr>
                <w:rFonts w:ascii="Times New Roman;sans-serif" w:hAnsi="Times New Roman;sans-serif"/>
                <w:b/>
                <w:color w:val="000000"/>
                <w:sz w:val="17"/>
              </w:rPr>
              <w:t>18,692,106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7"/>
              </w:rPr>
              <w:t>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7"/>
              </w:rPr>
            </w:pPr>
            <w:r>
              <w:rPr>
                <w:rFonts w:ascii="Times New Roman;sans-serif" w:hAnsi="Times New Roman;sans-serif"/>
                <w:b/>
                <w:color w:val="000000"/>
                <w:sz w:val="17"/>
              </w:rPr>
              <w:t>59,958,422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7"/>
              </w:rPr>
              <w:t>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7"/>
              </w:rPr>
              <w:t>30,137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7"/>
              </w:rPr>
              <w:t>7,910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7"/>
              </w:rPr>
            </w:pPr>
            <w:r>
              <w:rPr>
                <w:rFonts w:ascii="Times New Roman;sans-serif" w:hAnsi="Times New Roman;sans-serif"/>
                <w:b/>
                <w:color w:val="000000"/>
                <w:sz w:val="17"/>
              </w:rPr>
              <w:t>(906,544)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7"/>
              </w:rPr>
            </w:pPr>
            <w:r>
              <w:rPr>
                <w:rFonts w:ascii="Times New Roman;sans-serif" w:hAnsi="Times New Roman;sans-serif"/>
                <w:b/>
                <w:color w:val="000000"/>
                <w:sz w:val="17"/>
              </w:rPr>
              <w:t>(868,489)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7"/>
              </w:rPr>
              <w:t>596,587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employee stock purchase plan and exercises of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Class A common stock issued pursuant to equity awards, net of shares withheld for taxes, and employee stock purchase plan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601,181 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Class A common stock withheld related to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Unrealized loss on derivative -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 receivable agreement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 of redeemable non-controlling interests to redemption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(30,574)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Balance as of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7"/>
              </w:rPr>
            </w:pPr>
            <w:r>
              <w:rPr>
                <w:rFonts w:ascii="Times New Roman;sans-serif" w:hAnsi="Times New Roman;sans-serif"/>
                <w:b/>
                <w:color w:val="000000"/>
                <w:sz w:val="17"/>
              </w:rPr>
              <w:t>19,293,287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7"/>
              </w:rPr>
              <w:t>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7"/>
              </w:rPr>
            </w:pPr>
            <w:r>
              <w:rPr>
                <w:rFonts w:ascii="Times New Roman;sans-serif" w:hAnsi="Times New Roman;sans-serif"/>
                <w:b/>
                <w:color w:val="000000"/>
                <w:sz w:val="17"/>
              </w:rPr>
              <w:t>59,958,422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7"/>
              </w:rPr>
              <w:t>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7"/>
              </w:rPr>
              <w:t>34,765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7"/>
              </w:rPr>
              <w:t>7,646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7"/>
              </w:rPr>
            </w:pPr>
            <w:r>
              <w:rPr>
                <w:rFonts w:ascii="Times New Roman;sans-serif" w:hAnsi="Times New Roman;sans-serif"/>
                <w:b/>
                <w:color w:val="000000"/>
                <w:sz w:val="17"/>
              </w:rPr>
              <w:t>(877,849)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7"/>
              </w:rPr>
            </w:pPr>
            <w:r>
              <w:rPr>
                <w:rFonts w:ascii="Times New Roman;sans-serif" w:hAnsi="Times New Roman;sans-serif"/>
                <w:b/>
                <w:color w:val="000000"/>
                <w:sz w:val="17"/>
              </w:rPr>
              <w:t>(835,430)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7"/>
              </w:rPr>
              <w:t>596,587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3695"/>
                <wp:effectExtent l="0" t="0" r="0" b="0"/>
                <wp:wrapNone/>
                <wp:docPr id="10" name="Frame10"/>
                <a:graphic xmlns:a="http://schemas.openxmlformats.org/drawingml/2006/main">
                  <a:graphicData uri="http://schemas.microsoft.com/office/word/2010/wordprocessingShape">
                    <wps:wsp>
                      <wps:cNvSpPr txBox="1"/>
                      <wps:spPr>
                        <a:xfrm>
                          <a:off x="0" y="0"/>
                          <a:ext cx="6480175" cy="353695"/>
                        </a:xfrm>
                        <a:prstGeom prst="rect"/>
                        <a:solidFill>
                          <a:srgbClr val="FFFFFF"/>
                        </a:solidFill>
                      </wps:spPr>
                      <wps:txbx>
                        <w:txbxContent>
                          <w:p>
                            <w:pPr>
                              <w:pStyle w:val="TextBody"/>
                              <w:bidi w:val="0"/>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bidi w:val="0"/>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bidi w:val="0"/>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tbl>
      <w:tblPr>
        <w:tblW w:w="6374" w:type="dxa"/>
        <w:jc w:val="left"/>
        <w:tblInd w:w="0" w:type="dxa"/>
        <w:tblLayout w:type="fixed"/>
        <w:tblCellMar>
          <w:top w:w="28" w:type="dxa"/>
          <w:left w:w="28" w:type="dxa"/>
          <w:bottom w:w="28" w:type="dxa"/>
          <w:right w:w="28" w:type="dxa"/>
        </w:tblCellMar>
      </w:tblPr>
      <w:tblGrid>
        <w:gridCol w:w="2041"/>
        <w:gridCol w:w="1795"/>
        <w:gridCol w:w="2538"/>
      </w:tblGrid>
      <w:tr>
        <w:trPr/>
        <w:tc>
          <w:tcPr>
            <w:tcW w:w="2041"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8"/>
              </w:rPr>
            </w:pPr>
            <w:r>
              <w:rPr>
                <w:rFonts w:ascii="Times New Roman;sans-serif" w:hAnsi="Times New Roman;sans-serif"/>
                <w:b/>
                <w:color w:val="000000"/>
                <w:sz w:val="28"/>
              </w:rPr>
              <w:t>COMPOSECURE, INC.</w:t>
            </w:r>
          </w:p>
        </w:tc>
      </w:tr>
      <w:tr>
        <w:trPr/>
        <w:tc>
          <w:tcPr>
            <w:tcW w:w="63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Consolidated Statements of Stockholders' Deficit (Unaudited)</w:t>
            </w:r>
          </w:p>
        </w:tc>
      </w:tr>
      <w:tr>
        <w:trPr/>
        <w:tc>
          <w:tcPr>
            <w:tcW w:w="63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ans-serif" w:hAnsi="Times New Roman;sans-serif"/>
                <w:b/>
                <w:color w:val="000000"/>
                <w:sz w:val="22"/>
              </w:rPr>
            </w:pPr>
            <w:r>
              <w:rPr>
                <w:rFonts w:ascii="Times New Roman;sans-serif" w:hAnsi="Times New Roman;sans-serif"/>
                <w:b/>
                <w:color w:val="000000"/>
                <w:sz w:val="22"/>
              </w:rPr>
              <w:t>(in thousands, except share data) - continued</w:t>
            </w:r>
          </w:p>
        </w:tc>
      </w:tr>
    </w:tbl>
    <w:tbl>
      <w:tblPr>
        <w:tblW w:w="12477" w:type="dxa"/>
        <w:jc w:val="left"/>
        <w:tblInd w:w="0" w:type="dxa"/>
        <w:tblLayout w:type="fixed"/>
        <w:tblCellMar>
          <w:top w:w="28" w:type="dxa"/>
          <w:left w:w="28" w:type="dxa"/>
          <w:bottom w:w="28" w:type="dxa"/>
          <w:right w:w="28" w:type="dxa"/>
        </w:tblCellMar>
      </w:tblPr>
      <w:tblGrid>
        <w:gridCol w:w="581"/>
        <w:gridCol w:w="234"/>
        <w:gridCol w:w="236"/>
        <w:gridCol w:w="109"/>
        <w:gridCol w:w="109"/>
        <w:gridCol w:w="109"/>
        <w:gridCol w:w="420"/>
        <w:gridCol w:w="421"/>
        <w:gridCol w:w="181"/>
        <w:gridCol w:w="109"/>
        <w:gridCol w:w="109"/>
        <w:gridCol w:w="109"/>
        <w:gridCol w:w="253"/>
        <w:gridCol w:w="269"/>
        <w:gridCol w:w="109"/>
        <w:gridCol w:w="109"/>
        <w:gridCol w:w="109"/>
        <w:gridCol w:w="109"/>
        <w:gridCol w:w="323"/>
        <w:gridCol w:w="323"/>
        <w:gridCol w:w="268"/>
        <w:gridCol w:w="109"/>
        <w:gridCol w:w="109"/>
        <w:gridCol w:w="109"/>
        <w:gridCol w:w="253"/>
        <w:gridCol w:w="269"/>
        <w:gridCol w:w="109"/>
        <w:gridCol w:w="109"/>
        <w:gridCol w:w="109"/>
        <w:gridCol w:w="109"/>
        <w:gridCol w:w="181"/>
        <w:gridCol w:w="571"/>
        <w:gridCol w:w="109"/>
        <w:gridCol w:w="109"/>
        <w:gridCol w:w="109"/>
        <w:gridCol w:w="109"/>
        <w:gridCol w:w="252"/>
        <w:gridCol w:w="691"/>
        <w:gridCol w:w="153"/>
        <w:gridCol w:w="109"/>
        <w:gridCol w:w="109"/>
        <w:gridCol w:w="109"/>
        <w:gridCol w:w="181"/>
        <w:gridCol w:w="766"/>
        <w:gridCol w:w="109"/>
        <w:gridCol w:w="109"/>
        <w:gridCol w:w="109"/>
        <w:gridCol w:w="109"/>
        <w:gridCol w:w="181"/>
        <w:gridCol w:w="766"/>
        <w:gridCol w:w="109"/>
        <w:gridCol w:w="109"/>
        <w:gridCol w:w="109"/>
        <w:gridCol w:w="109"/>
        <w:gridCol w:w="224"/>
        <w:gridCol w:w="800"/>
        <w:gridCol w:w="192"/>
      </w:tblGrid>
      <w:tr>
        <w:trPr/>
        <w:tc>
          <w:tcPr>
            <w:tcW w:w="58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5"/>
              </w:rPr>
            </w:pPr>
            <w:r>
              <w:rPr>
                <w:rFonts w:ascii="Times New Roman;sans-serif" w:hAnsi="Times New Roman;sans-serif"/>
                <w:b/>
                <w:color w:val="000000"/>
                <w:sz w:val="15"/>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5"/>
              </w:rPr>
            </w:pPr>
            <w:r>
              <w:rPr>
                <w:rFonts w:ascii="Times New Roman;sans-serif" w:hAnsi="Times New Roman;sans-serif"/>
                <w:b/>
                <w:color w:val="000000"/>
                <w:sz w:val="15"/>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5"/>
              </w:rPr>
            </w:pPr>
            <w:r>
              <w:rPr>
                <w:rFonts w:ascii="Times New Roman;sans-serif" w:hAnsi="Times New Roman;sans-serif"/>
                <w:b/>
                <w:color w:val="000000"/>
                <w:sz w:val="15"/>
              </w:rPr>
              <w:t>Additional 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 Other 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5"/>
              </w:rPr>
            </w:pPr>
            <w:r>
              <w:rPr>
                <w:rFonts w:ascii="Times New Roman;sans-serif" w:hAnsi="Times New Roman;sans-serif"/>
                <w:b/>
                <w:color w:val="000000"/>
                <w:sz w:val="15"/>
              </w:rPr>
              <w:t>Total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5"/>
              </w:rPr>
            </w:pPr>
            <w:r>
              <w:rPr>
                <w:rFonts w:ascii="Times New Roman;sans-serif" w:hAnsi="Times New Roman;sans-serif"/>
                <w:b/>
                <w:color w:val="000000"/>
                <w:sz w:val="15"/>
              </w:rPr>
              <w:t>Redeemable Non-Controlling</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5"/>
              </w:rPr>
            </w:pPr>
            <w:r>
              <w:rPr>
                <w:rFonts w:ascii="Times New Roman;sans-serif" w:hAnsi="Times New Roman;sans-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5"/>
              </w:rPr>
            </w:pPr>
            <w:r>
              <w:rPr>
                <w:rFonts w:ascii="Times New Roman;sans-serif" w:hAnsi="Times New Roman;sans-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5"/>
              </w:rPr>
            </w:pPr>
            <w:r>
              <w:rPr>
                <w:rFonts w:ascii="Times New Roman;sans-serif" w:hAnsi="Times New Roman;sans-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5"/>
              </w:rPr>
            </w:pPr>
            <w:r>
              <w:rPr>
                <w:rFonts w:ascii="Times New Roman;sans-serif" w:hAnsi="Times New Roman;sans-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5"/>
              </w:rPr>
            </w:pPr>
            <w:r>
              <w:rPr>
                <w:rFonts w:ascii="Times New Roman;sans-serif" w:hAnsi="Times New Roman;sans-serif"/>
                <w:b/>
                <w:color w:val="000000"/>
                <w:sz w:val="15"/>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5"/>
              </w:rPr>
            </w:pPr>
            <w:r>
              <w:rPr>
                <w:rFonts w:ascii="Times New Roman;sans-serif" w:hAnsi="Times New Roman;sans-serif"/>
                <w:b/>
                <w:color w:val="000000"/>
                <w:sz w:val="15"/>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5"/>
              </w:rPr>
            </w:pPr>
            <w:r>
              <w:rPr>
                <w:rFonts w:ascii="Times New Roman;sans-serif" w:hAnsi="Times New Roman;sans-serif"/>
                <w:b/>
                <w:color w:val="000000"/>
                <w:sz w:val="15"/>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5"/>
              </w:rPr>
            </w:pPr>
            <w:r>
              <w:rPr>
                <w:rFonts w:ascii="Times New Roman;sans-serif" w:hAnsi="Times New Roman;sans-serif"/>
                <w:b/>
                <w:color w:val="000000"/>
                <w:sz w:val="15"/>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left w:val="single" w:sz="8" w:space="0" w:color="000000"/>
            </w:tcBorders>
            <w:tcMar>
              <w:top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5"/>
              </w:rPr>
            </w:pPr>
            <w:r>
              <w:rPr>
                <w:rFonts w:ascii="Times New Roman;sans-serif" w:hAnsi="Times New Roman;sans-serif"/>
                <w:b/>
                <w:color w:val="000000"/>
                <w:sz w:val="15"/>
              </w:rPr>
              <w:t>Interest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5"/>
              </w:rPr>
            </w:pPr>
            <w:r>
              <w:rPr>
                <w:rFonts w:ascii="Times New Roman;sans-serif" w:hAnsi="Times New Roman;sans-serif"/>
                <w:b/>
                <w:color w:val="000000"/>
                <w:sz w:val="15"/>
              </w:rPr>
              <w:t>Balance 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14,929,982 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61,136,800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(1,028,229)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(1,015,961)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608,311 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Issuance costs related to Business combination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23,514 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Class A common stock issued pursuant to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Unrealized gain on derivative - interest rate</w:t>
              <w:br/>
              <w:t>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Adjustment of redeemable non-controlling</w:t>
              <w:br/>
              <w:t>interests to redemption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23,514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(23,514)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5"/>
              </w:rPr>
            </w:pPr>
            <w:r>
              <w:rPr>
                <w:rFonts w:ascii="Times New Roman;sans-serif" w:hAnsi="Times New Roman;sans-serif"/>
                <w:b/>
                <w:color w:val="000000"/>
                <w:sz w:val="15"/>
              </w:rPr>
              <w:t>Balance as of March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14,954,982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61,136,800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3,869 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(1,001,321)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(984,904)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608,311 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(20,650)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(20,650)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52,184 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Class A common stock issued pursuant to equity awards,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13,550 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Class A common stock issued pursuant to Class B common stock exchanges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150,000 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(150,000)</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Unrealized gain on derivative - interest rate</w:t>
              <w:br/>
              <w:t>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1,488 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Tax receivable agreement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Adjustment of redeemable non-controlling</w:t>
              <w:br/>
              <w:t>interests to redemption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53,677 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53,677 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(53,677)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5"/>
              </w:rPr>
            </w:pPr>
            <w:r>
              <w:rPr>
                <w:rFonts w:ascii="Times New Roman;sans-serif" w:hAnsi="Times New Roman;sans-serif"/>
                <w:b/>
                <w:color w:val="000000"/>
                <w:sz w:val="15"/>
              </w:rPr>
              <w:t>Balance as of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15,118,532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60,986,800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5,357 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(959,820)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(936,845)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606,818 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(14,895)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(14,895)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3,715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exercise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19,077 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Class A common stock issued pursuant to equity awards,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239,003 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Class A common stock issued pursuant to Class B common stock exchanges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400,000 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(400,000)</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Unrealized gain on derivative - interest rate swap,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3,642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Tax receivable agreement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Adjustment of redeemable non-controlling</w:t>
              <w:br/>
              <w:t>interests to redemption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(23,055)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5"/>
              </w:rPr>
            </w:pPr>
            <w:r>
              <w:rPr>
                <w:rFonts w:ascii="Times New Roman;sans-serif" w:hAnsi="Times New Roman;sans-serif"/>
                <w:b/>
                <w:color w:val="000000"/>
                <w:sz w:val="15"/>
              </w:rPr>
              <w:t>Balance as of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15,757,535</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2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60,586,800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2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21,055 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8,999 </w:t>
            </w:r>
          </w:p>
        </w:tc>
        <w:tc>
          <w:tcPr>
            <w:tcW w:w="1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(948,843)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(918,781)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602,840 </w:t>
            </w:r>
          </w:p>
        </w:tc>
        <w:tc>
          <w:tcPr>
            <w:tcW w:w="1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3695"/>
                <wp:effectExtent l="0" t="0" r="0" b="0"/>
                <wp:wrapNone/>
                <wp:docPr id="11" name="Frame11"/>
                <a:graphic xmlns:a="http://schemas.openxmlformats.org/drawingml/2006/main">
                  <a:graphicData uri="http://schemas.microsoft.com/office/word/2010/wordprocessingShape">
                    <wps:wsp>
                      <wps:cNvSpPr txBox="1"/>
                      <wps:spPr>
                        <a:xfrm>
                          <a:off x="0" y="0"/>
                          <a:ext cx="6480175" cy="353695"/>
                        </a:xfrm>
                        <a:prstGeom prst="rect"/>
                        <a:solidFill>
                          <a:srgbClr val="FFFFFF"/>
                        </a:solidFill>
                      </wps:spPr>
                      <wps:txbx>
                        <w:txbxContent>
                          <w:p>
                            <w:pPr>
                              <w:pStyle w:val="TextBody"/>
                              <w:bidi w:val="0"/>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bidi w:val="0"/>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bidi w:val="0"/>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tbl>
      <w:tblPr>
        <w:tblW w:w="5459" w:type="dxa"/>
        <w:jc w:val="left"/>
        <w:tblInd w:w="0" w:type="dxa"/>
        <w:tblLayout w:type="fixed"/>
        <w:tblCellMar>
          <w:top w:w="28" w:type="dxa"/>
          <w:left w:w="28" w:type="dxa"/>
          <w:bottom w:w="28" w:type="dxa"/>
          <w:right w:w="28" w:type="dxa"/>
        </w:tblCellMar>
      </w:tblPr>
      <w:tblGrid>
        <w:gridCol w:w="1748"/>
        <w:gridCol w:w="1537"/>
        <w:gridCol w:w="2174"/>
      </w:tblGrid>
      <w:tr>
        <w:trPr/>
        <w:tc>
          <w:tcPr>
            <w:tcW w:w="1748"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8"/>
              </w:rPr>
            </w:pPr>
            <w:r>
              <w:rPr>
                <w:rFonts w:ascii="Times New Roman;sans-serif" w:hAnsi="Times New Roman;sans-serif"/>
                <w:b/>
                <w:color w:val="000000"/>
                <w:sz w:val="28"/>
              </w:rPr>
              <w:t>COMPOSECURE, INC.</w:t>
            </w:r>
          </w:p>
        </w:tc>
      </w:tr>
      <w:tr>
        <w:trPr/>
        <w:tc>
          <w:tcPr>
            <w:tcW w:w="545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Consolidated Statements of Cash Flows (Unaudited)</w:t>
            </w:r>
          </w:p>
        </w:tc>
      </w:tr>
      <w:tr>
        <w:trPr/>
        <w:tc>
          <w:tcPr>
            <w:tcW w:w="54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 in thousands)</w:t>
            </w:r>
          </w:p>
        </w:tc>
      </w:tr>
    </w:tbl>
    <w:p>
      <w:pPr>
        <w:pStyle w:val="TextBody"/>
        <w:bidi w:val="0"/>
        <w:spacing w:before="0" w:after="0"/>
        <w:jc w:val="left"/>
        <w:rPr/>
      </w:pPr>
      <w:r>
        <w:rPr/>
      </w:r>
    </w:p>
    <w:tbl>
      <w:tblPr>
        <w:tblW w:w="7898" w:type="dxa"/>
        <w:jc w:val="left"/>
        <w:tblInd w:w="0" w:type="dxa"/>
        <w:tblLayout w:type="fixed"/>
        <w:tblCellMar>
          <w:top w:w="28" w:type="dxa"/>
          <w:left w:w="28" w:type="dxa"/>
          <w:bottom w:w="28" w:type="dxa"/>
          <w:right w:w="28" w:type="dxa"/>
        </w:tblCellMar>
      </w:tblPr>
      <w:tblGrid>
        <w:gridCol w:w="2005"/>
        <w:gridCol w:w="1757"/>
        <w:gridCol w:w="1772"/>
        <w:gridCol w:w="196"/>
        <w:gridCol w:w="646"/>
        <w:gridCol w:w="109"/>
        <w:gridCol w:w="109"/>
        <w:gridCol w:w="109"/>
        <w:gridCol w:w="109"/>
        <w:gridCol w:w="196"/>
        <w:gridCol w:w="736"/>
        <w:gridCol w:w="154"/>
      </w:tblGrid>
      <w:tr>
        <w:trPr/>
        <w:tc>
          <w:tcPr>
            <w:tcW w:w="2005"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 operating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finance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earnout consideration liability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Revaluation of warrant liability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liability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(benefit)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Deposits and 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employee stock purchase plan and exercises of equity awards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taxes related to net share settlement of equity awards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line of credit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Tax receivable agreement liability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term loan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finance costs related to debt modification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issuance costs related to business combination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Supplementary disclosure of cash flow information: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non-cash 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 - interest rate swap</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3695"/>
                <wp:effectExtent l="0" t="0" r="0" b="0"/>
                <wp:wrapNone/>
                <wp:docPr id="12" name="Frame12"/>
                <a:graphic xmlns:a="http://schemas.openxmlformats.org/drawingml/2006/main">
                  <a:graphicData uri="http://schemas.microsoft.com/office/word/2010/wordprocessingShape">
                    <wps:wsp>
                      <wps:cNvSpPr txBox="1"/>
                      <wps:spPr>
                        <a:xfrm>
                          <a:off x="0" y="0"/>
                          <a:ext cx="6480175" cy="353695"/>
                        </a:xfrm>
                        <a:prstGeom prst="rect"/>
                        <a:solidFill>
                          <a:srgbClr val="FFFFFF"/>
                        </a:solidFill>
                      </wps:spPr>
                      <wps:txbx>
                        <w:txbxContent>
                          <w:p>
                            <w:pPr>
                              <w:pStyle w:val="TextBody"/>
                              <w:bidi w:val="0"/>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bidi w:val="0"/>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unaudited consolidated financial statements.</w:t>
                      </w:r>
                    </w:p>
                    <w:p>
                      <w:pPr>
                        <w:pStyle w:val="TextBody"/>
                        <w:bidi w:val="0"/>
                        <w:spacing w:lineRule="auto" w:line="288" w:before="0" w:after="98"/>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bidi w:val="0"/>
        <w:spacing w:before="0" w:after="2"/>
        <w:ind w:left="0" w:right="0" w:hanging="4"/>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DESCRIPTION OF ORGANIZATION AND BUSINESS OPERATIONS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CompoSecure, Inc. (“CompoSecure” or the “Company”) is a manufacturer and designer of complex metal, composite and proprietary financial transaction cards. The Company started operations in 2000 and provides products and services primarily to global financial institutions, plastic card manufacturers, system integrators, and security specialists. The Company is located in Somerset, New Jersey.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Founded in 2000, CompoSecure is a technology partner to market leaders, fintechs and consumers enabling trust for millions of people around the globe. The Company combines elegance, simplicity and security to deliver exceptional experiences and peace of mind in the physical and digital world. The Company’s innovative payment card technology and metal cards with Arculus secure authentication and digital asset storage capabilities deliver unique, premium branded experiences, enable people to access and use their financial and digital assets, and ensure trust at the point of a transaction.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creates newly innovated, highly differentiated and customized quality financial payment products for banks and other payment card issuers to support and increase their customer acquisition, customer retention and organic customer spend. The Company’s customers consist primarily of leading international and domestic banks and other payment card issuers primarily within the United States (“U.S.”), Europe, Asia, Latin America, Canada, and the Middle East. The Company is a platform for next generation payment technology, security, and authentication solutions. The Company maintains trusted, highly-embedded and long-term customer relationships with an expanding set of global issuers. The Company has established a niche position in the financial payment card market through nearly over 20 years of innovation and experience and is focused primarily on this attractive subsector of the financial technology market. The Company serves a diverse set of direct customers and indirect customers, including some of the largest issuers of credit cards in the U.S.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27, 2021 (the "Closing Date"), Roman DBDR Tech Acquisition Corp ("Roman DBDR") consummated the merger pursuant to the Merger Agreement, dated April 19, 2021 (the "Merger Agreement"), by and among Roman DBDR, Roman Parent Merger Sub, LLC, a wholly-owned subsidiary of Roman DBDR incorporated in the State of Delaware ("Merger Sub"), and CompoSecure Holdings, L.L.C., a Delaware limited liability company ("Holdings"). Pursuant to the terms of the Merger Agreement, a business combination between the Company and Holdings was affected through the merger of Merger Sub with and into Holdings, with Holdings surviving as the surviving company and as a subsidiary of Roman DBDR (the "Business Combination"). Pursuant to the Business Combination, the merger was accounted for as a reverse recapitalization in accordance with accounting principles generally accepted in the U.S. ("U.S. GAAP"). On the Closing Date, and in connection with the closing of the Business Combination, Roman DBDR changed its name to CompoSecure, Inc. Holdings was deemed the accounting acquirer in the Business Combination based on an analysis of the criteria outlined in Accounting Standards Codification ("ASC") 805.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CompoSecure is operated as an umbrella partnership C corporation (“Up-C”) meaning that the sole asset of CompoSecure, Inc. is its interest in CompoSecure Holdings, L.L.C. and the related deferred tax asset. CompoSecure Holdings, L.L.C. is an entity taxed as a partnership for U.S. federal income tax purposes and owned by both the historical owners and CompoSecure, Inc. By virtue of our control of CompoSecure Holdings, L.L.C.’s board of managers, CompoSecure, Inc. operates and controls the business and affairs of CompoSecure Holdings, L.L.C. As a result, we consolidate CompoSecure Holdings’ financial results and report a non-controlling interest related to the CompoSecure Holdings units not owned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are presented in conformity U.S. GAAP and pursuant to the rules and regulations of the Securities and Exchange Commission (“SEC”). Any reference in these notes to applicable guidance is meant to refer to U.S. GAAP as found in the Accounting Standards Codification (“ASC”) and Accounting Standards Updates (“ASU”) promulgated by the Financial Accounting Standards Board (“FASB”). The accompanying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 include the results of operations of the Company and its subsidiaries. All intercompany accounts and transactions have been eliminated in consolidation. Certain reclassifications have been made to conform to the current year presentation. All dollar amounts are in thousands, unless otherwise noted. Share and per share amounts are presented on a post-conversion basis for all periods presented, unless otherwise noted.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are detailed in our Annual Report on Form 10-K for the year ended December 31, 2022 filed with the SEC.</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Interim Financial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have been prepared in accordance with U.S. GAAP and Article 10 of Regulation S-X of the SEC for interim financial information. and should be read in conjunction with the Company’s Annual Report on Form 10-K for the year ended December 31, 2022. The financial statements presented in this Quarterly Report on Form 10-Q are unaudited; however, in the opinion of management, the Financial Statements reflect all adjustments, consisting solely of normal, recurring adjustments, necessary for the fair presentation of the financial statements for the periods presented. The results disclosed in the Consolidated Statements of Operations for the three months and nine months period ended September 30, 2023 are not necessarily indicative of the results to be expected for the full year.</w:t>
      </w:r>
    </w:p>
    <w:p>
      <w:pPr>
        <w:pStyle w:val="TextBody"/>
        <w:bidi w:val="0"/>
        <w:spacing w:lineRule="auto" w:line="268" w:before="240" w:after="283"/>
        <w:jc w:val="left"/>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consolidated financial statements requires management to make a number of estimates and assumptions relating to the reported amount of assets and liabilities at the date of the consolidated financial statements and the reported amounts of revenues and expenses during the period.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The Company evaluates the adequacy of its reserves and the estimates used in calculations on an on-going basis. Significant areas requiring management to make estimates include the valuation of equity instruments, measurement of changes in the fair value of earnout consideration liability, estimates of derivative liability associated with the Exchangeable Notes, which are marked to market each quarter based on a Lattice model approach, derivative asset for the interest rate swap, changes in the fair value of warrant liabilities, valuation allowances on deferred tax assets which are based on an assessment of recoverability of the deferred tax assets against future taxable income and estimates of the inputs used to calculate the tax receivable agreement liability.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in accordance with ASC 606 when the performance obligations under the terms of the Company’s contracts with its customers have been satisfied. This occurs at the point in time when control of the specific goods or services as specified by each purchase order are transferred to customers. Specific goods refers to the products offered by the Company, including metal cards, high security documents, and pre-laminated materials. Transfer of control passes to customers upon shipment or upon receipt, depending on the agreement with the specific customers. ASC 606 requires entities to record a contract asset when a performance obligation has been satisfied or partially satisfied, but the amount of consideration has not yet been received because the receipt of the consideration is conditioned on something other than the passage of time. ASC 606 also requires an entity to present a revenue contract as a contract liability in instances when a customer pays consideration, or an entity has a right to an amount of consideration that is unconditional (e.g. receivable), before the entity transfers a good or service to the customer. The Company did not have any contract assets or liabilities as of September 30, 2023 or December 31, 2022.</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invoices its customers at the time at which control is transferred, with payment terms ranging between 15 and 60 days depending on each individual contract. As the payment is due within 90 days of the invoice, a significant financing component is not included within the contracts.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the Company’s contracts with its customers have the same performance obligation of manufacturing and transferring the specified number of cards to the customer. Each individual card included within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order constitutes a separate performance obligation, which is satisfied upon the transfer of goods to the customer. The contract term as defined by ASC 606 is the length of time it takes to deliver the goods or services promised under the purchase order or statement of work. As such, the Company's contracts are generally short term in nature.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is measured in an amount that reflects the consideration the Company expects to receive in exchange for those products or services. Revenue is recognized net of variable consideration such as discounts, rebates, and returns.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products do not include an unmitigated right of return unless the product is non-conforming or defective. If the goods are non-conforming or defective, the defective goods are replaced or reworked or, in certain instances, a credit is issued for the portion of the order that was non-conforming or defective. A provision for sales returns and allowances is recorded based on experience with goods being returned. Most returned goods are re-worked and subsequently re-shipped to the customer and recognized as revenue. Historically, returns have not been material to the Company.</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has a rebate program with certain customers allowing for a rebate based on achieving a certain level of shipped sales during the calendar year. This rebate is estimated and updated throughout the year and recorded against revenues and the related accounts receivable.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Segment Information</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managed and operated as one business as the entire business is managed by a single management team that reports to the Chief Executive Officer and President. The Company's chief operating decision-maker ("CODM") is its Chief Executive Officer and President, who makes resource allocation decisions and assesses performance based on financial information presented on an aggregate basis. The Company does not operate separate lines of business with respect to any of its products and does not review discrete financial information to allocate resources to separate products or by location. Accordingly, the Company views its business as one reportable operating segment.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Characteristics of the organization which were relied upon in making the determination that the Company operates in one reportable segment include the similar nature of all of the products that the Company sells, the functional alignment of the Company’s organizational structure, and the reports that are regularly reviewed by the CODM for the purpose of assessing performance and allocating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Income Per Share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complies with accounting and disclosure requirements of FASB ASC Topic 260, “Earnings Per Share”. Net income per common share is computed by dividing net income attributable to controlling interest by the weighted average number of common shares outstanding for the period. The weighted-average number of common shares outstanding during the period includes Class A common stock but is exclusive of Class B common stock as these shares have no economic or participating rights.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net income per share is computed by dividing the net income allocated to potential dilutive instruments attributable to controlling interest by the basic weighted-average number of common shares outstanding during the period, adjusted for the potentially dilutive shares of common stock equivalents resulting from the assumed exercise of the warrants, payment of the earnouts, exercise of the equity awards, exchange of the Class B units and Exchangeable Notes ("securities") only if the effect is not anti-dilutive.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 – Adopted in current fiscal year</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2020, the FASB issued ASU No. 2020-4, "Reference Rate Reform (Topic 848): Facilitation of the Effects of Reference Rate Reform on Financial Reporting" (ASU 2020-4), and in December 2022, the FASB issued ASU No. 2022-6, "Reference Rate Reform (Topic 848): Deferral of the Sunset Date for Topic 848" (ASU 2022-6). ASU 2020-4 provides optional expedients and exceptions for applying U.S. GAAP to contracts, hedging relationships, and other transactions affected by reference rate reform if certain criteria are met. This guidance is elective and applies to all entities that have contracts, hedging relationships, and other transactions that reference LIBOR or another reference rate expected to be discontinued because of reference rate reform. ASU 2022-6 defers the sunset date of Topic 848 from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2022, to December 31, 2024, after which entities will no longer be permitted to apply the relief in Topic 848. During the first quarter of fiscal 2023, the Company adopted the expedient in accounting for the amendments to the Company's 2021 Credit Facility agreement which were made as a result of the replacement of LIBOR as a reference rate. On February 28, 2023, the Company amended the 2021 Credit Facility to, among other things, transition from bearing interest based on LIBOR to Secured Overnight Financing Rate ("SOFR") or the Alternate Base Rate (as defined in the 2021 Credit Facility), at the election of the Company, plus an applicable margin. See Note 5, Debt, for further details regarding the interest rate effected by these amendments, which will be applied prospectively. The adoption of these ASUs did not have a material impact to the Company's consolidated financial statements. </w:t>
      </w:r>
    </w:p>
    <w:p>
      <w:pPr>
        <w:pStyle w:val="TextBody"/>
        <w:bidi w:val="0"/>
        <w:spacing w:lineRule="auto" w:line="288" w:before="240" w:after="283"/>
        <w:jc w:val="left"/>
        <w:rPr>
          <w:color w:val="000000"/>
        </w:rPr>
      </w:pPr>
      <w:r>
        <w:rPr>
          <w:color w:val="000000"/>
        </w:rPr>
        <w:t>    </w:t>
      </w:r>
      <w:r>
        <w:rPr>
          <w:rFonts w:ascii="Times New Roman;sans-serif" w:hAnsi="Times New Roman;sans-serif"/>
          <w:b w:val="false"/>
          <w:color w:val="000000"/>
          <w:sz w:val="20"/>
        </w:rPr>
        <w:t xml:space="preserve">In March 2022, the FASB issued ASU 2022-02, which eliminates the accounting guidance on troubled debt restructurings (TDRs) for creditors in ASC 310-402 and amends the guidance on “vintage disclosures” to require disclosure of current-period gross write-offs by year of origination. The ASU also updates the requirements related to accounting for credit losses under ASC 326 and adds enhanced disclosures for creditors with respect to loan refinancing and restructurings for borrowers experiencing financial difficulty. The amendments in ASU 2020-04 are effective for years beginning after December 15, 2022 for entities that have adopted current expected credit loss ("CECL") model under ASC 326. The Company adopted the CECL model effective January 1, 2022. The adoption of this ASU did not have any impact on the Company's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INVENTORIES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 classes of inventories were as follows: </w:t>
      </w:r>
    </w:p>
    <w:tbl>
      <w:tblPr>
        <w:tblW w:w="5395" w:type="dxa"/>
        <w:jc w:val="left"/>
        <w:tblInd w:w="0" w:type="dxa"/>
        <w:tblLayout w:type="fixed"/>
        <w:tblCellMar>
          <w:top w:w="28" w:type="dxa"/>
          <w:left w:w="28" w:type="dxa"/>
          <w:bottom w:w="28" w:type="dxa"/>
          <w:right w:w="28" w:type="dxa"/>
        </w:tblCellMar>
      </w:tblPr>
      <w:tblGrid>
        <w:gridCol w:w="554"/>
        <w:gridCol w:w="486"/>
        <w:gridCol w:w="489"/>
        <w:gridCol w:w="358"/>
        <w:gridCol w:w="1226"/>
        <w:gridCol w:w="185"/>
        <w:gridCol w:w="109"/>
        <w:gridCol w:w="109"/>
        <w:gridCol w:w="109"/>
        <w:gridCol w:w="344"/>
        <w:gridCol w:w="1175"/>
        <w:gridCol w:w="251"/>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reserve</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51,988 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42,374 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monitor inventory costs relative to selling prices and perform physical cycle count procedures on inventories throughout the year to determine if a lower of cost or net realizable value reserve is necessary. The Company reviews inventory for slow-moving or obsolete amounts based on expected product sales volume and provides reserves against the carrying amount of inventory as appropriate. This reserve may fluctuate as our assumptions change due to new information, discrete events, or changes in our business, such as entering new markets or discontinuing a specific product.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4. PROPERTY AND EQUIPMENT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consisted of the following: </w:t>
      </w:r>
    </w:p>
    <w:tbl>
      <w:tblPr>
        <w:tblW w:w="10205" w:type="dxa"/>
        <w:jc w:val="left"/>
        <w:tblInd w:w="0" w:type="dxa"/>
        <w:tblLayout w:type="fixed"/>
        <w:tblCellMar>
          <w:top w:w="28" w:type="dxa"/>
          <w:left w:w="28" w:type="dxa"/>
          <w:bottom w:w="28" w:type="dxa"/>
          <w:right w:w="28" w:type="dxa"/>
        </w:tblCellMar>
      </w:tblPr>
      <w:tblGrid>
        <w:gridCol w:w="1282"/>
        <w:gridCol w:w="1067"/>
        <w:gridCol w:w="1074"/>
        <w:gridCol w:w="992"/>
        <w:gridCol w:w="988"/>
        <w:gridCol w:w="964"/>
        <w:gridCol w:w="109"/>
        <w:gridCol w:w="109"/>
        <w:gridCol w:w="109"/>
        <w:gridCol w:w="320"/>
        <w:gridCol w:w="1098"/>
        <w:gridCol w:w="165"/>
        <w:gridCol w:w="109"/>
        <w:gridCol w:w="109"/>
        <w:gridCol w:w="109"/>
        <w:gridCol w:w="310"/>
        <w:gridCol w:w="1059"/>
        <w:gridCol w:w="232"/>
      </w:tblGrid>
      <w:tr>
        <w:trPr/>
        <w:tc>
          <w:tcPr>
            <w:tcW w:w="1282"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December 31, 2022</w:t>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294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5 - 10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70,071 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64,626 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29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3 - 5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294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3 - 5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9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Shorter of lease term or estimated useful life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294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29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1 - 3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2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92,536 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85,866 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2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(69,460)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(63,211)</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23,076 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22,655 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on property and equipment was $2,078 and $2,010 for the three months ended September 30, 2023 and 2022, respectively. Depreciation and amortization expense on property and equipment was $6,249 and $6,577 for the nine months ended September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
        <w:jc w:val="left"/>
        <w:rPr>
          <w:rFonts w:ascii="Times New Roman;sans-serif" w:hAnsi="Times New Roman;sans-serif"/>
          <w:b/>
          <w:color w:val="000000"/>
          <w:sz w:val="20"/>
        </w:rPr>
      </w:pPr>
      <w:r>
        <w:rPr>
          <w:rFonts w:ascii="Times New Roman;sans-serif" w:hAnsi="Times New Roman;sans-serif"/>
          <w:b/>
          <w:color w:val="000000"/>
          <w:sz w:val="20"/>
        </w:rPr>
        <w:t>5. DEBT</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Exchangeable Senior Notes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19, 2021, concurrent with the execution of the Merger Agreement, the Company and its subsidiary, Holdings, entered into subscription agreements (the “Note Subscription Agreements”) with certain investors ("Notes Investors") pursuant to which such Notes Investors, severally and not jointly, purchased on the Closing Date of the Business Combination, senior notes (the “Exchangeable Notes”) issued by the Company and guaranteed by the Company's subsidiary, Holdings in an aggregate principal amount of up to $130,000 that are exchangeable into shares of Class A common stock at a conversion price of $11.50 per share, subject to the terms and conditions of an Indenture entered by the Company and its subsidiary, Holdings, and the trustee under the Indenture. The Exchangeable Notes bear interest at a rate of 7% per year, payable semiannually in arrears on each June 15 and December 15, commencing on June 15, 2022, to holders of record at the close of business on the preceding June 1 and December 1 (whether or not such day is a Business Day), respectively. The Exchangeable Notes mature in five years on December 27, 2026. The Company will settle any exchange of the Exchangeable Notes in shares of Class A common stock, with cash payable in lieu of any fractional shares. In connection with the issuance of the Exchangeable Notes, the Company entered into a Registration Rights Agreement, pursuant to which the Notes Investors received certain registration rights with respect to the Class A common stock.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After the three-year anniversary of the Closing Date, the Exchangeable Notes will be redeemable at any time and from time to time by the Company, in whole or in part, (i) if the Last Reported Sale Price of the Class A common stock exceeds 130% of the exchange price as defined in Indenture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and (ii) so long as a registration statement registering the resale of all Exchange Shares is effective and available for use by holders of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Exchangeable Notes during the entirety of the period from and including the date notice of redemption is given to and including the date of redemption. The notice period for any redemption will be no less than 30 scheduled trading days. The redemption price in any such redemption shall be equal to (a) 100% of the principal amount of the Exchangeable Notes to be redeemed, plus (b) accrued and unpaid interest to, but excluding, the redemption date. The redemption price is payable in cash.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Per the terms of the Indenture, holders of Exchangeable Notes in connection with any such redemption will receive a make-whole payment equal to the aggregate dollar value of all interest payable from the date the Company delivers notice of such redemption through the maturity of the Exchangeable Notes. The redemption Make-Whole Amount is payable, at the Company’s option, in cash or through an increase in the exchange rate then applicable to the Exchangeable Notes by an amount equal to (i) the redemption Make-Whole Amount divided by (ii) the five day Volume Weighed Average Price ("VWAP") with regard to the Class A common stock during the five trading period beginning on the trading day immediately following the notice of redemption.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Exchangeable Notes may exchange their notes in whole or in part, at any time or from time to time, for shares of the Company’s Class A common stock, par value $0.0001 per share up, to a maximum exchange rate of 99.9999 shares per $1,000 principal amount after adjustments as defined in the indenture.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Exchangeable Notes contain customary anti-dilution adjustments, taking into account the agreed terms in the Indenture. To avoid doubt, among other customary adjustments, this includes anti-dilution protections for dividends and distributions of the Company's capital stock, assets and indebtedness. Per the terms of the Indenture, the following are the anti-dilution adjustments of the Exchange Rate: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a.If the Company exclusively issues shares of common stock as a dividend or distribution on shares of the common stock, or if the Company effects a share split or share combination;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b.If the Company issues to all or substantially all holders of the common stock any rights, options or warrants (other than pursuant to a stockholders rights plan) entitling them, for a period of not more than 45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c.If the Company distributes shares of its capital stock, evidences of its indebtedness, other assets or property of the Company or rights, options or warrants to acquire its capital stock or other securities of the Company, to all or substantially all holders of the common stock;</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d.If any cash dividend or distribution is made to all or substantially all holders of the common stock;</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e.If the Company or any of its Subsidiaries make a payment in respect of a tender or exchange offer for the common Stock,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exchange rate will in no event be adjusted down pursuant to the provisions described above, except to the extent a tender or exchange offer is announced but not consummated.</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Company undergoes a “fundamental change” (as defined in the Indenture), subject to certain conditions, the Exchange Rate will be adjusted per the adjustment table included in the Indenture. If a fundamental change occurs at any time prior to the maturity date, each holder shall have the right, at such holder’s option, to require the Company to repurchase for cash all of such holder’s Exchangeable Notes at a repurchase price equal to 100% of the principal amount of the Exchangeable Notes to be repurchased, plus accrued and unpaid interest thereon. There is no make-whole payment associated with a fundamental change redemption.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Exchangeable Notes will be entitled to the resale registration rights under the resale Registration Rights Agreement. If a Registration default occurs, additional interest will accrue, equal to 0.25% in the first 90 days and 0.50%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bidi w:val="0"/>
        <w:spacing w:lineRule="auto" w:line="288" w:before="0" w:after="0"/>
        <w:jc w:val="left"/>
        <w:rPr/>
      </w:pPr>
      <w:r>
        <w:rPr>
          <w:rFonts w:ascii="Times New Roman;sans-serif" w:hAnsi="Times New Roman;sans-serif"/>
          <w:b w:val="false"/>
          <w:color w:val="000000"/>
          <w:sz w:val="20"/>
        </w:rPr>
        <w:t>after the 91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 xml:space="preserve">day after the Registration Default (which includes that the Registration Statement has not been filed, or deemed effective or ceases to be effective).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 contains customary terms and covenants and events of default. Upon an event of default as defined in the Indenture, the trustee or the holders of at least 25% in aggregate principal amount of the Exchangeable Notes may declare 100% of the principal of, and accrued and unpaid interest on, all the Exchangeable Notes to be due and payable immediately, and upon any such declaration, the same shall become and shall automatically be immediately due and payable. Upon an event of default in the payment of interest, the Company may elect the sole remedy to be the payment of additional interest of 0.25% for the first 90 days after the occurrence of such an event of default and 0.50% for day s 91-180 after the occurrence of such an event of default.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assessed all of the terms and features of the Exchangeable Notes in order to identify any potential embedded features that would require bifurcation. As part of this analysis, the Company assessed the economic characteristics and risks of the Exchangeable Notes, including the conversion, put and call features. In consideration of these provisions, the Company determined that the optional redemption with a make-whole provision feature required bifurcation as it is a derivative. The fair value of this derivative was determined based on the difference between the fair value of the Exchangeable Notes with the redemption with a make-whole provision feature and the fair value of the Exchangeable Notes without the redemption with a make-whole provision feature. The Company employed a Lattice model to determine the fair value of the derivative upon issuance of the Exchangeable Notes and recorded this amount as derivative liability with an offsetting amount as a debt discount as a reduction to the carrying value of the Exchangeable Notes on the Closing Date, or December 27, 2021. The optional redemption with a make-whole provision feature is measured at fair value on a quarterly basis and the change in the fair value for the period is recorded on the consolidated statements of operations. The Company performed a valuation of the derivative liability and determined that the fair value of the derivative liability was $650 at September 30, 2023 and $285 at December 31, 2022. The Company recorded a favorable change in fair value of $149 and $246 for the three months ended September 30, 2023 and September 30, 2022, respectively. The Company recorded an unfavorable change in fair value of $364 and a favorable change of $185 for the nine months ended September 30, 2023 and September 30, 2022, respectively.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expected term of the Exchangeable Notes was equal for the period through December 27, 2026 as this represents the point at which the Exchangeable Notes will mature unless earlier converted in accordance with their terms prior to such date. For the quarter ended September 30, 2023 and September 30, 2022, the Company recognized $2,416 and $2,407 of interest expense related to the Exchangeable Notes at the effective interest rate of 7.4%. For the nine-months ended September 30, 2023 and September 30, 2022, the Company recognized $7,167 and $7,127 of interest expense related to the Exchangeable Notes at the effective interest rate of 7.4%. The fair value of the Company’s Exchangeable Notes approximate the carrying value of the debt.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Exchangeable Notes, the Company incurred approximately $2,600 of debt issuance costs, which primarily consisted of underwriting fees, and allocated these costs to the liability component and recorded as a reduction in the carrying amount of the debt liability on the balance sheet. The portion allocated to the Exchangeable Notes is amortized to interest expense over the expected term of the Exchangeable Notes using the effective interest method.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Term Loan</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2020, the Company's subsidiaries entered into a new agreement with a bank group arranged by JP Morgan Chase Bank ("JPMC") to refinance the then existing July 2019 credit facility, increasing the maximum aggregate amount available under the term loan to $240,000 bringing total credit facility to $300,000. In addition, the maturity date of both the revolver and term loan was amended to November 5, 2023. This amendment was accounted for as a modification and approximately $3,200 of additional costs incurred in connection with the modification were capitalized as debt issuance costs.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2021, the Company entered into a new agreement with JPMC to refinance its then existing November 2020 credit facility (the "2021 Credit Facility"), increasing the maximum aggregate amount available under the term loan to $250,000 bringing total credit facility to $310,000. In addition, the maturity dates of both the revolver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term loan were amended to December 16, 2025. This amendment was accounted for as a modification and approximately $1,800 of additional costs incurred in connection with the modification were capitalized as debt issuance costs.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the Company amended the 2021 Credit Facility to, among other things, transition from bearing interest based on LIBOR to SOFR or the Alternate Base Rate (as defined in the 2021 Credit Facility), at the election of the Company, plus an applicable margin, and to reflect the waiver of a technical default under the 2021 Credit Facility, related to the delayed delivery of a pledge of its interests in Holdings by the parent company (i.e., CompoSecure, Inc.). Holdings had already pledged all of its assets in favor of the lenders as per the terms of the debt agreement. After the amendment on February 28, 2023, the interest rate spreads and fees under the 2021 Credit Facility are based on a quoted SOFR plus a SOFR adjustment of 0.10% and an applicable margin ranging from 1.75% to 2.75% as determined by the Company’s prevailing Leverage Ratio for the revolving and term loan Term Benchmark and RFR Spread debt (as each term is defined in the 2021 Credit Facility).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further amended its 2021 Credit Facility in May 2023. Pursuant to the amendment, approximately $257 of additional costs incurred in connection with the modification were capitalized as debt issuance costs. In connection with the amendment, two of the lenders in the original agreement did not participate in the amended debt agreement. As a result, the remaining debt issuance cost of approximately $589 related to these two lenders were written off by the Company recorded in amortization of deferred financing cost reflected in Statements of Operations.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the Revolver and Term Loan are based on the outstanding principal amount during the interest period multiplied by the fluctuating bank prime rate plus the applicable margin of 1.75% or for portions of the debt converted to Term Benchmark Loan, the quoted SOFR rate plus the applicable margin of 2.85%. At September 30, 2023 and 2022, the effective interest rate on the Revolver and Term Loan was 7.99% and 5.15% per year, respectively. Interest is payable monthly in arrears or upon maturity of the Euro loans that can run 30, 90, 120, 180 day time periods. The Company must pay quarterly an annual commitment fee of 0.35% on the unused portion of the $60,000 Revolver.</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facility is secured by substantially all of the assets of the Company. The Company recognized $4,997 and $3,439 of interest expense related to the Revolver and the Term Loan for the quarter ended September 30, 2023 and 2022, respectively. The Company recognized $14,870 and $9,609 of interest expense related to the Revolver and the Term Loan for the nine months ended September 30, 2023 and 2022, respectively.</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terms of the credit facilities contain certain financial covenants including a minimum interest coverage ratio, a maximum total debt to EBITDA ratio and a minimum fixed charge coverage ratio. The Company made a prepayment of $8,417 related to the credit facilities in the nine-month period ended September 30, 2023. At September 30, 2023 and December 31, 2022, the Company was in compliance with all financial covenants. The fair value of the Company's debt approximates the carrying value for all periods presented.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there were no balances outstanding on the Revolver. At September 30, 2023, there was $60,000 available for borrowing under the Revolver.</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balances payable under all borrowing facilities are as follows:</w:t>
      </w:r>
    </w:p>
    <w:tbl>
      <w:tblPr>
        <w:tblW w:w="10205" w:type="dxa"/>
        <w:jc w:val="left"/>
        <w:tblInd w:w="0" w:type="dxa"/>
        <w:tblLayout w:type="fixed"/>
        <w:tblCellMar>
          <w:top w:w="28" w:type="dxa"/>
          <w:left w:w="28" w:type="dxa"/>
          <w:bottom w:w="28" w:type="dxa"/>
          <w:right w:w="28" w:type="dxa"/>
        </w:tblCellMar>
      </w:tblPr>
      <w:tblGrid>
        <w:gridCol w:w="733"/>
        <w:gridCol w:w="403"/>
        <w:gridCol w:w="374"/>
        <w:gridCol w:w="211"/>
        <w:gridCol w:w="826"/>
        <w:gridCol w:w="109"/>
        <w:gridCol w:w="109"/>
        <w:gridCol w:w="109"/>
        <w:gridCol w:w="109"/>
        <w:gridCol w:w="223"/>
        <w:gridCol w:w="875"/>
        <w:gridCol w:w="116"/>
        <w:gridCol w:w="109"/>
        <w:gridCol w:w="109"/>
        <w:gridCol w:w="109"/>
        <w:gridCol w:w="211"/>
        <w:gridCol w:w="826"/>
        <w:gridCol w:w="109"/>
        <w:gridCol w:w="109"/>
        <w:gridCol w:w="109"/>
        <w:gridCol w:w="109"/>
        <w:gridCol w:w="211"/>
        <w:gridCol w:w="826"/>
        <w:gridCol w:w="109"/>
        <w:gridCol w:w="109"/>
        <w:gridCol w:w="109"/>
        <w:gridCol w:w="109"/>
        <w:gridCol w:w="223"/>
        <w:gridCol w:w="875"/>
        <w:gridCol w:w="116"/>
        <w:gridCol w:w="109"/>
        <w:gridCol w:w="109"/>
        <w:gridCol w:w="109"/>
        <w:gridCol w:w="211"/>
        <w:gridCol w:w="826"/>
        <w:gridCol w:w="157"/>
      </w:tblGrid>
      <w:tr>
        <w:trPr/>
        <w:tc>
          <w:tcPr>
            <w:tcW w:w="73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0"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8"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Term Loan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Exchangeable Notes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Term Loan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Exchangeable Notes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Total debt</w:t>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r>
              <w:rPr>
                <w:rFonts w:ascii="Times New Roman;sans-serif" w:hAnsi="Times New Roman;sans-serif"/>
                <w:b w:val="false"/>
                <w:color w:val="000000"/>
                <w:sz w:val="20"/>
              </w:rPr>
              <w:t>Loan Balance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$363,122</w:t>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term loan (scheduled payments)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(14,372)</w:t>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deferred financing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(5,126)</w:t>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 Term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127,708 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127,348 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343,624 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 redemption with make-whole provision</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5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5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5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maturity of all the borrowings facilities is as follows:</w:t>
      </w:r>
    </w:p>
    <w:p>
      <w:pPr>
        <w:pStyle w:val="TextBody"/>
        <w:bidi w:val="0"/>
        <w:spacing w:before="0" w:after="0"/>
        <w:jc w:val="left"/>
        <w:rPr/>
      </w:pPr>
      <w:r>
        <w:rPr/>
      </w:r>
    </w:p>
    <w:tbl>
      <w:tblPr>
        <w:tblW w:w="2871" w:type="dxa"/>
        <w:jc w:val="left"/>
        <w:tblInd w:w="0" w:type="dxa"/>
        <w:tblLayout w:type="fixed"/>
        <w:tblCellMar>
          <w:top w:w="28" w:type="dxa"/>
          <w:left w:w="28" w:type="dxa"/>
          <w:bottom w:w="28" w:type="dxa"/>
          <w:right w:w="28" w:type="dxa"/>
        </w:tblCellMar>
      </w:tblPr>
      <w:tblGrid>
        <w:gridCol w:w="608"/>
        <w:gridCol w:w="534"/>
        <w:gridCol w:w="538"/>
        <w:gridCol w:w="211"/>
        <w:gridCol w:w="82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interest rate risk on variable interest rate debt obligations. To manage interest rate risk, the Company had entered into an interest rate swap agreement on November 5, 2020 to hedge forecasted interest rate payments on its variable rate debt. In January 2022, the Company cancelled the November 2020 swap agreement and entered into a new interest rate swap agreement. The Company recognized $400 gain upon the settlement of the November 2020 interest rate swap agreement in interest income reflected in statements of operations. At September 30, 2023, the Company’s interest rate swap contract outstanding had a notional amount of $125,000 maturing in December 2025. The Company has designated the interest rate swap agreement as a cash flow hedge for accounting purposes, that was determined to be effective. The Company determined the fair value of the interest rate swap to be zero at the inception of the agreement and $8,055 and $8,651 at September 30, 2023 and December 31, 2022, respectively. The Company reflects the realized gains and losses of the actual monthly settlement activity of the interest rate swap through interest income or expense in its consolidated statements of operations. The Company reflects the unrealized changes in fair value of the interest rate swap at each reporting period in other comprehensive income and a derivative asset or liability will be recognized at each reporting period in the Company’s financial statements. The interest rate swap converted to SOFR from LIBOR at the same time as the amendment of 2021 Credit Facility in February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6. EQUITY STRUCTURE</w:t>
      </w:r>
    </w:p>
    <w:p>
      <w:pPr>
        <w:pStyle w:val="TextBody"/>
        <w:bidi w:val="0"/>
        <w:spacing w:lineRule="auto" w:line="288" w:before="120" w:after="1"/>
        <w:jc w:val="left"/>
        <w:rPr>
          <w:rFonts w:ascii="Times New Roman;sans-serif" w:hAnsi="Times New Roman;sans-serif"/>
          <w:b/>
          <w:color w:val="000000"/>
          <w:sz w:val="20"/>
        </w:rPr>
      </w:pPr>
      <w:r>
        <w:rPr>
          <w:rFonts w:ascii="Times New Roman;sans-serif" w:hAnsi="Times New Roman;sans-serif"/>
          <w:b/>
          <w:color w:val="000000"/>
          <w:sz w:val="20"/>
        </w:rPr>
        <w:t>Shares Authorized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had authorized a total of 250,000,000 shares for issuance designated as Class A common stock, 75,000,000 designated as Class B common stock and 10,000,000 shares designated as preferred stock. As of September 30, 2023, there were 19,293,287 shares of Class A Common Stock issued and outstanding, 59,958,422 shares of Class B Common Stock issued and outstanding and no shares of Preferred Stock issued and outstanding.</w:t>
      </w:r>
    </w:p>
    <w:p>
      <w:pPr>
        <w:pStyle w:val="TextBody"/>
        <w:bidi w:val="0"/>
        <w:spacing w:lineRule="auto" w:line="288" w:before="120" w:after="1"/>
        <w:jc w:val="left"/>
        <w:rPr>
          <w:rFonts w:ascii="Times New Roman;sans-serif" w:hAnsi="Times New Roman;sans-serif"/>
          <w:b/>
          <w:color w:val="000000"/>
          <w:sz w:val="20"/>
        </w:rPr>
      </w:pPr>
      <w:r>
        <w:rPr>
          <w:rFonts w:ascii="Times New Roman;sans-serif" w:hAnsi="Times New Roman;sans-serif"/>
          <w:b/>
          <w:color w:val="000000"/>
          <w:sz w:val="20"/>
        </w:rPr>
        <w:t>Issuance of Common Stock</w:t>
      </w:r>
    </w:p>
    <w:p>
      <w:pPr>
        <w:pStyle w:val="TextBody"/>
        <w:bidi w:val="0"/>
        <w:spacing w:lineRule="auto" w:line="288" w:before="120"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quarter ended September 30, 2023, the Company issued 601,181 new shares of class A common stock pursuant primarily to the vesting of certain restricted stock units ("RSUs"), and exercises of stock options, as well as employee stock purchase plan transactions ("ESPP") during the quarter. The Class A common stock issued pursuant to the vesting of RSUs were issued net of shares withheld for applicable taxes. </w:t>
      </w:r>
    </w:p>
    <w:p>
      <w:pPr>
        <w:pStyle w:val="TextBody"/>
        <w:bidi w:val="0"/>
        <w:spacing w:before="0" w:after="1"/>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nine month period ended September 30, 2023, the Company issued 2,479,904 new shares of class A common stock pursuant primarily to the vesting of certain restricted stock units ("RSUs"), and exercises of stock options, as well as ESPP transactions during the nine month period. The Class A common stock issued pursuant to the vesting of RSUs were issued net of shares withheld for applicable taxes. Additionally, certain holders of the shares of Class B common stock exchanged an aggregate of 366,635 Class B units in Holdings (together with the corresponding number of shares of the Company's Class B common stock) in exchange for 366,635 shares of Class A common stock. Upon the exchange, the exchanged shares of Class B common stock and the corresponding number of shares of Class B units were canceled.</w:t>
      </w:r>
    </w:p>
    <w:p>
      <w:pPr>
        <w:pStyle w:val="TextBody"/>
        <w:bidi w:val="0"/>
        <w:spacing w:lineRule="auto" w:line="268" w:before="120" w:after="1"/>
        <w:jc w:val="left"/>
        <w:rPr>
          <w:rFonts w:ascii="Times New Roman;sans-serif" w:hAnsi="Times New Roman;sans-serif"/>
          <w:b/>
          <w:color w:val="000000"/>
          <w:sz w:val="20"/>
        </w:rPr>
      </w:pPr>
      <w:r>
        <w:rPr>
          <w:rFonts w:ascii="Times New Roman;sans-serif" w:hAnsi="Times New Roman;sans-serif"/>
          <w:b/>
          <w:color w:val="000000"/>
          <w:sz w:val="20"/>
        </w:rPr>
        <w:t>Warrants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the Company had 300,000 private warrants outstanding. Each private warrant entitles the registered holder to purchase one share of Class A common stock at a price of $11.50 per share, subject to adjustment,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any time commencing 30 days after the completion of the Business Combination. The exercise price and number of common shares issuable upon exercise of the private warrants may be adjusted in certain circumstances including in the event of a share dividend, or recapitalization, reorganization, merger or consolidation. However, the private warrants will not be adjusted for issuance of common stock at a price below its exercise price. As of September 30, 2023, the holder of private warrants had sold an aggregate of 10,537,400 private warrants in open market transactions resulting in such private warrants becoming public warrants.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had 22,115,389 public warrants outstanding. Each public warrant entitles the registered holder to purchase one share of the Company’s Class A Common Stock at a price of $11.50 per share, subject to adjustment, at any time commencing 30 days after the completion of the Business Combination. Pursuant to the warrant agreement, a warrant holder may exercise its warrants only for a whole number of shares.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Non-Controlling Interest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represent direct interests held in Holdings other than by the Company immediately after the Business Combination. The non-controlling interests in the Company are represented by Class B Units, or such other equity securities in the Company as the Board may establish in accordance with the terms hereof. Since the potential cash redemptions of the non-controlling interests are outside the control of the Company, such non-controlling interests are classified as temporary equity on the consolidated balance sheet in accordance with ASC 480. Income tax benefit or expense is applied to the income attributable to the controlling interest as the income attributable to the non-controlling interest is pass-through income. The non-controlling interest has been adjusted to redemption value as of September 30, 2023 in accordance with ASC 480-10. This measurement adjustment results in a corresponding adjustment to shareholders’ deficit through adjustments to additional paid-in capital and retained earnings. The redemption value of the Class B Units was $596,587 on September 30, 2023. The redemption value was calculated by multiplying the 59,958,422 Class B Units outstanding at September 30, 2023 by the $9.95 trading price of our Class A common stock on December 27,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7. STOCK-BASED COMPENSATION </w:t>
      </w:r>
    </w:p>
    <w:p>
      <w:pPr>
        <w:pStyle w:val="TextBody"/>
        <w:bidi w:val="0"/>
        <w:spacing w:before="0" w:after="2"/>
        <w:ind w:left="0" w:right="0" w:hanging="4"/>
        <w:jc w:val="left"/>
        <w:rPr/>
      </w:pPr>
      <w:r>
        <w:rPr/>
      </w:r>
    </w:p>
    <w:p>
      <w:pPr>
        <w:pStyle w:val="TextBody"/>
        <w:bidi w:val="0"/>
        <w:spacing w:lineRule="auto" w:line="288" w:before="0" w:after="1"/>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share-based compensation expense included in Selling, general and administrative expenses within the consolidated statements of operations:</w:t>
      </w:r>
    </w:p>
    <w:p>
      <w:pPr>
        <w:pStyle w:val="TextBody"/>
        <w:bidi w:val="0"/>
        <w:spacing w:before="0" w:after="1"/>
        <w:ind w:left="0" w:right="0" w:firstLine="2"/>
        <w:jc w:val="both"/>
        <w:rPr/>
      </w:pPr>
      <w:r>
        <w:rPr/>
      </w:r>
    </w:p>
    <w:tbl>
      <w:tblPr>
        <w:tblW w:w="9933" w:type="dxa"/>
        <w:jc w:val="left"/>
        <w:tblInd w:w="0" w:type="dxa"/>
        <w:tblLayout w:type="fixed"/>
        <w:tblCellMar>
          <w:top w:w="28" w:type="dxa"/>
          <w:left w:w="28" w:type="dxa"/>
          <w:bottom w:w="28" w:type="dxa"/>
          <w:right w:w="28" w:type="dxa"/>
        </w:tblCellMar>
      </w:tblPr>
      <w:tblGrid>
        <w:gridCol w:w="1249"/>
        <w:gridCol w:w="1095"/>
        <w:gridCol w:w="1105"/>
        <w:gridCol w:w="299"/>
        <w:gridCol w:w="874"/>
        <w:gridCol w:w="154"/>
        <w:gridCol w:w="154"/>
        <w:gridCol w:w="154"/>
        <w:gridCol w:w="154"/>
        <w:gridCol w:w="299"/>
        <w:gridCol w:w="874"/>
        <w:gridCol w:w="154"/>
        <w:gridCol w:w="109"/>
        <w:gridCol w:w="109"/>
        <w:gridCol w:w="109"/>
        <w:gridCol w:w="273"/>
        <w:gridCol w:w="934"/>
        <w:gridCol w:w="141"/>
        <w:gridCol w:w="141"/>
        <w:gridCol w:w="141"/>
        <w:gridCol w:w="141"/>
        <w:gridCol w:w="273"/>
        <w:gridCol w:w="798"/>
        <w:gridCol w:w="199"/>
      </w:tblGrid>
      <w:tr>
        <w:trPr/>
        <w:tc>
          <w:tcPr>
            <w:tcW w:w="124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expense</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expense</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stock unit expense</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units</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13,052 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7,736 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options activity under the Holdings' equity plan, which was assumed by the Company, for the nine month period ended September 30, 2023:</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Stock Option Activity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tbl>
      <w:tblPr>
        <w:tblW w:w="10205" w:type="dxa"/>
        <w:jc w:val="left"/>
        <w:tblInd w:w="0" w:type="dxa"/>
        <w:tblLayout w:type="fixed"/>
        <w:tblCellMar>
          <w:top w:w="28" w:type="dxa"/>
          <w:left w:w="28" w:type="dxa"/>
          <w:bottom w:w="28" w:type="dxa"/>
          <w:right w:w="28" w:type="dxa"/>
        </w:tblCellMar>
      </w:tblPr>
      <w:tblGrid>
        <w:gridCol w:w="1042"/>
        <w:gridCol w:w="848"/>
        <w:gridCol w:w="852"/>
        <w:gridCol w:w="539"/>
        <w:gridCol w:w="495"/>
        <w:gridCol w:w="401"/>
        <w:gridCol w:w="109"/>
        <w:gridCol w:w="109"/>
        <w:gridCol w:w="109"/>
        <w:gridCol w:w="607"/>
        <w:gridCol w:w="1474"/>
        <w:gridCol w:w="316"/>
        <w:gridCol w:w="109"/>
        <w:gridCol w:w="109"/>
        <w:gridCol w:w="109"/>
        <w:gridCol w:w="465"/>
        <w:gridCol w:w="465"/>
        <w:gridCol w:w="467"/>
        <w:gridCol w:w="109"/>
        <w:gridCol w:w="109"/>
        <w:gridCol w:w="109"/>
        <w:gridCol w:w="242"/>
        <w:gridCol w:w="827"/>
        <w:gridCol w:w="184"/>
      </w:tblGrid>
      <w:tr>
        <w:trPr/>
        <w:tc>
          <w:tcPr>
            <w:tcW w:w="104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 Per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Remaining</w:t>
              <w:br/>
              <w:t>Contractual 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Aggregate</w:t>
              <w:br/>
              <w:t>Intrinsic Value</w:t>
              <w:br/>
              <w:t>(in thousands)</w:t>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2023</w:t>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4,765,545 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(1,395,562)</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September 30, 2023</w:t>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3,369,983 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15,495 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at September 30, 2023</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3,369,983 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September 30, 2023</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3,345,417 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 Activity</w:t>
      </w:r>
    </w:p>
    <w:tbl>
      <w:tblPr>
        <w:tblW w:w="4591" w:type="dxa"/>
        <w:jc w:val="left"/>
        <w:tblInd w:w="0" w:type="dxa"/>
        <w:tblLayout w:type="fixed"/>
        <w:tblCellMar>
          <w:top w:w="28" w:type="dxa"/>
          <w:left w:w="28" w:type="dxa"/>
          <w:bottom w:w="28" w:type="dxa"/>
          <w:right w:w="28" w:type="dxa"/>
        </w:tblCellMar>
      </w:tblPr>
      <w:tblGrid>
        <w:gridCol w:w="1033"/>
        <w:gridCol w:w="906"/>
        <w:gridCol w:w="911"/>
        <w:gridCol w:w="524"/>
        <w:gridCol w:w="526"/>
        <w:gridCol w:w="691"/>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2023</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5,497,066 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1,649,498 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(1,567,217)</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(120,150)</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September 30, 2023</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5,459,197 </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Performance Stock Unit Activity</w:t>
      </w:r>
    </w:p>
    <w:tbl>
      <w:tblPr>
        <w:tblW w:w="4603" w:type="dxa"/>
        <w:jc w:val="left"/>
        <w:tblInd w:w="0" w:type="dxa"/>
        <w:tblLayout w:type="fixed"/>
        <w:tblCellMar>
          <w:top w:w="28" w:type="dxa"/>
          <w:left w:w="28" w:type="dxa"/>
          <w:bottom w:w="28" w:type="dxa"/>
          <w:right w:w="28" w:type="dxa"/>
        </w:tblCellMar>
      </w:tblPr>
      <w:tblGrid>
        <w:gridCol w:w="1033"/>
        <w:gridCol w:w="906"/>
        <w:gridCol w:w="911"/>
        <w:gridCol w:w="575"/>
        <w:gridCol w:w="487"/>
        <w:gridCol w:w="691"/>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2023</w:t>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449,380 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658,156 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September 30, 2023</w:t>
            </w:r>
          </w:p>
        </w:tc>
        <w:tc>
          <w:tcPr>
            <w:tcW w:w="10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1,107,536 </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Earnouts</w:t>
      </w:r>
    </w:p>
    <w:tbl>
      <w:tblPr>
        <w:tblW w:w="4515" w:type="dxa"/>
        <w:jc w:val="left"/>
        <w:tblInd w:w="0" w:type="dxa"/>
        <w:tblLayout w:type="fixed"/>
        <w:tblCellMar>
          <w:top w:w="28" w:type="dxa"/>
          <w:left w:w="28" w:type="dxa"/>
          <w:bottom w:w="28" w:type="dxa"/>
          <w:right w:w="28" w:type="dxa"/>
        </w:tblCellMar>
      </w:tblPr>
      <w:tblGrid>
        <w:gridCol w:w="1033"/>
        <w:gridCol w:w="906"/>
        <w:gridCol w:w="911"/>
        <w:gridCol w:w="487"/>
        <w:gridCol w:w="487"/>
        <w:gridCol w:w="691"/>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2023</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657,160 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September 30, 2023</w:t>
            </w:r>
          </w:p>
        </w:tc>
        <w:tc>
          <w:tcPr>
            <w:tcW w:w="9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657,160 </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Incentive Units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Business Combination on December 27, 2021, all of the incentive units, whether vested or unvested, outstanding immediately prior to the merger that were not settled as part of the transaction, were assumed by the Company and converted into class B common stock and such shares of converted class B common stock outstanding were 1,236,027 as of September 30, 2023.</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compensation cost for unvested stock options, restricted stock awards and performance stock units as of September 30, 2023 totaled $33,710, and is expected to be recognized over a weighted average period of approximately 2.1 years. No unrecognized compensation expense remained for the incentive units as of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8. RETIREMENT PLANS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Defined Contribution Plan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401(k) profit sharing plan for all full-time employees who have attained the age of 21 and completed 90 days of service. The Company matches 100% of the first 1% and then 50% of the next 5% of employee contributions. Retirement plan expense for the three months ended September 30, 2023 and 2022 was approximately $405 and $319, respectively. Retirement plan expense for the nine months ended September 30, 2023 and 2022 was approximately $1,326 and $1,156, respectively.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Deferred Compensation Plan</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a self-administered deferred compensation plan that accrues a liability for the benefit of certain employees equal to 0.25% of the year-over-year change in Earnings Before Interest Depreciation “EBITDA” that began in 2014. The total liability was $0 and $242 at September 30, 2023 and December 31, 2022, respectively and was recorded in other liabilities on the balance sheet. The plan was terminated during the year ended December 31, 2021 and the remaining liability was paid in the nine months ended September 30, 2023.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9. FAIR VALUE MEASUREMENTS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fair value in accordance with ASC 820 which established a hierarchy for the inputs used to measure the fair value of financial assets and liabilities based on the source of the input, which generally range from quoted prices for identical instruments in a principal trading market (i.e., Level 1) to estimates determined using significant unobservable inputs (i.e., Level 3). The fair value hierarchy prioritizes the inputs, which refer to assumptions that market participants would use in pricing an asset or liability, based upon the highest and best use, into three levels as follows: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standard describes three levels of inputs that may be used to measure fair value: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Level 1:</w:t>
      </w:r>
      <w:r>
        <w:rPr>
          <w:color w:val="000000"/>
        </w:rPr>
        <w:t xml:space="preserve"> </w:t>
      </w:r>
      <w:r>
        <w:rPr>
          <w:rFonts w:ascii="Times New Roman;sans-serif" w:hAnsi="Times New Roman;sans-serif"/>
          <w:b w:val="false"/>
          <w:color w:val="000000"/>
          <w:sz w:val="20"/>
        </w:rPr>
        <w:t>Unadjusted quoted prices in active markets for identical assets or liabilities at the measurement date.</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Level 2:</w:t>
      </w:r>
      <w:r>
        <w:rPr>
          <w:color w:val="000000"/>
        </w:rPr>
        <w:t xml:space="preserve"> </w:t>
      </w:r>
      <w:r>
        <w:rPr>
          <w:rFonts w:ascii="Times New Roman;sans-serif" w:hAnsi="Times New Roman;sans-serif"/>
          <w:b w:val="false"/>
          <w:color w:val="000000"/>
          <w:sz w:val="20"/>
        </w:rPr>
        <w:t>Observable inputs other than unadjusted quoted prices in active markets for identical assets or liabilities such as:</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Quoted prices for similar assets or liabilities in active markets</w:t>
      </w:r>
    </w:p>
    <w:p>
      <w:pPr>
        <w:pStyle w:val="TextBody"/>
        <w:bidi w:val="0"/>
        <w:spacing w:lineRule="auto" w:line="288" w:before="0" w:after="0"/>
        <w:ind w:left="0" w:right="0" w:hanging="187"/>
        <w:jc w:val="left"/>
        <w:rPr/>
      </w:pPr>
      <w:r>
        <w:rPr>
          <w:color w:val="000000"/>
        </w:rPr>
        <w:t>◦</w:t>
      </w:r>
      <w:r>
        <w:rPr>
          <w:rFonts w:ascii="Times New Roman;sans-serif" w:hAnsi="Times New Roman;sans-serif"/>
          <w:b w:val="false"/>
          <w:color w:val="000000"/>
          <w:sz w:val="20"/>
        </w:rPr>
        <w:t>Quoted prices for identical or similar assets or liabilities in inactive markets</w:t>
      </w:r>
    </w:p>
    <w:p>
      <w:pPr>
        <w:pStyle w:val="TextBody"/>
        <w:bidi w:val="0"/>
        <w:spacing w:lineRule="auto" w:line="288" w:before="0" w:after="0"/>
        <w:ind w:left="0" w:right="0" w:hanging="187"/>
        <w:jc w:val="left"/>
        <w:rPr/>
      </w:pPr>
      <w:r>
        <w:rPr>
          <w:color w:val="000000"/>
        </w:rPr>
        <w:t>◦</w:t>
      </w:r>
      <w:r>
        <w:rPr>
          <w:rFonts w:ascii="Times New Roman;sans-serif" w:hAnsi="Times New Roman;sans-serif"/>
          <w:b w:val="false"/>
          <w:color w:val="000000"/>
          <w:sz w:val="20"/>
        </w:rPr>
        <w:t>Inputs other than quoted prices that are observable for the asset or liability</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Inputs that are derived principally from or corroborated by observable market data by correlation or other mean</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Level 3:</w:t>
      </w:r>
      <w:r>
        <w:rPr>
          <w:color w:val="000000"/>
        </w:rPr>
        <w:t xml:space="preserve"> </w:t>
      </w:r>
      <w:r>
        <w:rPr>
          <w:rFonts w:ascii="Times New Roman;sans-serif" w:hAnsi="Times New Roman;sans-serif"/>
          <w:b w:val="false"/>
          <w:color w:val="000000"/>
          <w:sz w:val="20"/>
        </w:rPr>
        <w:t>Unobservable inputs in which there is little or no market data available, which are significant to the fair value measurement and require the Company to develop its own assumptions.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and liabilities measured at fair value on a recurring basis, consisted of the following types of instruments as of the following dates: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tbl>
      <w:tblPr>
        <w:tblW w:w="10205" w:type="dxa"/>
        <w:jc w:val="left"/>
        <w:tblInd w:w="0" w:type="dxa"/>
        <w:tblLayout w:type="fixed"/>
        <w:tblCellMar>
          <w:top w:w="28" w:type="dxa"/>
          <w:left w:w="28" w:type="dxa"/>
          <w:bottom w:w="28" w:type="dxa"/>
          <w:right w:w="28" w:type="dxa"/>
        </w:tblCellMar>
      </w:tblPr>
      <w:tblGrid>
        <w:gridCol w:w="1814"/>
        <w:gridCol w:w="1590"/>
        <w:gridCol w:w="1597"/>
        <w:gridCol w:w="109"/>
        <w:gridCol w:w="109"/>
        <w:gridCol w:w="109"/>
        <w:gridCol w:w="211"/>
        <w:gridCol w:w="721"/>
        <w:gridCol w:w="109"/>
        <w:gridCol w:w="109"/>
        <w:gridCol w:w="109"/>
        <w:gridCol w:w="109"/>
        <w:gridCol w:w="211"/>
        <w:gridCol w:w="616"/>
        <w:gridCol w:w="109"/>
        <w:gridCol w:w="109"/>
        <w:gridCol w:w="109"/>
        <w:gridCol w:w="109"/>
        <w:gridCol w:w="246"/>
        <w:gridCol w:w="475"/>
        <w:gridCol w:w="109"/>
        <w:gridCol w:w="109"/>
        <w:gridCol w:w="109"/>
        <w:gridCol w:w="109"/>
        <w:gridCol w:w="211"/>
        <w:gridCol w:w="721"/>
        <w:gridCol w:w="157"/>
      </w:tblGrid>
      <w:tr>
        <w:trPr/>
        <w:tc>
          <w:tcPr>
            <w:tcW w:w="1814"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50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Assets Carried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 -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Carried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 redemption with make-whole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Assets Carried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 -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Carried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 redemption with make-whole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information is provided below about assets and liabilities remeasured at fair value on a recurring basis and for which the Company utilizes Level 3 inputs to determine fair value.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Derivative asset - interest rate swap</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interest rate risk on variable interest rate debt obligations. To manage interest rate risk, the Company entered into an interest rate swap agreement on January 5, 2022. See Note 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Warrant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Business Combination, the Company assumed warrant liability related to previously issued warrants in connection with Roman DBDR's initial public offering. The warrants were accounted for as liabilities in accordance with ASC 815-40 and are presented within warrant liabilities on our consolidated balance sheet. The warrant liabilities were remeasured at September 30, 2023, with changes in fair value presented within revaluation of warrant liabilities in the consolidated statement of operations.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ending balances for the warrant liabilities remeasured at fair value:</w:t>
      </w:r>
    </w:p>
    <w:tbl>
      <w:tblPr>
        <w:tblW w:w="5801" w:type="dxa"/>
        <w:jc w:val="left"/>
        <w:tblInd w:w="0" w:type="dxa"/>
        <w:tblLayout w:type="fixed"/>
        <w:tblCellMar>
          <w:top w:w="28" w:type="dxa"/>
          <w:left w:w="28" w:type="dxa"/>
          <w:bottom w:w="28" w:type="dxa"/>
          <w:right w:w="28" w:type="dxa"/>
        </w:tblCellMar>
      </w:tblPr>
      <w:tblGrid>
        <w:gridCol w:w="1303"/>
        <w:gridCol w:w="1144"/>
        <w:gridCol w:w="1152"/>
        <w:gridCol w:w="109"/>
        <w:gridCol w:w="109"/>
        <w:gridCol w:w="109"/>
        <w:gridCol w:w="364"/>
        <w:gridCol w:w="1245"/>
        <w:gridCol w:w="266"/>
      </w:tblGrid>
      <w:tr>
        <w:trPr/>
        <w:tc>
          <w:tcPr>
            <w:tcW w:w="130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300" w:before="0" w:after="283"/>
              <w:jc w:val="center"/>
              <w:rPr>
                <w:color w:val="000000"/>
              </w:rPr>
            </w:pPr>
            <w:r>
              <w:rPr>
                <w:color w:val="000000"/>
              </w:rPr>
              <w:t> </w:t>
            </w:r>
            <w:r>
              <w:rPr>
                <w:rFonts w:ascii="Times New Roman;sans-serif" w:hAnsi="Times New Roman;sans-serif"/>
                <w:b/>
                <w:color w:val="000000"/>
                <w:sz w:val="20"/>
              </w:rPr>
              <w:t>Warrant Liabilities</w:t>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fair value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16,341 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estimated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Estimated fair value at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14,570 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Public warrants were valued using the quoted market price as the fair value at the end of each balance sheet date. The Private Placement Warrants were valued using the Black Scholes Option Pricing Model.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private warrants has been classified as a Level 3 liability as its valuation requires substantial judgment and estimation of factors that are not currently readily observable in the market. If different assumptions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used for the various inputs to the valuation approach, the estimated fair value could be significantly higher or lower than the fair value determined.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Earnout Consideration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Holdings' equity holders have the right to receive an aggregate of up to 7,500,000 additional (i) shares of the Company's class A common stock or (ii) Holdings Units (and a corresponding number of shares of the Company's class B common stock), as applicable, in Earnout consideration based on the achievement of certain stock price thresholds. Earnout Considerations held by Holdings' holders (not including the holders under ASC 718) were determined to be derivative instruments in accordance with ASC 815 and were accounted as derivative liabilities, initially valued at fair value in accordance with ASC 815-40-30-1. The liability for Earnouts are remeasured at each reporting period at fair value, with changes in fair value recorded in earnings in accordance with ASC 815. The Company established the initial fair value for the earnouts at the closing date on December 27, 2021 using a Monte Carlo simulation model. The following table provides a reconciliation of the ending balances for the earnout consideration liabilities remeasured at fair value: </w:t>
      </w:r>
    </w:p>
    <w:p>
      <w:pPr>
        <w:pStyle w:val="TextBody"/>
        <w:bidi w:val="0"/>
        <w:spacing w:before="0" w:after="0"/>
        <w:ind w:left="0" w:right="0" w:firstLine="720"/>
        <w:jc w:val="left"/>
        <w:rPr/>
      </w:pPr>
      <w:r>
        <w:rPr/>
      </w:r>
    </w:p>
    <w:tbl>
      <w:tblPr>
        <w:tblW w:w="6820" w:type="dxa"/>
        <w:jc w:val="left"/>
        <w:tblInd w:w="0" w:type="dxa"/>
        <w:tblLayout w:type="fixed"/>
        <w:tblCellMar>
          <w:top w:w="28" w:type="dxa"/>
          <w:left w:w="28" w:type="dxa"/>
          <w:bottom w:w="28" w:type="dxa"/>
          <w:right w:w="28" w:type="dxa"/>
        </w:tblCellMar>
      </w:tblPr>
      <w:tblGrid>
        <w:gridCol w:w="1303"/>
        <w:gridCol w:w="1144"/>
        <w:gridCol w:w="1152"/>
        <w:gridCol w:w="109"/>
        <w:gridCol w:w="109"/>
        <w:gridCol w:w="109"/>
        <w:gridCol w:w="561"/>
        <w:gridCol w:w="1920"/>
        <w:gridCol w:w="413"/>
      </w:tblGrid>
      <w:tr>
        <w:trPr/>
        <w:tc>
          <w:tcPr>
            <w:tcW w:w="130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Earnout Consideration Liability</w:t>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fair value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15,090 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estimated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(10,540)</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fair value at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4,550 </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assumptions were used to determine the fair value of the Earnout considerations as of September 30, 2023:</w:t>
      </w:r>
    </w:p>
    <w:tbl>
      <w:tblPr>
        <w:tblW w:w="4586" w:type="dxa"/>
        <w:jc w:val="left"/>
        <w:tblInd w:w="0" w:type="dxa"/>
        <w:tblLayout w:type="fixed"/>
        <w:tblCellMar>
          <w:top w:w="28" w:type="dxa"/>
          <w:left w:w="28" w:type="dxa"/>
          <w:bottom w:w="28" w:type="dxa"/>
          <w:right w:w="28" w:type="dxa"/>
        </w:tblCellMar>
      </w:tblPr>
      <w:tblGrid>
        <w:gridCol w:w="884"/>
        <w:gridCol w:w="777"/>
        <w:gridCol w:w="783"/>
        <w:gridCol w:w="109"/>
        <w:gridCol w:w="109"/>
        <w:gridCol w:w="109"/>
        <w:gridCol w:w="368"/>
        <w:gridCol w:w="893"/>
        <w:gridCol w:w="554"/>
      </w:tblGrid>
      <w:tr>
        <w:trPr/>
        <w:tc>
          <w:tcPr>
            <w:tcW w:w="88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market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ans-serif" w:hAnsi="Times New Roman;sans-serif"/>
                <w:b w:val="false"/>
                <w:color w:val="000000"/>
                <w:sz w:val="20"/>
              </w:rPr>
            </w:pPr>
            <w:r>
              <w:rPr>
                <w:rFonts w:ascii="Times New Roman;sans-serif" w:hAnsi="Times New Roman;sans-serif"/>
                <w:b w:val="false"/>
                <w:color w:val="000000"/>
                <w:sz w:val="20"/>
              </w:rPr>
              <w:t>4.97% - 5.36%</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ans-serif" w:hAnsi="Times New Roman;sans-serif"/>
                <w:b w:val="false"/>
                <w:color w:val="000000"/>
                <w:sz w:val="20"/>
              </w:rPr>
            </w:pPr>
            <w:r>
              <w:rPr>
                <w:rFonts w:ascii="Times New Roman;sans-serif" w:hAnsi="Times New Roman;sans-serif"/>
                <w:b w:val="false"/>
                <w:color w:val="000000"/>
                <w:sz w:val="20"/>
              </w:rPr>
              <w:t>40.0% - 45.0%</w:t>
            </w:r>
          </w:p>
        </w:tc>
      </w:tr>
      <w:tr>
        <w:trPr/>
        <w:tc>
          <w:tcPr>
            <w:tcW w:w="24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55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ans-serif" w:hAnsi="Times New Roman;sans-serif"/>
                <w:b w:val="false"/>
                <w:color w:val="000000"/>
                <w:sz w:val="20"/>
              </w:rPr>
            </w:pPr>
            <w:r>
              <w:rPr>
                <w:rFonts w:ascii="Times New Roman;sans-serif" w:hAnsi="Times New Roman;sans-serif"/>
                <w:b w:val="false"/>
                <w:color w:val="000000"/>
                <w:sz w:val="20"/>
              </w:rPr>
              <w:t>1.2-2.2 years</w:t>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Earnouts has been classified as a Level 3 liability as its valuation requires substantial judgment and estimation of factors that are not currently readily observable in the market. If different assumptions were used for the various inputs to the valuation approach, the estimated fair value could be significantly higher or lower than the fair value determined.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left"/>
        <w:rPr>
          <w:rFonts w:ascii="Times New Roman;sans-serif" w:hAnsi="Times New Roman;sans-serif"/>
          <w:b/>
          <w:color w:val="000000"/>
          <w:sz w:val="20"/>
        </w:rPr>
      </w:pPr>
      <w:r>
        <w:rPr>
          <w:rFonts w:ascii="Times New Roman;sans-serif" w:hAnsi="Times New Roman;sans-serif"/>
          <w:b/>
          <w:color w:val="000000"/>
          <w:sz w:val="20"/>
        </w:rPr>
        <w:t xml:space="preserve">10. GEOGRAPHIC INFORMATION AND CONCENTRATIONS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headquarters and substantially all of its operations, including its long-lived assets, are located in the United States. Geographical sales information based on the location of the customer was as follows:</w:t>
      </w:r>
    </w:p>
    <w:p>
      <w:pPr>
        <w:pStyle w:val="TextBody"/>
        <w:bidi w:val="0"/>
        <w:spacing w:before="0" w:after="0"/>
        <w:jc w:val="left"/>
        <w:rPr/>
      </w:pPr>
      <w:r>
        <w:rPr/>
      </w:r>
    </w:p>
    <w:tbl>
      <w:tblPr>
        <w:tblW w:w="8211" w:type="dxa"/>
        <w:jc w:val="left"/>
        <w:tblInd w:w="0" w:type="dxa"/>
        <w:tblLayout w:type="fixed"/>
        <w:tblCellMar>
          <w:top w:w="28" w:type="dxa"/>
          <w:left w:w="28" w:type="dxa"/>
          <w:bottom w:w="28" w:type="dxa"/>
          <w:right w:w="28" w:type="dxa"/>
        </w:tblCellMar>
      </w:tblPr>
      <w:tblGrid>
        <w:gridCol w:w="625"/>
        <w:gridCol w:w="547"/>
        <w:gridCol w:w="553"/>
        <w:gridCol w:w="261"/>
        <w:gridCol w:w="895"/>
        <w:gridCol w:w="135"/>
        <w:gridCol w:w="135"/>
        <w:gridCol w:w="135"/>
        <w:gridCol w:w="135"/>
        <w:gridCol w:w="261"/>
        <w:gridCol w:w="1025"/>
        <w:gridCol w:w="135"/>
        <w:gridCol w:w="109"/>
        <w:gridCol w:w="109"/>
        <w:gridCol w:w="109"/>
        <w:gridCol w:w="241"/>
        <w:gridCol w:w="944"/>
        <w:gridCol w:w="124"/>
        <w:gridCol w:w="124"/>
        <w:gridCol w:w="124"/>
        <w:gridCol w:w="124"/>
        <w:gridCol w:w="241"/>
        <w:gridCol w:w="944"/>
        <w:gridCol w:w="176"/>
      </w:tblGrid>
      <w:tr>
        <w:trPr/>
        <w:tc>
          <w:tcPr>
            <w:tcW w:w="62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by region:</w:t>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6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84,277 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83,842 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235,933 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216,335 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68,352 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96,886 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103,305 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290,729 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284,687 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principal direct customers as of September 30, 2023 consist primarily of leading international, foreign and domestic banks and other credit card issuers primarily within the U.S., Europe, Asia, Latin America, Canada,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the Middle East. The Company periodically assesses the financial strength of these customers and establishes allowances for anticipated losses, if necessary.</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Three customers individually accounted for more than 10% of the Company’s revenue or 84.6% combined, of total revenue for the three months ended September 30, 2023. Three customers individually accounted for more than 10% of the Company’s revenue or 76.4%, combined, of total revenue for the three months ended September 30, 2022. Three customers individually accounted for more than 10% of the Company’s revenue or 79.1%, combined, of total revenue for the nine months ended September 30, 2023. Three customers individually accounted for more than 10% of the Company’s revenue or 76.8%, combined, of total revenue for the nine months ended September 30, 2022. Two customers individually accounted for more than 10% of the Company’s accounts receivable or approximately 73% and two customers individually accounted for more than 10% or approximately 63% of total accounts receivable as of September 30, 2023 and December 31, 2022, respectively.</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One individual vendor accounted for more than 10% of purchases of supplies, or approximately 15% of total purchases, for the nine months ended September 30, 2023. One individual vendor accounted for more than 10% of purchases of supplies for the nine months ended September 30, 2022.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11. INCOME TAXES</w:t>
      </w:r>
      <w:r>
        <w:rPr>
          <w:color w:val="EE2724"/>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income tax provisions of $949 and $393 for the three months ended September 30, 2023 and September 30, 2022, respectively. The Company recorded income tax provisions of $656 and $3,738 for the nine months ended September 30, 2023 and September 30, 2022.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state and local income tax returns for years prior to 2018 are no longer subject to examination by tax authorities. The Company is currently under audit by federal tax authorities for fiscal 2020. There have been no proposed adjustments at this stage of the examination. The examination is expected to be finalized in fiscal 2023. The Company does not expect any material impact to the financial statements due to settlement of this audit.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calculating the provision for income taxes on an interim basis, the Company uses an estimate of the annual effective tax rate based upon currently known facts and circumstances and applies that rate to its year-to-date earnings or losses. The Company’s effective tax rate is based on expected income and statutory tax rates and takes into consideration permanent differences between financial statement and tax return income applicable to the Company in the various jurisdictions in which the Company operates. The effect of discrete items, such as changes in estimates, changes in enacted tax laws or rates or tax status, and unusual or infrequently occurring events, is recognized in the interim period in which the discrete item occurs. The accounting estimates used to compute the provision for income taxes may change as new events occur, additional information is obtained or as the result of new judicial interpretations or regulatory or tax law changes. The Company's interim effective tax rate, inclusive of any discrete items, was 1.48% and 1.76% for the three months ended September 30, 2023 and September 30, 2022, respectively. The Company's interim effective tax rate, inclusive of any discrete items, was 0.80% and 3.30% for the nine months ended September 30, 2023 and September 30, 2022, respectively. The Company’s effective income tax rate differs from the U.S. statutory rate primarily due to the non-controlling interest adjustment as the income attributable to the non-controlling interest is pass-through income.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12. EARNINGS PER SHARE</w:t>
      </w:r>
      <w:r>
        <w:rPr>
          <w:color w:val="EE2724"/>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net income used to compute basic and diluted net earnings per share of Class A common stock for the three months ended September 30, 2023 and September 30, 2022, respectively. Shares of Class B common stock do not participate in the Company's income or loss and are, therefore, not participating securities.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tbl>
      <w:tblPr>
        <w:tblW w:w="10205" w:type="dxa"/>
        <w:jc w:val="left"/>
        <w:tblInd w:w="0" w:type="dxa"/>
        <w:tblLayout w:type="fixed"/>
        <w:tblCellMar>
          <w:top w:w="28" w:type="dxa"/>
          <w:left w:w="28" w:type="dxa"/>
          <w:bottom w:w="28" w:type="dxa"/>
          <w:right w:w="28" w:type="dxa"/>
        </w:tblCellMar>
      </w:tblPr>
      <w:tblGrid>
        <w:gridCol w:w="1562"/>
        <w:gridCol w:w="1359"/>
        <w:gridCol w:w="1253"/>
        <w:gridCol w:w="109"/>
        <w:gridCol w:w="109"/>
        <w:gridCol w:w="109"/>
        <w:gridCol w:w="254"/>
        <w:gridCol w:w="775"/>
        <w:gridCol w:w="125"/>
        <w:gridCol w:w="125"/>
        <w:gridCol w:w="125"/>
        <w:gridCol w:w="125"/>
        <w:gridCol w:w="254"/>
        <w:gridCol w:w="775"/>
        <w:gridCol w:w="125"/>
        <w:gridCol w:w="109"/>
        <w:gridCol w:w="109"/>
        <w:gridCol w:w="109"/>
        <w:gridCol w:w="236"/>
        <w:gridCol w:w="753"/>
        <w:gridCol w:w="120"/>
        <w:gridCol w:w="120"/>
        <w:gridCol w:w="120"/>
        <w:gridCol w:w="120"/>
        <w:gridCol w:w="230"/>
        <w:gridCol w:w="814"/>
        <w:gridCol w:w="181"/>
      </w:tblGrid>
      <w:tr>
        <w:trPr/>
        <w:tc>
          <w:tcPr>
            <w:tcW w:w="1562"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38,049 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21,894 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81,496 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109,459 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Less: Net income attributable to non-controlling interest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(30,574)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(19,077)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(65,653)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(93,973)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Class A Common Stockholders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15,486 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 adjustment to net income due to net effect of equity awards and exchangeable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Class A Common Stockholders after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26,548 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30,932 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used in computing net income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19,074,679 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15,433,438 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18,420,069 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15,141,169 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 net effect of dilutive equity awards and exchangeable notes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16,689,975 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4,228,622 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16,941,990 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17,673,514 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used in computing net income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35,764,654 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19,662,060 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35,362,059 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32,814,683 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income per share—basic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0.39 </w:t>
            </w:r>
          </w:p>
        </w:tc>
        <w:tc>
          <w:tcPr>
            <w:tcW w:w="125"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income per share—diluted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0.34 </w:t>
            </w:r>
          </w:p>
        </w:tc>
        <w:tc>
          <w:tcPr>
            <w:tcW w:w="1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0.18 </w:t>
            </w:r>
          </w:p>
        </w:tc>
        <w:tc>
          <w:tcPr>
            <w:tcW w:w="1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0.75 </w:t>
            </w:r>
          </w:p>
        </w:tc>
        <w:tc>
          <w:tcPr>
            <w:tcW w:w="1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0.94 </w:t>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for the three months ended September 30, 2023 was calculated by dividing net income attributable to Class A Common shareholders of $7,475 divided by 19,074,679 of weighted average Class A common shares outstanding at September 30, 2023. Diluted earnings per share for the three months ended September 30, 2023 was calculated by dividing net income adjusted for the net effect of dilutive equity awards and exchangeable notes of $12,285 divided by 35,764,654 of weighted average common shares after adjusting for the net effect of dilutive equity awards and exchangeable notes outstanding at September 30, 2023.</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for the three months ended September 30, 2022 was calculated by dividing net income attributable to Class A Common shareholders of $2,817 divided by 15,433,438 of weighted average Class A common shares outstanding at September 30, 2022. Diluted earnings per share for the three months ended September 30, 2022 was calculated by dividing net income adjusted for the net effect of dilutive equity awards of $3,550, divided by 19,662,060 of weighted average common shares after adjusting for the net effect of dilutive equity awards outstanding at September 30, 2022.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for the nine months ended September 30, 2023 was calculated by dividing net income attributable to Class A Common shareholders of $15,843 divided by 18,420,069 of weighted average Class A common shares outstanding at September 30,2023. Diluted earnings per share for the nine months ended September 30, 2023 was calculated by dividing net income adjusted for the net effect of dilutive equity awards and exchangeable notes of $26,548, divided by 35,362,059 of weighted average common shares after adjusting for the net effect of dilutive equity awards and exchangeable notes outstanding at September 30,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for the nine months ended September 30, 2022 was calculated by dividing net income attributable to Class A Common shareholders of $15,486 divided by 15,141,169 of weighted average Class A common shares outstanding at September 30, 2022. Diluted earnings per share for the nine months ended September 30, 2022 was calculated by dividing net income adjusted for the net effect of dilutive equity awards and exchangeable notes of $30,932, divided by 32,814,683 of weighted average common shares after adjusting for the net effect of dilutive equity awards and exchangeable notes outstanding at September 30, 2022.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that could potentially be dilutive are excluded from the computation of diluted earnings per share when the exercise price exceeds the average closing price of the Company’s common stock during the period, because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inclusion would result in an antidilutive effect on per share amounts. The Company applied the if-converted method for the Exchangeable Notes to calculate diluted earnings per share in accordance with ASU 2020-06.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amounts were not included in the calculation of net earnings per diluted share because their effects were anti-dilutive:</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820"/>
        <w:gridCol w:w="642"/>
        <w:gridCol w:w="646"/>
        <w:gridCol w:w="109"/>
        <w:gridCol w:w="109"/>
        <w:gridCol w:w="109"/>
        <w:gridCol w:w="791"/>
        <w:gridCol w:w="323"/>
        <w:gridCol w:w="253"/>
        <w:gridCol w:w="253"/>
        <w:gridCol w:w="253"/>
        <w:gridCol w:w="253"/>
        <w:gridCol w:w="786"/>
        <w:gridCol w:w="324"/>
        <w:gridCol w:w="269"/>
        <w:gridCol w:w="109"/>
        <w:gridCol w:w="109"/>
        <w:gridCol w:w="109"/>
        <w:gridCol w:w="791"/>
        <w:gridCol w:w="315"/>
        <w:gridCol w:w="245"/>
        <w:gridCol w:w="245"/>
        <w:gridCol w:w="245"/>
        <w:gridCol w:w="245"/>
        <w:gridCol w:w="786"/>
        <w:gridCol w:w="317"/>
        <w:gridCol w:w="261"/>
        <w:gridCol w:w="109"/>
        <w:gridCol w:w="109"/>
        <w:gridCol w:w="109"/>
        <w:gridCol w:w="161"/>
      </w:tblGrid>
      <w:tr>
        <w:trPr/>
        <w:tc>
          <w:tcPr>
            <w:tcW w:w="8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5"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0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Potentially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0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22,415,400 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22,415,400 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22,415,400 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22,415,400 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0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59,958,422 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60,986,800 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59,958,422 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60,986,800 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0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Exchangeable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12,999.978 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0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consideration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0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174,091 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3,753,590 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2,654,012 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3,453,590 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13. COMMITMENTS AND CONTINGENCIES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Operating Leases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commitments under all non-cancelable operating leases are as follows:</w:t>
      </w:r>
    </w:p>
    <w:tbl>
      <w:tblPr>
        <w:tblW w:w="6066" w:type="dxa"/>
        <w:jc w:val="left"/>
        <w:tblInd w:w="0" w:type="dxa"/>
        <w:tblLayout w:type="fixed"/>
        <w:tblCellMar>
          <w:top w:w="28" w:type="dxa"/>
          <w:left w:w="28" w:type="dxa"/>
          <w:bottom w:w="28" w:type="dxa"/>
          <w:right w:w="28" w:type="dxa"/>
        </w:tblCellMar>
      </w:tblPr>
      <w:tblGrid>
        <w:gridCol w:w="1841"/>
        <w:gridCol w:w="1618"/>
        <w:gridCol w:w="1626"/>
        <w:gridCol w:w="211"/>
        <w:gridCol w:w="616"/>
        <w:gridCol w:w="154"/>
      </w:tblGrid>
      <w:tr>
        <w:trPr/>
        <w:tc>
          <w:tcPr>
            <w:tcW w:w="1841"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2023 (excluding the nine months ended September 30, 2023)</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Later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1"/>
        <w:ind w:left="0" w:right="0" w:firstLine="2"/>
        <w:jc w:val="both"/>
        <w:rPr>
          <w:rFonts w:ascii="Times New Roman;sans-serif" w:hAnsi="Times New Roman;sans-serif"/>
          <w:b/>
          <w:color w:val="000000"/>
          <w:sz w:val="20"/>
        </w:rPr>
      </w:pPr>
      <w:r>
        <w:rPr>
          <w:rFonts w:ascii="Times New Roman;sans-serif" w:hAnsi="Times New Roman;sans-serif"/>
          <w:b/>
          <w:color w:val="000000"/>
          <w:sz w:val="20"/>
        </w:rPr>
        <w:t>Tax Receivable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obligated to make certain payments under the tax receivable agreement to certain historical holders of units in Holdings. Although the actual timing and amount of any payments that may be made under the agreement will vary, the Company expects the cash obligation required will be significant. Any payments made under the tax receivable agreement will generally reduce the amount of overall cash flows that might have otherwise been available to the Company. To the extent that the Company is unable to make payments under the tax receivable agreement for any reason, the unpaid amounts generally will be deferred and will accrue interest until paid by the Company. The tax receivable agreement liability includes amounts to be paid assuming the Company will have sufficient taxable income over the term of the tax receivable agreement to utilize the related tax benefits. In determining the estimated timing of payments, the current year’s taxable income was used to extrapolate an estimate of future taxable income.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As of September 30, 2023, the Company had the following obligations expected to be paid pursuant to the tax receivable agreement</w:t>
      </w:r>
      <w:r>
        <w:rPr>
          <w:rFonts w:ascii="Times New Roman;sans-serif" w:hAnsi="Times New Roman;sans-serif"/>
          <w:b w:val="false"/>
          <w:color w:val="CC0099"/>
          <w:sz w:val="20"/>
        </w:rPr>
        <w: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COMPOSECURE,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Notes to Consolidated Financial Statements - Unaudited</w:t>
      </w:r>
    </w:p>
    <w:tbl>
      <w:tblPr>
        <w:tblW w:w="3315" w:type="dxa"/>
        <w:jc w:val="left"/>
        <w:tblInd w:w="0" w:type="dxa"/>
        <w:tblLayout w:type="fixed"/>
        <w:tblCellMar>
          <w:top w:w="28" w:type="dxa"/>
          <w:left w:w="28" w:type="dxa"/>
          <w:bottom w:w="28" w:type="dxa"/>
          <w:right w:w="28" w:type="dxa"/>
        </w:tblCellMar>
      </w:tblPr>
      <w:tblGrid>
        <w:gridCol w:w="1059"/>
        <w:gridCol w:w="931"/>
        <w:gridCol w:w="1325"/>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 except share data)</w:t>
            </w:r>
          </w:p>
        </w:tc>
      </w:tr>
    </w:tbl>
    <w:tbl>
      <w:tblPr>
        <w:tblW w:w="6171" w:type="dxa"/>
        <w:jc w:val="left"/>
        <w:tblInd w:w="0" w:type="dxa"/>
        <w:tblLayout w:type="fixed"/>
        <w:tblCellMar>
          <w:top w:w="28" w:type="dxa"/>
          <w:left w:w="28" w:type="dxa"/>
          <w:bottom w:w="28" w:type="dxa"/>
          <w:right w:w="28" w:type="dxa"/>
        </w:tblCellMar>
      </w:tblPr>
      <w:tblGrid>
        <w:gridCol w:w="1841"/>
        <w:gridCol w:w="1618"/>
        <w:gridCol w:w="1626"/>
        <w:gridCol w:w="211"/>
        <w:gridCol w:w="721"/>
        <w:gridCol w:w="154"/>
      </w:tblGrid>
      <w:tr>
        <w:trPr/>
        <w:tc>
          <w:tcPr>
            <w:tcW w:w="1841"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(excluding the nine months ended September 30, 2023)</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Later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payments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the Company's tax receivable agreement liability and future payments thereunder are expected to increase as we realize (or are deemed to realize) an increase in tax basis of Holdings’ assets resulting from any future purchases, redemptions or exchanges of Holdings' interests by holders. The Company currently expect to fund these future tax receivable agreement liability payments from some of the realized cash tax savings as a result of this increase in tax basis.</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Litigation</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be, from time to time, party to various disputes and claims arising from normal business activities. The Company accrues for amounts related to legal matters if it is probable that a liability has been incurred and the amount is reasonably estimable. Litigation costs are expensed as incurred.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
        <w:ind w:left="0" w:right="0" w:hanging="4"/>
        <w:jc w:val="left"/>
        <w:rPr>
          <w:rFonts w:ascii="Times New Roman;sans-serif" w:hAnsi="Times New Roman;sans-serif"/>
          <w:b/>
          <w:color w:val="000000"/>
          <w:sz w:val="20"/>
        </w:rPr>
      </w:pPr>
      <w:r>
        <w:rPr>
          <w:rFonts w:ascii="Times New Roman;sans-serif" w:hAnsi="Times New Roman;sans-serif"/>
          <w:b/>
          <w:color w:val="000000"/>
          <w:sz w:val="20"/>
        </w:rPr>
        <w:t>14. RELATED PARTY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2015, the Company entered into a sales representation agreement with a third party, partially owned by an individual who was then a member of Holdings' Board of Managers. The individual was a Class B stockholder of the Company at December 31, 2022 and during the nine month period ended September 30, 2023, however, was no longer a stockholder at September 30, 2023. Expenses relating to this sales representation agreement for the three months ended September 30, 2023 and 2022 amounted to $2,414 and $13,356, respectively, and amounted to $9,876 and $19,435, for the nine months ended September 30, 2023 and 2022, respectively. The expenses are recorded as a component of selling, general and administrative expenses. In October 2019, Holdings terminated the sales representation agreement. Customers in place prior to the termination of the agreement are subject to the arrangement and are eligible for future commissions, which are payable and are being accrued and paid in accordance with the terms of the sales representation agreement. Amounts accrued as a component of accrued expenses as of September 30, 2023 and December 31, 2022 related to this agreement were $3,847 and $3,317.</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Business Combination, the Company entered into a tax receivable agreement with Holdings and holders of interests in Holdings. See Note 13. The Company is obligated to make certain payments under the tax receivable agreement to certain historical holders of units in Holdings. The Company made a total payment of $2,193 related to the tax receivable agreement liability in the quarter ended September 30,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Holdings LLC agreement, the Company makes pro rata tax distributions to the holders of Holdings' units (i.e., non-controlling interest) in an amount sufficient to fund all or part of their tax obligations with respect to the taxable income of Holdings that is allocated to them. For the quarter ended September 30, 2023, Holdings distributed a total of $12,355 of tax distributions to its members, of which $3,001 was paid to CompoSecure, Inc. (the parent company), resulting in a net tax distribution to all other members of $9,354. For the nine month ended September 30, 2023, Holdings distributed a total of $49,955 of tax distributions to its members, of which $11,593 was paid to CompoSecure, Inc. (the parent company), resulting in a net tax distribution to all other members of $38,362.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of our consolidated financial condition and results of operations should be read in conjunction with the Company's audited consolidated financial statements and related notes thereto included in the annual report on Form 10-K for the year ended December 31, 2022 filed with the SEC. The following discussion contains forward-looking statements that reflect the Company’s plans, estimates and beliefs. The Company’s actual results could differ materially from those discussed in the forward-looking statements. Factors that could cause or contribute to these differences include those discussed below and elsewhere particularly in the sections titled “Risk Factors” and “Cautionary Note Regarding Forward-Looking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creates innovative, highly differentiated and customized financial payment card products for banks and other payment card issuers to support and increase their customer acquisition, customer retention and organic customer spend. The Company’s customers consist primarily of leading international and domestic banks and other payment card issuers primarily within the United States (“U.S.”), Europe, Asia, Latin America, Canada, and the Middle East. The Company is a platform for next generation payment technology, security, and authentication solutions. The Company maintains trusted, highly-embedded and long-term customer relationships with an expanding set of global issuers. The Company has established a niche position in the financial payment card market through over 20 years of innovation and experience and is focused primarily on this attractive subsector of the financial technology market. The Company serves a diverse set of direct customers and indirect customers, including some of the largest issuers of credit cards in the U.S.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Economic Conditions - Globally and in the Digital Asset Marketplace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U.S. and international markets and, in particular, the rapidly evolving digital assets industry, are experiencing uncertain and volatile economic conditions, including from the impacts of the COVID-19 pandemic, Russian aggression in Ukraine, the evolving conflict in Israel, Gaza and the surrounding areas, sustained inflation, threats or concerns of recession, and supply chain disruptions. These conditions make it extremely difficult for us and our suppliers to accurately forecast and plan future business activities. Additionally, a significant downturn in the domestic or global economy may cause our existing customers to pause or delay orders and prospective customers to defer new projects. Together, these circumstances create an environment in which it is challenging for us to predict future operating results. If these uncertain business, macroeconomic or political conditions continue or further decline, our business, financial condition and results of operations could be materially adversely affected.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Arculus platform offers a broad range of secure authentication and digital asset storage solutions and enables our consumer Arculus Cold Storage Wallet for digital assets. Recently, some digital asset exchanges have been freezing or limiting consumer withdrawals and some have filed for bankruptcy protection, driving consumer need for enhanced protection of their digital assets. We believe consumers can achieve enhanced protection by controlling their private keys with a cold storage wallet, such as the Arculus Cold Storage Wallet. At the same time, this market cycle has created uncertainty in timing for our anticipated Arculus ramp up, as some of our partners and targets have been impacted. Therefore, we are taking a measured approach to better target the timing of our investments to support near-term and long-term opportunities.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Key Components of Results of Operations</w:t>
      </w:r>
      <w:r>
        <w:rPr>
          <w:color w:val="000000"/>
        </w:rPr>
        <w:t xml:space="preserve"> </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Net Sales</w:t>
      </w:r>
      <w:r>
        <w:rPr>
          <w:color w:val="000000"/>
        </w:rPr>
        <w:t xml:space="preserv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sales reflect the Company’s revenue generated primarily from the sale of its products. Product sales primarily include the design and manufacturing of metal cards, including contact and dual interface cards. The Company also generates revenue from the sale of Prelams (which refers to pre-laminated, sub-assemblies consisting of a composite of material layers which are partially laminated to be used as a component in the multiple layers of a final payment card or other card construction). Net sales include the effect of discounts and allowances which consist primarily of volume-based rebates.</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Cost of Sales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The Company’s cost of sales includes the direct and indirect costs related to manufacturing products and providing related services. Product costs include the cost of raw materials and supplies, including various metals, EMV</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chips, holograms, adhesives, magnetic stripes, and NFC assemblies; the cost of labor; equipment and facilities; operational overhead; depreciation and amortization; leases and rental charges; shipping and handling; and freight and insurance costs. Cost of sales can be impacted by many factors, including volume, operational efficiencies, procurement costs, and promotional activity. </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Gross Profit and Gross Margin</w:t>
      </w:r>
      <w:r>
        <w:rPr>
          <w:color w:val="000000"/>
        </w:rPr>
        <w:t xml:space="preserv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gross profit represents its net sales less cost of sales, and its gross margin represents gross profit as a percentage of its net sales. </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Operating Expenses</w:t>
      </w:r>
      <w:r>
        <w:rPr>
          <w:color w:val="000000"/>
        </w:rPr>
        <w:t xml:space="preserv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operating expenses primarily comprised selling, general, and administrative expenses, which generally consist of personnel-related expenses for its corporate, executive, finance, information technology, and other administrative functions, and expenses for outside professional services, including legal, audit and accounting services, as well as expenses for facilities, depreciation, amortization, travel, sales and marketing.</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Income from Operations and Operating Margin</w:t>
      </w:r>
      <w:r>
        <w:rPr>
          <w:color w:val="000000"/>
        </w:rPr>
        <w:t xml:space="preserv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operations consists of the Company’s gross profit less its operating expenses. Operating margin is income from the Company’s operations as a percentage of its net sales. </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Other Expense, net</w:t>
      </w:r>
      <w:r>
        <w:rPr>
          <w:color w:val="000000"/>
        </w:rPr>
        <w:t xml:space="preserv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primarily consists of changes in fair value of warrant liability, earnout consideration liability and interest expense net of any interest income.</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Net Income</w:t>
      </w:r>
      <w:r>
        <w:rPr>
          <w:color w:val="000000"/>
        </w:rPr>
        <w:t xml:space="preserv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consists of the Company’s income from operations, less other expenses and income tax provision or benefit.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Factors Affecting the Company’s Operating Results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performance and future success depend on a number of factors that present significant opportunities for us but also pose risks and challenges. Please see the factors discussed in this Quarterly Report on Form 10-Q, including those discussed in the sections entitled “Risk Factors” and “Cautionary Note Regarding Forward-Looking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jc w:val="left"/>
        <w:rPr/>
      </w:pPr>
      <w:r>
        <w:rPr>
          <w:rFonts w:ascii="Times New Roman;sans-serif" w:hAnsi="Times New Roman;sans-serif"/>
          <w:b/>
          <w:color w:val="000000"/>
          <w:sz w:val="20"/>
        </w:rPr>
        <w:t>Results of Operations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September 30, 2023 vs three months ended September 30, 2022</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results of operations for the periods indicated:</w:t>
      </w:r>
    </w:p>
    <w:tbl>
      <w:tblPr>
        <w:tblW w:w="10205" w:type="dxa"/>
        <w:jc w:val="left"/>
        <w:tblInd w:w="0" w:type="dxa"/>
        <w:tblLayout w:type="fixed"/>
        <w:tblCellMar>
          <w:top w:w="28" w:type="dxa"/>
          <w:left w:w="28" w:type="dxa"/>
          <w:bottom w:w="28" w:type="dxa"/>
          <w:right w:w="28" w:type="dxa"/>
        </w:tblCellMar>
      </w:tblPr>
      <w:tblGrid>
        <w:gridCol w:w="1827"/>
        <w:gridCol w:w="1587"/>
        <w:gridCol w:w="1579"/>
        <w:gridCol w:w="211"/>
        <w:gridCol w:w="721"/>
        <w:gridCol w:w="109"/>
        <w:gridCol w:w="109"/>
        <w:gridCol w:w="109"/>
        <w:gridCol w:w="109"/>
        <w:gridCol w:w="211"/>
        <w:gridCol w:w="826"/>
        <w:gridCol w:w="109"/>
        <w:gridCol w:w="109"/>
        <w:gridCol w:w="109"/>
        <w:gridCol w:w="109"/>
        <w:gridCol w:w="211"/>
        <w:gridCol w:w="686"/>
        <w:gridCol w:w="109"/>
        <w:gridCol w:w="109"/>
        <w:gridCol w:w="109"/>
        <w:gridCol w:w="109"/>
        <w:gridCol w:w="303"/>
        <w:gridCol w:w="303"/>
        <w:gridCol w:w="432"/>
      </w:tblGrid>
      <w:tr>
        <w:trPr/>
        <w:tc>
          <w:tcPr>
            <w:tcW w:w="1827"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4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2"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r>
      <w:tr>
        <w:trPr/>
        <w:tc>
          <w:tcPr>
            <w:tcW w:w="4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9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49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49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49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r>
              <w:rPr>
                <w:rFonts w:ascii="Times New Roman;sans-serif" w:hAnsi="Times New Roman;sans-serif"/>
                <w:b w:val="false"/>
                <w:color w:val="000000"/>
                <w:sz w:val="20"/>
              </w:rPr>
              <w:t xml:space="preserve">Selling, general and administrative expenses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r>
      <w:tr>
        <w:trPr/>
        <w:tc>
          <w:tcPr>
            <w:tcW w:w="49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499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ans-serif" w:hAnsi="Times New Roman;sans-serif"/>
                <w:b w:val="false"/>
                <w:color w:val="000000"/>
                <w:sz w:val="20"/>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(404)%</w:t>
            </w:r>
          </w:p>
        </w:tc>
      </w:tr>
      <w:tr>
        <w:trPr/>
        <w:tc>
          <w:tcPr>
            <w:tcW w:w="49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r>
              <w:rPr>
                <w:rFonts w:ascii="Times New Roman;sans-serif" w:hAnsi="Times New Roman;sans-serif"/>
                <w:b w:val="false"/>
                <w:color w:val="000000"/>
                <w:sz w:val="20"/>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49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r>
              <w:rPr>
                <w:rFonts w:ascii="Times New Roman;sans-serif" w:hAnsi="Times New Roman;sans-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c>
      </w:tr>
      <w:tr>
        <w:trPr/>
        <w:tc>
          <w:tcPr>
            <w:tcW w:w="49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c>
      </w:tr>
      <w:tr>
        <w:trPr/>
        <w:tc>
          <w:tcPr>
            <w:tcW w:w="49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redeemable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49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CompoSecure,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165%</w:t>
            </w:r>
          </w:p>
        </w:tc>
      </w:tr>
    </w:tbl>
    <w:p>
      <w:pPr>
        <w:pStyle w:val="TextBody"/>
        <w:bidi w:val="0"/>
        <w:spacing w:before="120" w:after="240"/>
        <w:jc w:val="left"/>
        <w:rPr/>
      </w:pPr>
      <w:r>
        <w:rPr/>
      </w:r>
    </w:p>
    <w:tbl>
      <w:tblPr>
        <w:tblW w:w="4779" w:type="dxa"/>
        <w:jc w:val="left"/>
        <w:tblInd w:w="0" w:type="dxa"/>
        <w:tblLayout w:type="fixed"/>
        <w:tblCellMar>
          <w:top w:w="28" w:type="dxa"/>
          <w:left w:w="28" w:type="dxa"/>
          <w:bottom w:w="28" w:type="dxa"/>
          <w:right w:w="28" w:type="dxa"/>
        </w:tblCellMar>
      </w:tblPr>
      <w:tblGrid>
        <w:gridCol w:w="559"/>
        <w:gridCol w:w="491"/>
        <w:gridCol w:w="494"/>
        <w:gridCol w:w="292"/>
        <w:gridCol w:w="255"/>
        <w:gridCol w:w="635"/>
        <w:gridCol w:w="255"/>
        <w:gridCol w:w="255"/>
        <w:gridCol w:w="255"/>
        <w:gridCol w:w="292"/>
        <w:gridCol w:w="255"/>
        <w:gridCol w:w="741"/>
      </w:tblGrid>
      <w:tr>
        <w:trPr/>
        <w:tc>
          <w:tcPr>
            <w:tcW w:w="5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margin</w:t>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63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74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pPr>
      <w:r>
        <w:rPr>
          <w:rFonts w:ascii="Times New Roman;sans-serif" w:hAnsi="Times New Roman;sans-serif"/>
          <w:b/>
          <w:i/>
          <w:color w:val="000000"/>
          <w:sz w:val="20"/>
        </w:rPr>
        <w:t>Net Sales</w:t>
      </w:r>
      <w:r>
        <w:rPr>
          <w:color w:val="000000"/>
        </w:rPr>
        <w:t xml:space="preserve"> </w:t>
      </w:r>
    </w:p>
    <w:tbl>
      <w:tblPr>
        <w:tblW w:w="6893" w:type="dxa"/>
        <w:jc w:val="left"/>
        <w:tblInd w:w="0" w:type="dxa"/>
        <w:tblLayout w:type="fixed"/>
        <w:tblCellMar>
          <w:top w:w="28" w:type="dxa"/>
          <w:left w:w="28" w:type="dxa"/>
          <w:bottom w:w="28" w:type="dxa"/>
          <w:right w:w="28" w:type="dxa"/>
        </w:tblCellMar>
      </w:tblPr>
      <w:tblGrid>
        <w:gridCol w:w="603"/>
        <w:gridCol w:w="528"/>
        <w:gridCol w:w="533"/>
        <w:gridCol w:w="211"/>
        <w:gridCol w:w="721"/>
        <w:gridCol w:w="109"/>
        <w:gridCol w:w="109"/>
        <w:gridCol w:w="109"/>
        <w:gridCol w:w="109"/>
        <w:gridCol w:w="211"/>
        <w:gridCol w:w="826"/>
        <w:gridCol w:w="109"/>
        <w:gridCol w:w="109"/>
        <w:gridCol w:w="109"/>
        <w:gridCol w:w="109"/>
        <w:gridCol w:w="211"/>
        <w:gridCol w:w="691"/>
        <w:gridCol w:w="109"/>
        <w:gridCol w:w="109"/>
        <w:gridCol w:w="109"/>
        <w:gridCol w:w="109"/>
        <w:gridCol w:w="218"/>
        <w:gridCol w:w="218"/>
        <w:gridCol w:w="614"/>
      </w:tblGrid>
      <w:tr>
        <w:trPr/>
        <w:tc>
          <w:tcPr>
            <w:tcW w:w="60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by region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1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61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net sales for the quarter ended September 30, 2023 decreased $6.4 million, or 6%, to $96.9 million compared to $103.3 million for the quarter ended September 30, 2022. The decrease was primarily due to lower international sales, which is a more variable market due to current global economic uncertainty, customer mix and a smaller sales base. Domestic sales remained strong and were up 1%.</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Domestic</w:t>
      </w:r>
      <w:r>
        <w:rPr>
          <w:rFonts w:ascii="Times New Roman;sans-serif" w:hAnsi="Times New Roman;sans-serif"/>
          <w:b w:val="false"/>
          <w:color w:val="000000"/>
          <w:sz w:val="20"/>
        </w:rPr>
        <w:t>: The Company’s domestic net sales for the quarter ended September 30, 2023 increased $0.4 million, or 1%, to $84.3 million compared to $83.8 million for the quarter ended September 30, 2022</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International</w:t>
      </w:r>
      <w:r>
        <w:rPr>
          <w:rFonts w:ascii="Times New Roman;sans-serif" w:hAnsi="Times New Roman;sans-serif"/>
          <w:b w:val="false"/>
          <w:color w:val="000000"/>
          <w:sz w:val="20"/>
        </w:rPr>
        <w:t>: The Company’s international net sales for the quarter ended September 30, 2023 decreased $6.9 million, or 35%, to $12.6 million compared to $19.5 million for the quarter ended September 30, 2022. International sales decreased primarily due to current global economic uncertainty and international markets being a more variable market due to customer mix and a smaller sales base. International net sales were approximately 13% and 19% of the Company's total net sales for the quarter ended September 30,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ind w:left="0" w:right="0" w:firstLine="720"/>
        <w:jc w:val="left"/>
        <w:rPr/>
      </w:pPr>
      <w:r>
        <w:rPr>
          <w:rFonts w:ascii="Times New Roman;sans-serif" w:hAnsi="Times New Roman;sans-serif"/>
          <w:b/>
          <w:i/>
          <w:color w:val="000000"/>
          <w:sz w:val="20"/>
        </w:rPr>
        <w:t>Gross Profit and Gross Margin</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gross profit for the quarter ended September 30, 2023 decreased $12.9 million, or 21%, to $48.9 million compared to $61.8 million for the quarter ended September 30, 2022. The gross profit margin percentage decreased from 59.8% to 50.5%. The decrease was primarily due to lower production efficiencies from new and innovative card constructions, as well as an impact from inflationary pressure on wages and materials in the quarter ended September 30, 2023.</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Operating Expenses</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prudent control on operating expenses led to a $16.0 million or 44% expense decrease in the quarter ended September 30, 2023. Total operating expenses for the quarter ended September 30, 2023 were $20.1 million compared to $36.1 million for the quarter ended September 30, 2022. The decrease was driven primarily by a decrease in bonus of $3.3 and commission of $10.9 million, reductions in marketing expenses of $1.8 million and insurance expenses of $1.0 million as well as an overall decrease in various other costs of $0.6 million. This was partially offset by increases in stock based compensation of $0.9 million and salaries and employee benefits of $0.7 million.</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Income from Operations and Operating Margin</w:t>
      </w:r>
      <w:r>
        <w:rPr>
          <w:color w:val="000000"/>
        </w:rPr>
        <w:t xml:space="preserv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quarter ended September 30, 2023, the Company had income from operations of $28.8 million compared to income from operations of $25.6 million for the quarter ended September 30, 2022, primarily driven by reduction in operating expenses. </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Other Income (Expenses) (net)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quarter ended September 30, 2023 increased $0.1 million, or 2.7%, to $6.0 million compared to $5.9 million for the quarter ended September 30, 2022. The Company benefited from an interest rate swap that it entered into January 2022 by $1.3 million for the quarter ended September 30, 2023. There was an overall decrease in other expenses primarily due to the favorable changes in the fair value of warrant liability and earnout consideration liability in the quarter ended September 30, 2023. The increase in favorable changes to the fair value of financial instruments was due to reduction in liabilities for the financial instruments, primarily due to the lesser maturity remaining on these financial instruments compared to September 30, 2022 partially offset by the increase in the price of the Company's Class A common stock compared to September 30, 2022.</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Net Income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for the quarter ended September 30, 2023 was $38.0 million compared to net income of $21.9 million for the quarter ended September 30, 2022. The increase was driven by the favorable operating expenses, changes to the fair value of warrant liabilities, earnout consideration liability and derivative liability, offset by the gross profit decrease.</w:t>
      </w:r>
    </w:p>
    <w:p>
      <w:pPr>
        <w:pStyle w:val="TextBody"/>
        <w:bidi w:val="0"/>
        <w:spacing w:before="0" w:after="0"/>
        <w:jc w:val="left"/>
        <w:rPr/>
      </w:pPr>
      <w:r>
        <w:rPr/>
      </w:r>
    </w:p>
    <w:p>
      <w:pPr>
        <w:pStyle w:val="TextBody"/>
        <w:bidi w:val="0"/>
        <w:spacing w:before="24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Nine months ended September 30, 2023 vs nine months ended September 30, 2022</w:t>
      </w:r>
    </w:p>
    <w:p>
      <w:pPr>
        <w:pStyle w:val="TextBody"/>
        <w:bidi w:val="0"/>
        <w:spacing w:before="120" w:after="283"/>
        <w:ind w:left="0" w:right="0" w:firstLine="45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results of operations for the periods indicated:</w:t>
      </w:r>
    </w:p>
    <w:tbl>
      <w:tblPr>
        <w:tblW w:w="9984" w:type="dxa"/>
        <w:jc w:val="left"/>
        <w:tblInd w:w="0" w:type="dxa"/>
        <w:tblLayout w:type="fixed"/>
        <w:tblCellMar>
          <w:top w:w="28" w:type="dxa"/>
          <w:left w:w="28" w:type="dxa"/>
          <w:bottom w:w="28" w:type="dxa"/>
          <w:right w:w="28" w:type="dxa"/>
        </w:tblCellMar>
      </w:tblPr>
      <w:tblGrid>
        <w:gridCol w:w="1653"/>
        <w:gridCol w:w="1445"/>
        <w:gridCol w:w="1461"/>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303"/>
        <w:gridCol w:w="303"/>
        <w:gridCol w:w="430"/>
      </w:tblGrid>
      <w:tr>
        <w:trPr/>
        <w:tc>
          <w:tcPr>
            <w:tcW w:w="1653"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5"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r>
              <w:rPr>
                <w:rFonts w:ascii="Times New Roman;sans-serif" w:hAnsi="Times New Roman;sans-serif"/>
                <w:b w:val="false"/>
                <w:color w:val="000000"/>
                <w:sz w:val="20"/>
              </w:rPr>
              <w:t xml:space="preserve">Selling, general and administrative expenses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r>
              <w:rPr>
                <w:rFonts w:ascii="Times New Roman;sans-serif" w:hAnsi="Times New Roman;sans-serif"/>
                <w:b w:val="false"/>
                <w:color w:val="000000"/>
                <w:sz w:val="20"/>
              </w:rPr>
              <w:t>Other (expense)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ans-serif" w:hAnsi="Times New Roman;sans-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redeemable non-controlling</w:t>
              <w:br/>
              <w:t>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CompoSecure,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4676" w:type="dxa"/>
        <w:jc w:val="left"/>
        <w:tblInd w:w="0" w:type="dxa"/>
        <w:tblLayout w:type="fixed"/>
        <w:tblCellMar>
          <w:top w:w="28" w:type="dxa"/>
          <w:left w:w="28" w:type="dxa"/>
          <w:bottom w:w="28" w:type="dxa"/>
          <w:right w:w="28" w:type="dxa"/>
        </w:tblCellMar>
      </w:tblPr>
      <w:tblGrid>
        <w:gridCol w:w="559"/>
        <w:gridCol w:w="491"/>
        <w:gridCol w:w="494"/>
        <w:gridCol w:w="292"/>
        <w:gridCol w:w="245"/>
        <w:gridCol w:w="611"/>
        <w:gridCol w:w="245"/>
        <w:gridCol w:w="245"/>
        <w:gridCol w:w="245"/>
        <w:gridCol w:w="292"/>
        <w:gridCol w:w="245"/>
        <w:gridCol w:w="712"/>
      </w:tblGrid>
      <w:tr>
        <w:trPr/>
        <w:tc>
          <w:tcPr>
            <w:tcW w:w="5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5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margin</w:t>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61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71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pPr>
      <w:r>
        <w:rPr>
          <w:rFonts w:ascii="Times New Roman;sans-serif" w:hAnsi="Times New Roman;sans-serif"/>
          <w:b/>
          <w:i/>
          <w:color w:val="000000"/>
          <w:sz w:val="20"/>
        </w:rPr>
        <w:t>Net Sales</w:t>
      </w:r>
      <w:r>
        <w:rPr>
          <w:color w:val="000000"/>
        </w:rPr>
        <w:t xml:space="preserve"> </w:t>
      </w:r>
    </w:p>
    <w:tbl>
      <w:tblPr>
        <w:tblW w:w="7028" w:type="dxa"/>
        <w:jc w:val="left"/>
        <w:tblInd w:w="0" w:type="dxa"/>
        <w:tblLayout w:type="fixed"/>
        <w:tblCellMar>
          <w:top w:w="28" w:type="dxa"/>
          <w:left w:w="28" w:type="dxa"/>
          <w:bottom w:w="28" w:type="dxa"/>
          <w:right w:w="28" w:type="dxa"/>
        </w:tblCellMar>
      </w:tblPr>
      <w:tblGrid>
        <w:gridCol w:w="603"/>
        <w:gridCol w:w="528"/>
        <w:gridCol w:w="533"/>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8"/>
        <w:gridCol w:w="218"/>
        <w:gridCol w:w="614"/>
      </w:tblGrid>
      <w:tr>
        <w:trPr/>
        <w:tc>
          <w:tcPr>
            <w:tcW w:w="60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4"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by region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61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61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net sales for the nine months ended September 30, 2023 increased $6.0 million, or 2%, to $290.7 million compared to $284.7 million for the nine months ended September 30, 2022. The increase was primarily driven by continued domestic growth in the Company’s premium payment card business, which was up 9%. This was offset by lower international sales, which is a more variable market due to current global economic uncertainty, customer mix and a smaller sales base. </w:t>
      </w:r>
    </w:p>
    <w:p>
      <w:pPr>
        <w:pStyle w:val="TextBody"/>
        <w:bidi w:val="0"/>
        <w:spacing w:lineRule="auto" w:line="288" w:before="120" w:after="283"/>
        <w:ind w:left="0" w:right="0" w:firstLine="720"/>
        <w:jc w:val="left"/>
        <w:rPr/>
      </w:pPr>
      <w:r>
        <w:rPr>
          <w:rFonts w:ascii="Times New Roman;sans-serif" w:hAnsi="Times New Roman;sans-serif"/>
          <w:b w:val="false"/>
          <w:i/>
          <w:color w:val="000000"/>
          <w:sz w:val="20"/>
        </w:rPr>
        <w:t>Domestic</w:t>
      </w:r>
      <w:r>
        <w:rPr>
          <w:rFonts w:ascii="Times New Roman;sans-serif" w:hAnsi="Times New Roman;sans-serif"/>
          <w:b w:val="false"/>
          <w:color w:val="000000"/>
          <w:sz w:val="20"/>
        </w:rPr>
        <w:t>: The Company’s domestic net sales for the nine months ended September 30, 2023 increased $19.6 million, or 9%, to $235.9 million compared to $216.3 million for the nine months ended September 30, 2022. The increase was primarily due to higher customer acquisition by the Company’s clients as they continued to experience higher demand for their products.</w:t>
      </w:r>
    </w:p>
    <w:p>
      <w:pPr>
        <w:pStyle w:val="TextBody"/>
        <w:bidi w:val="0"/>
        <w:spacing w:lineRule="auto" w:line="288" w:before="120" w:after="283"/>
        <w:ind w:left="0" w:right="0" w:firstLine="720"/>
        <w:jc w:val="left"/>
        <w:rPr/>
      </w:pPr>
      <w:r>
        <w:rPr>
          <w:rFonts w:ascii="Times New Roman;sans-serif" w:hAnsi="Times New Roman;sans-serif"/>
          <w:b w:val="false"/>
          <w:i/>
          <w:color w:val="000000"/>
          <w:sz w:val="20"/>
        </w:rPr>
        <w:t>International</w:t>
      </w:r>
      <w:r>
        <w:rPr>
          <w:rFonts w:ascii="Times New Roman;sans-serif" w:hAnsi="Times New Roman;sans-serif"/>
          <w:b w:val="false"/>
          <w:color w:val="000000"/>
          <w:sz w:val="20"/>
        </w:rPr>
        <w:t xml:space="preserve">: The Company’s international net sales for the nine months ended September 30, 2023 decreased $13.6 million, or 20%, to $54.8 million compared to $68.4 million for the nine months ended September 30, 2022. This decrease was primarily due to current global economic uncertainty and international markets being a more variable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customer mix and a smaller sales base. International net sales were approximately 19% and 24% of the Company's total net sales for the nine months ended September 30, 2023 and 2022, respectively.</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Gross Profit and Gross Margin</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gross profit for the nine months ended September 30, 2023 decreased $13.2 million to $156.2 million compared to $169.4 million for the nine months ended September 30, 2022. The gross profit margin percentage decreased from 59.5% to 53.7%. The decrease in gross margin percentage was due to lower production efficiencies from new and innovative card constructions, as well as an impact from inflationary pressure on wages and materials in the nine months ended September 30, 2023.</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Operating Expenses</w:t>
      </w:r>
      <w:r>
        <w:rPr>
          <w:color w:val="000000"/>
        </w:rPr>
        <w:t xml:space="preserv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prudent control on operating expenses led to an $11.7 million or 15% expense decrease for the nine months ended September 30, 2023. Total operating expenses for the nine months ended September 30, 2023 were $67.6 million compared to $79.3 million for the nine months ended September 30, 2022. The decrease was driven primarily by a decrease in bonus of $1.5 million, commission of $9.6 million, reductions in marketing expenses of $4.5 million and insurance expenses of $2.9 million, as well as an overall decrease in various other costs of $1.3 million. This was partially offset by increases in stock based compensation of $5.3 million and salaries and employee benefits of $2.8 million.</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Income from Operations and Operating Margin</w:t>
      </w:r>
      <w:r>
        <w:rPr>
          <w:color w:val="000000"/>
        </w:rPr>
        <w:t xml:space="preserv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 Company had income from operations of $88.6 million compared to income from operations of $90.0 million for the nine months ended September 30, 2022. The operating margins for the nine months ended September 30, 2023 decreased to 30% compared to 32% for the nine months ended September 30, 2022. The decrease in operating margin percentage was primarily due to the decrease in gross profit margin for the nine months ended September 30, 2023, discussed earlier in this Form 10-Q</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Other Income (Expenses) (net)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nine months ended September 30, 2023 increased $2.0 million, or 12%, to $18.4 million compared to $16.4 million for the nine months ended September 30, 2022. The Company benefited from an interest rate swap that it entered into January 2022 by $3.6 million for the nine months ended September 30, 2023. There was an overall increase in other expenses due to the reduction in favorable changes to the fair value of mark-to-market instruments compared to September 30, 2022. The decrease in favorable changes in the fair value of mark-to-market instruments were primarily due to the increase in the price of the Company's Class A common stock compared to September 30, 2022. See Liquidity and Capital Resources below for more detail on the existing credit facility.</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Net Income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for the nine months ended September 30, 2023 was $81.5 million, compared to net income of $109.5 million for the nine months ended September 30, 2022. The decrease was driven primarily by a reduction in favorable changes in the fair value of warrant liabilities, earnout consideration liability and derivative liability.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Use of Non-GAAP Financial Measures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Form 10-Q includes certain non-GAAP financial measures that are not prepared in accordance with accounting principles generally accepted in the United States (“GAAP”) and that may be different from non-GAAP financial measures used by other companies. The Company believes EBITDA, Adjusted EBITDA and non-GAAP earnings per share are useful to investors in evaluating the Company’s financial performance. The Company uses these measures internally to establish forecasts, budgets and operational goals to manage and monitor its business, as well as evaluate its underlying historical performance and to measure incentive compensation, as we believe that these non-GAAP financial measures depict the true performance of the business by encompassing only relevant and controllable events, enabling the Company to evaluate and plan more effectively for the future. In addition, the Company’s debt agreements contain covenants that use a variation of these measures for purposes of determining debt covenant compliance. The Company believes that investors should have access to the same set of tools that its management uses in analyzing operating results. EBITDA, Adjusted EBITDA and non-GAAP earnings per share should not be considered as measures of financial performance under U.S. GAAP, and the items excluded from EBITDA, Adjusted EBITDA and non-GAAP earnings per share are significant components in understanding and assessing the Company’s financial performance. Accordingly, these key business metrics have limitations as an analytical tool. They should not be considered as an alternative to net income or any other performance measures derived in accordance with U.S. GAAP or as an alternative to cash flows from operating activities as a measure of the Company’s liquidity, and may be different from similarly titled non-GAAP measures used by other companies.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unaudited table presents the reconciliation of net income to EBITDA and Adjusted EBITDA for the periods indicated:</w:t>
      </w:r>
    </w:p>
    <w:tbl>
      <w:tblPr>
        <w:tblW w:w="9517" w:type="dxa"/>
        <w:jc w:val="left"/>
        <w:tblInd w:w="0" w:type="dxa"/>
        <w:tblLayout w:type="fixed"/>
        <w:tblCellMar>
          <w:top w:w="28" w:type="dxa"/>
          <w:left w:w="28" w:type="dxa"/>
          <w:bottom w:w="28" w:type="dxa"/>
          <w:right w:w="28" w:type="dxa"/>
        </w:tblCellMar>
      </w:tblPr>
      <w:tblGrid>
        <w:gridCol w:w="1095"/>
        <w:gridCol w:w="959"/>
        <w:gridCol w:w="975"/>
        <w:gridCol w:w="273"/>
        <w:gridCol w:w="934"/>
        <w:gridCol w:w="141"/>
        <w:gridCol w:w="141"/>
        <w:gridCol w:w="141"/>
        <w:gridCol w:w="141"/>
        <w:gridCol w:w="273"/>
        <w:gridCol w:w="934"/>
        <w:gridCol w:w="141"/>
        <w:gridCol w:w="109"/>
        <w:gridCol w:w="109"/>
        <w:gridCol w:w="109"/>
        <w:gridCol w:w="241"/>
        <w:gridCol w:w="944"/>
        <w:gridCol w:w="124"/>
        <w:gridCol w:w="124"/>
        <w:gridCol w:w="124"/>
        <w:gridCol w:w="124"/>
        <w:gridCol w:w="241"/>
        <w:gridCol w:w="944"/>
        <w:gridCol w:w="176"/>
      </w:tblGrid>
      <w:tr>
        <w:trPr/>
        <w:tc>
          <w:tcPr>
            <w:tcW w:w="109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81,496 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109,459 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(1)</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16,362 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47,086 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30,147 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106,756 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136,136 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Mark-to-market adjustments, net (2)</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(11,947)</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(38,224)</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35,516 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32,658 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107,861 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105,648 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(1)Includes amortization of deferred financing cost for the three and nine months ended September 30, 2023 and 2022, respectively.</w:t>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(2)Includes the changes in fair value of warrant liability, derivative liabilities and earnout consideration liability for the three and nine months ended September 30, 2023 and 2022, respectively.</w:t>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unaudited table presents the non-GAAP earnings per share and reconciliation of GAAP net income to non-GAAP adjusted net income for the periods indicated:</w:t>
      </w:r>
    </w:p>
    <w:p>
      <w:pPr>
        <w:pStyle w:val="TextBody"/>
        <w:bidi w:val="0"/>
        <w:spacing w:before="0" w:after="0"/>
        <w:jc w:val="left"/>
        <w:rPr/>
      </w:pPr>
      <w:r>
        <w:rPr/>
      </w:r>
    </w:p>
    <w:tbl>
      <w:tblPr>
        <w:tblW w:w="10073" w:type="dxa"/>
        <w:jc w:val="left"/>
        <w:tblInd w:w="0" w:type="dxa"/>
        <w:tblLayout w:type="fixed"/>
        <w:tblCellMar>
          <w:top w:w="28" w:type="dxa"/>
          <w:left w:w="28" w:type="dxa"/>
          <w:bottom w:w="28" w:type="dxa"/>
          <w:right w:w="28" w:type="dxa"/>
        </w:tblCellMar>
      </w:tblPr>
      <w:tblGrid>
        <w:gridCol w:w="1296"/>
        <w:gridCol w:w="1140"/>
        <w:gridCol w:w="1149"/>
        <w:gridCol w:w="273"/>
        <w:gridCol w:w="934"/>
        <w:gridCol w:w="141"/>
        <w:gridCol w:w="141"/>
        <w:gridCol w:w="141"/>
        <w:gridCol w:w="141"/>
        <w:gridCol w:w="273"/>
        <w:gridCol w:w="934"/>
        <w:gridCol w:w="141"/>
        <w:gridCol w:w="109"/>
        <w:gridCol w:w="109"/>
        <w:gridCol w:w="109"/>
        <w:gridCol w:w="251"/>
        <w:gridCol w:w="858"/>
        <w:gridCol w:w="129"/>
        <w:gridCol w:w="129"/>
        <w:gridCol w:w="129"/>
        <w:gridCol w:w="129"/>
        <w:gridCol w:w="251"/>
        <w:gridCol w:w="983"/>
        <w:gridCol w:w="183"/>
      </w:tblGrid>
      <w:tr>
        <w:trPr/>
        <w:tc>
          <w:tcPr>
            <w:tcW w:w="129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73"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81,496 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109,459 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ans-serif" w:hAnsi="Times New Roman;sans-serif"/>
                <w:b w:val="false"/>
                <w:color w:val="000000"/>
                <w:sz w:val="20"/>
              </w:rPr>
              <w:t>Add: provision for income taxes</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38,998 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22,287 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82,152 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113,197 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(1)</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before adjustments</w:t>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17,021 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64,513 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95,765 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Less: mark-to-market adjustments (2)</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stock-based compensation</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65,461 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outstanding used in</w:t>
              <w:br/>
              <w:t>   computing net income per share, basic:</w:t>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and Class B common shares (3)</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79,033 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76,020 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78,378 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75,728 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outstanding used in</w:t>
              <w:br/>
              <w:t>   computing net income per share, diluted:</w:t>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(Public and Private) (4)</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awards</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outstanding used in</w:t>
              <w:br/>
              <w:t>   computing net income per share - diluted</w:t>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90,817 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88,343 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90,414 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88,496 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per share -basic</w:t>
            </w:r>
          </w:p>
        </w:tc>
        <w:tc>
          <w:tcPr>
            <w:tcW w:w="27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per share -diluted</w:t>
            </w:r>
          </w:p>
        </w:tc>
        <w:tc>
          <w:tcPr>
            <w:tcW w:w="273"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1) Calculated using the Company's blended tax rate.</w:t>
      </w:r>
    </w:p>
    <w:p>
      <w:pPr>
        <w:pStyle w:val="TextBody"/>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2) Includes the changes in fair value of warrant liability and earnout consideration liability.</w:t>
      </w:r>
    </w:p>
    <w:p>
      <w:pPr>
        <w:pStyle w:val="TextBody"/>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 xml:space="preserve">3) Assumes both Class A shares and Class B shares participate in earnings and are outstanding at the end of the period. </w:t>
      </w:r>
    </w:p>
    <w:p>
      <w:pPr>
        <w:pStyle w:val="TextBody"/>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4) Assumes treasury stock method, valuation at assumed fair market value of $18.00.</w:t>
      </w:r>
    </w:p>
    <w:p>
      <w:pPr>
        <w:pStyle w:val="TextBody"/>
        <w:bidi w:val="0"/>
        <w:spacing w:lineRule="auto" w:line="288"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5) The Company did not include the effect of Exchangeable Notes to its total shares outstanding used in diluted adjusted net income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Estimates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Critical accounting policies are detailed in the Company’s Annual Report on Form 10-K for the year ended December 31, 2022.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Reference is made to Note 2 of Notes to Financial Statements - unaudited in Item 1, “Financial Statements,” for information concerning recent accounting pronouncements since the filing of the Company’s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primary sources of liquidity are its existing cash and cash equivalents balances, cash flows from operations and borrowings on its term loan, revolving credit facility and Exchangeable Notes. The Company’s primary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requirements include operating expenses, debt service payments (principal and interest), and capital expenditures (including property and equipment).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had cash and cash equivalents of $23.8 million and debt principal outstanding of $345.0 million. As of December 31, 2022, the Company had cash and cash equivalents of $13.6 million and total debt principal outstanding of $363.1 million.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cash flows from its operations and available cash and cash equivalents are sufficient to meet its liquidity needs, including the repayment of its outstanding debt, for at least the next 12 months from the date of filing of this Form 10-Q. The Company anticipates that to the extent that it requires additional liquidity, it will be funded through borrowings on its revolving credit facility, the incurrence of other indebtedness, or a combination thereof and offering of its shares in capital markets. The Company cannot be assured that it will be able to obtain this additional liquidity on reasonable terms, or at all. Additionally, the Company’s liquidity and its ability to meet its obligations and fund its capital requirements are also dependent on its future financial performance, which is subject to general economic, financial and other factors that are beyond its control. Accordingly, the Company cannot be assured that its business will generate sufficient cash flows from operations or that future borrowings will be available from additional indebtedness or otherwise to meet its liquidity needs. Although the Company has no specific current plans to do so, if the Company decides to pursue one or more significant acquisitions, the Company may incur additional debt to finance such acquisitions.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there was $215.0 million of total debt outstanding under the Company’s existing credit facilities (the “2021 Credit Facility”). The 2021 Credit Facility comprised a term loan of $250.0 million as well as a $60.0 million revolving loan facility, of which $60.0 million was available for borrowing as of September 30, 2023. Additional amounts may be available for borrowing during the term of the revolving loan, up to the remaining full $60.0 million, as long as the Company maintains a net leverage ratio as stipulated in the credit facility agreement. As of September 30, 2023, the Company’s net leverage ratio met the requirement for the available borrowing as defined in the terms of the credit facility agreement. The 2021 Credit Facility will mature on December 16, 2025.</w:t>
      </w:r>
    </w:p>
    <w:p>
      <w:pPr>
        <w:pStyle w:val="TextBody"/>
        <w:bidi w:val="0"/>
        <w:spacing w:lineRule="auto" w:line="288" w:before="12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28, 2023, the Company amended the 2021 Credit Facility to, among other things, to transition from bearing interest based on LIBOR to SOFR or the Alternate Base Rate (as defined in the 2021 Credit Facility), at the election of the Company, plus an applicable margin, and to reflect the waiver of a technical default under the 2021 Credit Facility, related to the delayed delivery of a pledge of its interests in Holdings by the parent company (i.e., CompoSecure, Inc.). Holdings had already pledged all of its assets in favor of the lenders as per the terms of the debt agreement. After the amendment on February 28, 2023, the interest rate spreads and fees under the 2021 Credit Facility are based on a quoted SOFR plus a SOFR adjustment of 0.10% and an applicable margin ranging from 1.75% to 2.75% for the revolving and term loan Term Benchmark and RFR Spread debt (as each term is defined in the 2021 Credit Facility). The Company must also pay an annual commitment fee of 0.35% on the unused portion of the $60.0 million revolving loan commitment. As of September 30, 2023, the effective interest rate on the Company’s 2021 Credit Facility was 7.99%.</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further amended its 2021 Credit Facility in May 2023 and accounted for the amendment as a modification. Pursuant to the amendment, approximately $0.3 million of additional costs incurred in connection with the modification were capitalized as debt issuance costs. In connection with the amendment, two of the lenders in the original credit facility did not continue their participation in the credit facility. Accordingly, the debt issuance cost related to these two lenders were written off by the Company.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2021 Credit Facility contains customary covenants, including among other things, certain restrictions or limitations on indebtedness, issuance of liens, investments, asset sales, certain mergers or consolidations, sales, transfers, leases or dispositions of substantially all of the Company’s assets, and affiliate transactions. The Company may also be required to make repayments on the 2021 Credit Facility in advance of the maturity date based on a calculation of excess cash flows, as defined in the agreement, with any required payments to be made after the issuance of the Company’s annual financial statements. The Company was in compliance with all covenants as of September 30, 2023. See Note 5 in Notes to Consolidated Financial Statements in this Form 10-Q.</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19, 2021, concurrently with the execution of the Merger Agreement, the Company and its subsidiary, Holdings entered into subscription agreements (the “Note Subscription Agreements”) with certain investors ("Notes Investors") pursuant to which such Notes investors, severally and not jointly, purchased on the Closing Date of the Business Combination, senior notes (the “Exchangeable Notes”) issued by the Company and guaranteed by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subsidiary, Holdings, in an aggregate principal amount of up to $130.0 million that are exchangeable into shares of Class A common stock at a conversion price of $11.50 per share, subject to the terms and conditions of an Indenture entered by the Company and its subsidiary, Holdings and the trustee under the Indenture. The Exchangeable Notes will bear interest at a rate of 7% per year, payable semiannually in arrears. The Exchangeable Notes will mature in five years on December 27, 2026, and be convertible into shares of Class A common stock at a conversion price of $11.50 per share. The Company will settle any exchange of the Exchangeable Notes in shares of Class A common stock, with cash payable in lieu of any fractional shares. Additional interest may be payable as set forth in the Indenture. See Note 5 in Notes to Consolidated Financial Statements in this Form 10-Q.</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Net Cash Provided by Operations</w:t>
      </w:r>
      <w:r>
        <w:rPr>
          <w:color w:val="000000"/>
        </w:rPr>
        <w:t xml:space="preserv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the Company’s operating activities for the nine months ended September 30, 2023 was $77.9 million compared to cash provided by operating activities of $82.0 million during the nine months ended September 30, 2022. The decrease in cash provided by operating activities of $4.1 million was primarily attributable to net income of $81.5 million, the favorable mark to market fair value net changes of $11.9 million, changes in working capital of $10.7 million, and deferred tax benefit of $1.5 million. This was partially offset by equity compensation expense of $13.1 million, depreciation and amortization expense of $6.2 million, and amortization of deferred financing costs of $1.3 million.</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Net Cash Used in Investing Activities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the Company’s investing activities for the nine months ended September 30, 2023 was $6.7 million, primarily relating to capital expenditures, compared to cash used in investing activities for the nine months ended September 30 , 2022 of $7.2 million.</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Net Cash Used in Financing Activities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the Company’s financing activities for the nine months ended September 30, 2023 was $61.0 million compared to cash used in the Company's financing activities for the nine months ended September 30, 2022 of $81.3 million. Cash used in financing activities for the nine months ended September 30, 2023 primarily related to distributions to non-controlling interest holders of $38.4 million, repayment of scheduled principal payments of term loan of $18.1 million, payment of $2.2 million related to the tax receivable liability, payments for taxes related to net share settlement of equity awards of $3.1 million and payment of $0.3 million for costs related to the 2021 term loan debt modification. This was partially offset by proceeds of $1.0 million pursuant to the exercise of equity awards and issuance of shares for ESPP transactions. Cash used in financing activities for the nine months ended September 30, 2022, primarily related to payment of issuance costs related to the Business Combination, repayment of scheduled term loan principal payments, repayment of cash withdrawn under the line of credit under the 2021 Credit Facility, and distributions to non-controlling interest.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Contractual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our minimum contractual obligations related to our material outstanding contractual commitments is included in Notes 7, 8 and 16 of our Annual report on Form 10-K for the year ended December 31, 2022 as filed with the SEC. Our long-term contractual obligations include commitments and estimated purchase obligations entered into in the normal course of business. As of September 30, 2023, the Company had inventory-related purchase commitments totaling approximately $35.5 million.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Financing</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the 2021 Credit Facility with various banks and has issued Exchangeable Notes to certain holders. For a more complete description of the Company's debt obligations, see Note 5 of Notes to Consolidated Financial Statements in the Consolidated Financial Statements of the Company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Disclosures About Market Risk</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existing cash balances and cash provided by operating activities, the Company uses variable rate debt to finance its operations. The Company is exposed to interest rate risk on these debt obligations and a related interest rate swap agreement. As of September 30, 2023, CompoSecure had $215.0 million in debt outstanding under the 2021 Credit Facility, all of which was variable rate debt, and $130.0 million in long-term debt principal outstanding from the issuance of Exchangeable Notes.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performed a sensitivity analysis based on the principal amount of debt outstanding as of September 30, 2023, as well as the effect of its interest rate swap agreement. In this sensitivity analysis, the change in interest rates is assumed to be applicable for an entire year. An increase or decrease of 100 basis points in the applicable interest rate would cause an increase or decrease in interest expense of approximately $4.0 million on an annual basis.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11, 2022, CompoSecure entered into an interest rate swap agreement to hedge forecasted interest rate payments on its variable rate debt. As of September 30, 2023, the Company had the following interest rate swap agreements (in thousands):</w:t>
      </w:r>
    </w:p>
    <w:tbl>
      <w:tblPr>
        <w:tblW w:w="7257" w:type="dxa"/>
        <w:jc w:val="left"/>
        <w:tblInd w:w="0" w:type="dxa"/>
        <w:tblLayout w:type="fixed"/>
        <w:tblCellMar>
          <w:top w:w="28" w:type="dxa"/>
          <w:left w:w="28" w:type="dxa"/>
          <w:bottom w:w="28" w:type="dxa"/>
          <w:right w:w="28" w:type="dxa"/>
        </w:tblCellMar>
      </w:tblPr>
      <w:tblGrid>
        <w:gridCol w:w="1410"/>
        <w:gridCol w:w="1240"/>
        <w:gridCol w:w="1249"/>
        <w:gridCol w:w="109"/>
        <w:gridCol w:w="109"/>
        <w:gridCol w:w="109"/>
        <w:gridCol w:w="287"/>
        <w:gridCol w:w="1125"/>
        <w:gridCol w:w="148"/>
        <w:gridCol w:w="109"/>
        <w:gridCol w:w="109"/>
        <w:gridCol w:w="109"/>
        <w:gridCol w:w="255"/>
        <w:gridCol w:w="256"/>
        <w:gridCol w:w="633"/>
      </w:tblGrid>
      <w:tr>
        <w:trPr/>
        <w:tc>
          <w:tcPr>
            <w:tcW w:w="141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Effective Dates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Fixed Rate</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5, 2022 through December 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63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5, 2023 through December 22,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633" w:type="dxa"/>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the interest rate swap agreement, the Company receives payments based on the greater of 1-month SOFR rate, as amended in February 2023, or a minimum of 1.00%. On February 28, 2023, the Company amended the 2021 Credit Facility to, among other things, transition from bearing interest based on LIBOR to SOFR or the Alternate Base Rate (as defined in the 2021 Credit Facility), at the election of the Company, plus an applicable margin. The existing swap converted to SOFR from LIBOR at the same time as the 2021 Credit Facility.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designated the interest rate swap as a cash flow hedge for accounting purposes that was determined to be effective. The Company determined the fair value of the interest rate swap to be zero at the inception of the agreement and $8.1 million at September 30, 2023. The Company reflects the realized gains and losses of the actual monthly settlement activity of the interest rate swap in its consolidated statements of operations. The Company reflects the unrealized changes in fair value of the interest rate swap at each reporting period in other comprehensive income and a derivative asset or liability is recognized at each reporting period in the Company’s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designed our disclosure controls and procedures, as such term is defined in Rules 13a-15(e) and 15d-15(e) under the Exchange Act to provide reasonable assurance that information required to be disclosed by us in reports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 the supervision of and with the participation of our management, including our principal executive officer and principal financial officer, we conducted an evaluation of our disclosure controls and procedures as of September 30, 2023. Based on this evaluation, our principal executive officer and our principal financial officer concluded that our disclosure controls and procedures as of September 30, 2023 were functioning effectively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control system, no matter how well designed and operated, cannot provide absolute assurance that the objectives of the control system are met, and no evaluation of controls can provide absolute assurance that all control issues and instances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fraud, if any, within a company have been detected. We do not expect that our disclosure controls and procedures or our internal control over financial reporting are able to prevent with certainty all errors and all fraud.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during the quarter ended September 30, 2023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Part II.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November 2, 2023, the Company was not a party to, nor were any of its properties the subject of, any material pending legal proceedings, other than ordinary routine claims incidental to the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Summary of Risk Factors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An investment in our securities involves substantial risk. The occurrence of one or more of the events or circumstances described in the section entitled “Risk Factors,”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Related to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COVID-19 pandemic and the measures implemented to contain the spread of the virus have had a negative impact on our business and result of operations and, if continued, could be amplified and have a material adverse effect on our business, financial condition and results of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not be able to sustain our revenue growth rate in the future.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retain existing customers or identify and attract new customers could adversely affect our business, financial condition and results of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Data and security breaches could compromise our systems and confidential information, cause reputational and financial damage, and increase risks of litigation, which could adversely affect our business, financial condition and results of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System outages, data loss or other interruptions affecting our operations could adversely affect our business and reputation.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Disruptions at our primary production facility may adversely affect our business, results of operations and/or financial condition.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may not be able to recruit, retain and develop qualified personnel, including for areas of newer specialized technology which could adversely affect our ability to grow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future growth may depend upon our ability to develop, introduce and commercialize new products, which can be a lengthy and complex process. If we are unable to introduce new products and services in a timely manner, our business could be materially adversely affected.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disruption in our operations or supply chain or the performance of our suppliers and/or development partners could adversely affect our business and financial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limited experience in the digital assets industry and may not succeed in fully commercializing the products and solutions derived from the Arculus Platform.</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Digital asset wallet storage systems, such as the Arculus Cold Storage Wallet, are subject to risks related to a loss of funds due to theft of digital assets, security and cybersecurity risks, system failures and other operational issues, which could cause damage to our reputation and brand.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Regulatory changes or actions may restrict the use of the Arculus Cold Storage Wallet or digital assets in a manner that adversely affects our business, prospects or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Production quality and manufacturing process disruptions could adversely affect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are dependent on certain distribution partners for distribution of our products and services. A loss of distribution partners could adversely affect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face competition that may result in a loss of our market share and/or a decline in profitability.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Related to our Indebtedness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a substantial amount of indebtedness, which may limit our operating flexibility and could adversely affect our business, financial condition and results of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Upon the occurrence of an event of default relating to the Company's credit facility, the lenders could elect to accelerate payments due and terminate all commitments to extend further credit.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3" name="Frame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debt outstanding under the Company's existing credit facility has a variable rate of interest that is currently based on LIBOR and will be converting to the Secured Overnight Financing Rate (“SOFR”) prior to the sunset deadline of September 30, 2023. These rates may have consequences that cannot be reasonably predicted and may increase the Company's cost of borrowing in the future.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Related to the ownership of our Securities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only significant asset is our ownership of CompoSecure Holdings, L.L.C. ("Holdings"). If the business of Holdings is not profitably operated, we may be unable to pay us dividends or make distributions to enable us to pay any dividends on our common stock or satisfy our other financial obligations.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Provisions in our charter and Delaware law may inhibit a takeover of us, which could limit the price investors might be willing to pay in the future for our common stock and could entrench management.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As an “emerging growth company,” we cannot be certain if the reduced disclosure requirements applicable to “emerging growth companies” will make our common stock less attractive to investors.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If our performance does not meet market expectations, the price of our securities may decline.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Warrants may never be in the money, and they may expire worthless.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report,</w:t>
      </w:r>
      <w:r>
        <w:rPr>
          <w:color w:val="000000"/>
        </w:rPr>
        <w:t xml:space="preserve"> </w:t>
      </w:r>
      <w:r>
        <w:rPr>
          <w:rFonts w:ascii="Times New Roman;sans-serif" w:hAnsi="Times New Roman;sans-serif"/>
          <w:b w:val="false"/>
          <w:i/>
          <w:color w:val="000000"/>
          <w:sz w:val="20"/>
        </w:rPr>
        <w:t>or in any document incorporated by reference herein, are not the only risks and uncertainties that we face. Additional risks and uncertainties not presently known to us or that we currently believe to be immaterial may become material and adversely affect our business.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Rapidly evolving domestic and global economic conditions are beyond our control and could materially adversely affect our business, operations, and results of operations.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U.S. and international markets and, in particular, the rapidly evolving digital assets industry, are experiencing uncertain and volatile economic conditions, including from the impacts of the COVID-19 pandemic, Russian aggression in Ukraine, the evolving conflict in Israel, Gaza and the surrounding areas, sustained inflation, threats or concerns of recession, and supply chain disruptions. These conditions make it extremely difficult for us and our suppliers to accurately forecast and plan future business activities. Further, recent bank liquidity and financial stability concerns could adversely affect the banks in which we hold our cash and cash equivalents, which may subject our working capital to a risk of loss or to a delay in accessibility, or could result in broader bank regulatory changes that may cause financial institutions to change their lending behavior in a manner that could be adverse to us. Additionally, a significant downturn in the domestic or global economy may cause our existing customers to pause or delay orders and prospective customers to defer new projects. Together, these circumstances create an environment in which it is challenging for us to predict future operating results, particularly for our new Arculus business. If these uncertain business, macroeconomic or political conditions continue or further decline, our business, financial condition and results of operations could be materially adversely affected.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The COVID-19 pandemic and the measures implemented to contain the spread of the virus have had a negative impact on our business and result of operations and, if continued, could be amplified and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Global health concerns relating to the COVID-19 pandemic and related government actions taken to reduce the spread of the virus have affected the macroeconomic environment, significantly increased economic uncertainty and reduced economic activity. The pandemic has also led to governmental authorities implementing numerous measures to try to contain the virus, including travel bans and restrictions, quarantines, shelter-in-place orders, and business limitations and shutdowns. These measures and the COVID-19 pandemic have caused economic and financial disruptions that have negatively impacted, and may continue to negatively impact, our business, results of operations and financial condition. The extent to which the pandemic will continue to negatively impact our business and results of operations will depend on numerous evolving factors and future developments that we are not able to predict, including the duration and severity of the pandemic; the nature, extent and effectiveness of containment measures; the extent and duration of the effect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4" name="Frame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customers and suppliers, the economy, unemployment, consumer confidence and consumer and business spending; and how quickly and to what extent normal economic and operating conditions resume.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pandemic and containment measures have caused us to modify its operations, and we may take further actions that we determine to be in the best interests of its employees, customers and business partners. If we do not respond appropriately to the pandemic, or if customers or other stakeholders do not perceive our response to be adequate, we could suffer damage to our reputation and brand, which could materially adversely affect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the COVID-19 pandemic is prolonged, it could amplify the negative impacts on our business and results of operations, and may also heighten many of the other risks described in this “Risk Factors” section. It is also possible that any adverse effects of the pandemic and containment measures may continue once the pandemic is controlled and the containment measures are lifted. We do not yet know, nor can we predict, the full extent of how COVID-19 and the containment measures will affect our business, results of operations and financial condition, or the global economy as a whole. However, the continuing effects could have a material adverse impact on our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not be able to sustain our revenue growth rate in the future.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not continue to achieve sales growth in the future and you should not consider our recent sales growth as indicative of future performance. It is also possible that our growth rate may slow in future periods due to a number of factors, which may include slowing demand for our products, increased competition, decreasing growth of its overall market, or inability to engage and retain customers. If we are unable to maintain consistent sales or continue our sales growth, it may be difficult for us to maintain profitability.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Failure to retain existing customers or identify and attract new customers could adversely affect our business,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two largest customers are American Express and JPMorgan Chase. Together, these customers represented approximately 67% and 72% of our net sales for the years ended December 31, 2022 and 2021. Our ability to meet our customers’ high-quality standards in a timely manner is critical to our business success. If we are unable to provide our products and services at high quality and in a timely manner, our customer relationships may be adversely affected, which could result in the loss of customers.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maintain relationships with our customers or attract new customers may be impacted by several factors beyond our control, including more attractive product offerings from our competitors, widespread industry disruptions such as recent disruptions in the digital assets industry, pricing pressures or the financial health of these customers, many of whom operate in competitive businesses and depend on favorable macroeconomic conditions. In addition, we may also be limited in the products we can offer and the pricing we can receive for such products due to restrictions present in certain of our customer contracts, which may negatively impact our ability to retain existing customers or attract new customers. If we experience difficulty retaining customers and attracting new customers, our business, financial condition and results of operations may be materially and adversely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Data and security breaches could compromise our systems and confidential information, cause reputational and financial damage, and increase risks of litigation, which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information technology (“IT”) infrastructure’s ability to reliably and securely protect the sensitive confidential information of our customers, which include large financial institutions, is critical to our business. Security breaches have become more common across many industries. Cyber incidents have been increasing in sophistication and can include third parties gaining access to employee or customer data using stolen or inferred credentials, computer malware, viruses, spamming, phishing attacks, ransomware, card skimming code, and other deliberate attacks and attempts to gain unauthorized access. The occurrence of these types of incidents in our computer networks, databases or facilities could lead to the inappropriate use or disclosure of personal information, including sensitive personal information of customers and employees, which could harm our business and reputation, adversely affect consumers’ confidence in our business and products, result in inquiries and fines or penalties from regulatory or governmental authorities, cause a loss of customers, pose increased risks of lawsuits and subject us to potential financial losses.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5" name="Frame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it is possible that unauthorized access to sensitive customer and business data may be obtained through inadequate use of security controls by our customers, suppliers or other vendors.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administrative, technical, and physical security measures in place, and we have policies and procedures in place to both evaluate the security protocols and practices of our vendors and to contractually require service providers to whom we disclose data to implement and maintain reasonable privacy and security measures. However, although cybersecurity remains a high priority, our activities and investment may not sufficiently protect our system or network against cyber threats, nor sufficiently prevent or limit the damage from any future security breaches. As these threats continue to evolve, we may be required to expend significant capital and other resources to protect against these security breaches or to alleviate problems caused by these breaches, including costs to deploy additional personnel and protection technologies, train employees, and engage third-party experts and consultants, which could materially and adversely affect our business, financial condition and results of operations. Although we maintain cyber liability insurance, we cannot be certain that our coverage will be adequate for liabilities actually incurred or that insurance will continue to be available to us on economically reasonable terms, or at all. Furthermore, any material breach of our security systems could harm our competitive position, result in a loss of customer trust and confidence, and cause us to incur significant costs to mitigate or remedy any damage resulting from system or network disruptions, whether caused by cyberattacks, security breaches or otherwise, which could ultimately adversely affect our business, financial condition and results of operations.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System outages, data loss or other interruptions affecting our operations could adversely affect our business and reputation.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ability to efficiently execute and operate business functions and systems without interruption is critical to our business. A significant portion of the communication between our employees, customers, and suppliers rely upon our integrated and complex IT systems. We depend on the reliability of our IT infrastructure and software, and our ability to expand and innovate our technologies and technological processes in response to changing needs. A system outage or data loss or interruption could cause damage to our brand and reputation. Such operational interruptions could also cause us to become liable to third parties, including our customers. We must be able to protect our processing and other systems from interruption to successfully operate our business. In an effort to do so, we have taken preventative actions and adopted protective procedures to ensure the continuation of core business operations in the event that normal operations could not be performed because of events outside of our control. These actions and procedures taken and adopted by us may, however, insufficiently prevent or limit the damage from future disruptions, if any, and any such disruptions could adversely affect our business,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Disruptions at our primary production facility may adversely affect our business, results of operations and/or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our manufacturing capacity is located at our primary production facility. Any serious disruption at such facility could impair our ability to manufacture enough products to meet customer demand, and could increase our costs and expenses and adversely affect our revenues. Our other facilities may not have the requisite equipment or sufficient capacity, may have higher costs and expenses, or may experience significant delays to adequately increase production to satisfactorily meet our customers’ expectations or requirements. Long-term production disruptions may cause our customers to modify their payment card programs to use plastic cards or to seek alternative supply of metal cards. Any such production interruptions or disruptions could adversely impact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government-imposed measures in response to the COVID-19 pandemic led us to temporarily limit operations at some of our facilities. As a result, our credit card production rate was negatively affected. The continuation of the COVID-19 pandemic and the containment measures instituted as a result thereof could amplify the negative impact on our credit card production and, as a result,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future growth may depend upon our ability to develop, introduce and commercialize new products, which can be a lengthy and complex process. If we are unable to introduce new products and services in a timely manner, our business could be materially adversely affected.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46" name="Frame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markets for our products and services are subject to technological changes, frequent introductions of new products and services and evolving industry standards. The process for developing innovative or technologically enhanced products can deplete time, money and resources, and requires the ability to accurately forecast technological, market and industry trends. In order to achieve successful technical execution of new products, we may need to undertake time-consuming and expensive research and development activities, which could negatively impact the servicing of our existing customers. We may also experience difficult market conditions, such as the recent widespread disruptions in the digital asset industry, that could delay or prevent the successful research and development, marketing launches and consumer deployment of such newly designed products, whereby we could incur significant additional cost and expense. In addition, competitors may develop and commercialize competing products faster and more efficiently than we are able to do so, which could further negatively impact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and service offerings could be rendered obsolete if we are unable to develop and introduce innovative products in a cost-effective and timely manner. In particular, the rise in the adoption of wireless or mobile payment systems may make physical metal cards less attractive as a method of payment, which could result in less demand for these products. Although to date we have not witnessed a material reduction in card-based payments in the United States resulting from the emergence of wireless or mobile payment systems, such payment systems offer consumers an alternative method to make purchases without the need to carry a physical card by relaying on cellular telephones or other technological products to make payments. If these wireless or mobile payment systems are widely adopted, it could result in a reduction of the number of physical payment cards issued to consumers. Moreover, other developing or unforeseen technology solutions and products could render our existing products unpopular, irrelevant or obsolete altogether.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develop and deliver new products and services successfully will depend on various factors, including our ability to: effectively identify and capitalize upon opportunities in new and emerging product markets; invest resources in innovation and research and development; complete and introduce new products and integrated services solutions in a timely manner; license any required third-party technology or intellectual property rights; qualify for and obtain required industry certification for our products; and retain and hire talent experienced in developing new products and services. Our business and growth also depend in part on the success of our strategic relationships with third parties, including technology partners or other technology companies whose products are integrated with our products. Failure of any of these technology companies to maintain, support or secure their technology platforms in general, and our integrations in particular, or errors or defects in their technologies or products, could adversely affect our relationships with customers, damage our brand and reputation, and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enhance our existing products and to develop and introduce innovative new products that continue to meet the needs of our customers may affect our future success. We may experience difficulties that could delay or prevent the successful development, marketing or deployment of these products, or our newly enhanced services may not meet market demands or achieve market traction. Our potential failure to complete or gain market acceptance of new products, services and technologies could adversely affect our ability to retain existing customers or attract new ones.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A disruption in our operations or supply chain or the performance of our suppliers, liquidity partners and/or development partners could adversely affect our business and financial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company engaged in manufacturing and distribution, we are subject to the risks inherent in such activities, including disruptions or delays in supply chain or information technology, product quality control, as well as other external factors over which we have no control. Some of the key components used in the manufacture of our products are metals, NFC-enabled and EMV chips, which we source from several key suppliers. We obtain our components from multiple suppliers located in the United States and abroad, on a purchase order basis. Changes in the financial or business condition of our suppliers and/or development partners could subject us to losses or adversely affect our ability to bring products to market. Additionally, the failure of our suppliers and/or development partners to comply with applicable standards, perform as expected, and deliver goods and services in a timely manner in sufficient quantities could adversely affect our customer service levels and overall business. Any increases in the costs of goods and services for our business may also adversely affect our profit margins particularly if we are unable to achieve higher price increases or otherwise increase cost or operational efficiencies to offset the higher costs.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partner with third-party partners to offer Arculus Cold Storage Wallet users the option to use fiat currency to purchase digital assets, and/or to swap one digital asset type for another type. If these third parties experience operational interference or disruptions, fail to perform their obligations and meet our expectations, experience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47" name="Frame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cybersecurity incident, fail to comply with applicable regulatory and/or licensing requirements which may evolve over time, or are subject to regulatory enforcement proceedings concerning their operations, the operations of the Arculus Cold Storage Wallet could be disrupted or otherwise adversely affected.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COVID-19 pandemic and related government measures in response to the pandemic negatively affected our suppliers, which in turn negatively affected our production and business. In addition, there is an increased demand for microchips worldwide in various industries and manufacturers of chips are experiencing shortages in supply, which could adversely effect our ability to obtain sufficient chips for our manufacturing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limited experience in the digital assets industry and we may not succeed in commercializing the Arculus Platform.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With our business operations historically focused on the payment card industry, we are a new entrant into the digital assets industry. The Arculus Platform was commercially launched in the third quarter of 2021. It is possible that consumers of digital asset products and solutions may not be willing to purchase or use Arculus products, and we may not be able to establish partnerships with our existing and/or new customers to drive partner-branded versions of the Arculus Business Solutions. If we are unable to successfully establish sufficient consumer sales, commercial partnerships and/or business-to- business sales channels, that would likely have a material adverse effect on our business, financial condition and results of operations. If the products and solutions derived from the Arculus Platform fail to gain market acceptance, or otherwise fail to be as successful as we expect, our ability to achieve currently-forecasted performance could be significantly impaired.</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Digital asset storage systems, such as the Arculus Cold Storage Wallet, are subject to potential illegal misuse, risks related to a loss of funds due to theft of digital assets, security and cybersecurity risks, system failures and other operational issues, which could cause damage to our reputation and brand.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Digital assets have the potential to be used for financial crimes or other illegal activities. Even if we comply with all laws and regulations, we have no ability to ensure that our customers, partners or others to whom we license or sell our products and services comply with all laws and regulations applicable to them and their transactions. Any negative publicity we receive regarding any allegations of unlawful uses of the Arculus Cold Storage Wallet could damage our reputation and such damage could be material and adverse, including to aspects of our business that are unrelated to the Arculus Platform. More generally, any negative publicity regarding unlawful uses of digital assets in the marketplace could materially reduce the demand for our products and solutions derived from the Arculus Platform.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initial Arculus Cold Storage Wallet uses an architecture where the private keys needed to access digital assets are stored outside of the Internet. Through the use of the Arculus Cold Storage Wallet, our three-factor authentication technology may be able to increase the safety of users’ assets during storage, as compared to storing such digital assets in a hot storage wallet, which is constantly connected to the internet. Further, digital assets are controllable only by the possessor of both the unique public and private keys relating to the local or online digital wallet in which they are held, which wallet’s public key or address is reflected in the public network. There is no guarantee that these security measures or any that we may develop in the future will be effective. Notwithstanding the increased security of the Arculus Cold Storage Wallet as compared to a hot storage wallet system, any loss of private keys, or hack or other compromise or failure of, the Arculus Cold Storage Wallet and its security features could materially and adversely affect our customers’ ability to access or sell their digital assets and could cause significant reputational harm to our Arculus Cold Storage Wallet business, which could have a material adverse effect on our business, financial condition and results of operations.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Regulatory changes or actions may restrict the use of the Arculus Cold Storage Wallet or digital assets in a manner that adversely affects our business, prospects or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Regulatory uncertainty surrounding the digital asset environment, and the regulatory classification of such digital assets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digital assets have grown in both popularity and market size, governments around the world have reacted differently to digital assets, with certain governments deeming them illegal and others allowing their use and trade under certain circumstances. Currently, there is no uniformly applicable legal or regulatory regime governing digital assets in most jurisdictions. Regulatory authorities, including the U.S. government may impose new or additional licensing,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48" name="Frame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 or other compliance requirements on participants in the digital asset industry. Ongoing and future regulatory actions may impact our ability to develop and offer products involving the use of digital assets, including the Arculus Cold Storage Wallet, or may impose additional costs, which may be material, on us in connection with such products, and such impact may be material and adverse. For example, the Commodities Futures Trading Commission (“CFTC”), in a 2019 letter, made clear its view that digital assets generally are commodities, and as such, even spot trades in digital assets generally are subject to the CFTC’s antifraud authority. Nevertheless, digital assets that are commodities also may be deemed by the Securities and Exchange Commission (“SEC”) to constitute securities, or may have been offered or sold in transactions that the SEC deems to be investment contracts and, therefore, securities. In the U.S., regulators, courts and lawmakers alike are grappling with these questions, and the legal landscape remains uncertain.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key members of the SEC staff have stated that the digital asset with the largest market capitalization, bitcoin (“BTC”), the native digital asset of the bitcoin blockchain, is not a security, there has been no definitive determination by the SEC or a court concerning whether the digital asset with the second largest market capitalization, ether (“ETH”), the native digital asset of the ethereum blockchain, constitutes a security or was offered or sold pursuant to investment contracts. Notably, however, in March 2023, the New York State Attorney General’s Office (“NYAG”) filed a lawsuit against crypto trading platform KuCoin for “failing to register as a securities and commodities broker-dealer and falsely representing itself as an exchange. In its complaint, the NYAG alleged that the ETH traded on the KuCoin platform constituted a security. Additionally, derivatives relating to these digital assets, digital assets that represent certain derivatives, and certain leveraged, financed and margined transactions in digital assets, may be subject to substantive regulation by the CFTC and/or SEC, in addition to certain state and non-U.S. regulators.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The SEC staff have asserted, however, that certain other digital assets, such as XRP, are securities and, therefore, subject to the SEC’s jurisdiction. While a court (in the case of SEC v. Ripple involving the XRP digital asset) recently made certain rulings as a matter of law, it did not resolve the legal uncertainty concerning the U.S. securities law treatment of digital assets. Among other things, the ruling was limited to questions involving primary sales, and not secondary sales, of XRP.</w:t>
      </w:r>
      <w:r>
        <w:rPr>
          <w:color w:val="000000"/>
        </w:rPr>
        <w:t xml:space="preserve"> </w:t>
      </w:r>
      <w:r>
        <w:rPr>
          <w:rFonts w:ascii="Times New Roman;sans-serif" w:hAnsi="Times New Roman;sans-serif"/>
          <w:b w:val="false"/>
          <w:color w:val="000000"/>
          <w:sz w:val="20"/>
        </w:rPr>
        <w:t>In addition, the ruling was the decision of a single U.S. federal district court and other courts, whether in the same district or in another jurisdiction, are not required to follow such decision, and, in fact, another judge in the same district, in the SEC v. Terraform Labs and Do Kwan case, expressly declined to follow the Ripple court’s reasoning. Although the SEC may appeal the court's rulings, any such appeal would have to wait until after the trial is completed (likely in mid-2024).</w:t>
      </w:r>
    </w:p>
    <w:p>
      <w:pPr>
        <w:pStyle w:val="TextBody"/>
        <w:bidi w:val="0"/>
        <w:spacing w:before="0" w:after="0"/>
        <w:ind w:left="0" w:right="0" w:firstLine="792"/>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August/September 2023, the SEC announced its first two enforcement actions against issuers of non-fungible tokens (“NFTs”), both of which were settlements. These actions could signal the SEC’s interest in regulating the broader NFT market, including NFT trading platforms, in the case of NFTs that the SEC determines are securities.</w:t>
      </w:r>
    </w:p>
    <w:p>
      <w:pPr>
        <w:pStyle w:val="TextBody"/>
        <w:bidi w:val="0"/>
        <w:spacing w:before="0" w:after="0"/>
        <w:ind w:left="0" w:right="0" w:firstLine="792"/>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In addition to enforcement actions against digital asset issuers, the SEC recently also has initiated lawsuits against multiple digital asset trading platforms (including Coinbase and Binance), alleging, among other things, that such platforms operate as unregistered exchanges with respect to alleged digital asset securities. It is unclear how the courts in these cases will rule, and the related litigation could be ongoing for years.</w:t>
      </w:r>
      <w:r>
        <w:rPr>
          <w:color w:val="000000"/>
        </w:rPr>
        <w:t xml:space="preserve"> </w:t>
      </w:r>
      <w:r>
        <w:rPr>
          <w:rFonts w:ascii="Times New Roman;sans-serif" w:hAnsi="Times New Roman;sans-serif"/>
          <w:b w:val="false"/>
          <w:color w:val="000000"/>
          <w:sz w:val="20"/>
        </w:rPr>
        <w:t>In addition, other high-profile regulatory enforcement actions, including against FTX and certain of its principals, remain ongoing.</w:t>
      </w:r>
    </w:p>
    <w:p>
      <w:pPr>
        <w:pStyle w:val="TextBody"/>
        <w:bidi w:val="0"/>
        <w:spacing w:before="0" w:after="0"/>
        <w:ind w:left="0" w:right="0" w:firstLine="792"/>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a continued focus on digital asset issuers and centralized digital asset trading platforms, regulators and private plaintiffs alike have initiated actions against decentralized finance (“DeFi”) projects and teams. The CFTC has announced a commitment to pursue DeFi protocols operating unregistered platforms that allow U.S. persons to trade digital asset derivatives. The SEC also appears focused on DeFi. In addition to the SEC’s proposed rule change that would expand the definition of “exchange” to potentially include certain DeFi-related activities, SEC staff served as lead drafter of the International Organization of Securities Commissions' (“IOSCO”) proposed recommendations concerning DeFi, which were released in September 2023. The IOSCO recommendations are expected to be finalized by the end of 2023 and, among other things, aim to reduce regulatory inconsistency, promote DeFi market integrity and identify persons to be held responsible for DeFi-related activities.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U.S. regulatory questions before the courts, multiple Congressional digital asset-related bills have been published, including some with a focus on digital asset market structure. While multiple bills describe joint oversight by the SEC and CFTC over the digital assets markets and focus on market structure, at this time, it is unclear whether any such bill ultimately will become law.</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49" name="Frame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U.S. federal securities law issues, certain U.S. regulators and legislators have signaled their heightened concerns about national security, and the importance of “know your customer,” anti-money laundering and counter financing of terrorism (“CFT”) checks and compliance. In 2022 and 2023, the U.S. Treasury’s Office of Foreign Asset Control (“OFAC”) sanctioned digital assets market participants alleged to have supported sanctioned countries and/or terrorist operations. On October 18, 2023, a bipartisan group of 105 U.S. legislators sent to the White House and the U.S. Treasury Department a letter expressing “grave concern” about the alleged use by certain terrorist groups of digital assets to fund their operations and evade U.S. sanctions.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Yet, at this time, it is unclear whether any digital asset-related bill that has been previously introduced, or that may be introduced, will become law this term or in the future.</w:t>
      </w:r>
    </w:p>
    <w:p>
      <w:pPr>
        <w:pStyle w:val="TextBody"/>
        <w:bidi w:val="0"/>
        <w:spacing w:before="0" w:after="0"/>
        <w:ind w:left="0" w:right="0" w:firstLine="792"/>
        <w:jc w:val="left"/>
        <w:rPr/>
      </w:pPr>
      <w:r>
        <w:rPr/>
      </w:r>
    </w:p>
    <w:p>
      <w:pPr>
        <w:pStyle w:val="TextBody"/>
        <w:bidi w:val="0"/>
        <w:spacing w:lineRule="auto" w:line="247" w:before="0" w:after="0"/>
        <w:ind w:left="0" w:right="0" w:firstLine="792"/>
        <w:jc w:val="left"/>
        <w:rPr>
          <w:rFonts w:ascii="Times New Roman;sans-serif" w:hAnsi="Times New Roman;sans-serif"/>
          <w:b w:val="false"/>
          <w:color w:val="000000"/>
          <w:sz w:val="20"/>
        </w:rPr>
      </w:pPr>
      <w:r>
        <w:rPr>
          <w:rFonts w:ascii="Times New Roman;sans-serif" w:hAnsi="Times New Roman;sans-serif"/>
          <w:b w:val="false"/>
          <w:color w:val="000000"/>
          <w:sz w:val="20"/>
        </w:rPr>
        <w:t>In sum, these U.S. regulators, and various U.S. state and non-U.S. regulators, are still developing their frameworks for regulating digital assets. We support purchase and swap transactions in the Arculus Cold Storage Wallet for certain digital assets. If any such digital assets are subsequently determined to be securities or transactions in such digital securities are found to be offers or sales of securities, it is possible that we could be viewed as inadvertently acting without required registration or licensing, whether as an unlicensed broker-dealer or otherwise, which could subject us to, among other things, regulatory enforcement actions, censure, monetary fines, restrictions on the conduct of the Arculus business operations and/or rescission or other damages claims by customers who use the Arculus Cold Storage Wallet. Our failure to comply with applicable laws or regulations, or the costs associated with defending any action alleging our noncompliance with applicable laws or regulations, could materially and adversely affect us, our business and our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determination of whether a particular digital asset is a “security” or whether a transaction in such digital asset is an offer or sale of a security, as well as other regulatory or tax treatment of digital assets, in any relevant jurisdiction is subject to a high degree of uncertainty and potential inconsistency across regulatory regimes. If we are unable to properly characterize a digital asset or a transaction in such digital asset or assess our tax or other regulatory treatment, we may be subject to regulatory scrutiny, investigations, fines, and other penalties, which may adversely affect our business, operating results, and financial condition.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determine whether a particular digital asset is a security, or whether transactions in that particular digital asset is an offer or sale of a security, prior to supporting purchase and swap transactions on the Arculus Cold Storage Wallet in such digital asset, we rely upon legal and regulatory analysis of legal counsel with expertise in the digital asset industry. While the methodology we have used, and expect to continue to use, to determine if purchase and swap transactions in a digital asset will be supported in the Arculus Cold Storage Wallet is ultimately a risk-based assessment, it does not preclude legal or regulatory action based on the presence, or offer or sale, of a security.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Because the Arculus Cold Storage Wallet may facilitate purchase and swap transactions in digital assets, (whether or not such digital assets may be classified as securities, or transactions in such digital assets may be classified as offers or sales of securities)</w:t>
      </w:r>
      <w:r>
        <w:rPr>
          <w:rFonts w:ascii="Times New Roman;sans-serif" w:hAnsi="Times New Roman;sans-serif"/>
          <w:b w:val="false"/>
          <w:color w:val="000000"/>
          <w:sz w:val="24"/>
        </w:rPr>
        <w:t xml:space="preserve">, </w:t>
      </w:r>
      <w:r>
        <w:rPr>
          <w:rFonts w:ascii="Times New Roman;sans-serif" w:hAnsi="Times New Roman;sans-serif"/>
          <w:b w:val="false"/>
          <w:color w:val="000000"/>
          <w:sz w:val="20"/>
        </w:rPr>
        <w:t>our business may be subject to additional risk because digital assets generally are subject to heightened regulatory scrutiny including under customer protection, anti-money laundering, counter terrorism financing and sanctions regulations. To the extent the Arculus Cold Storage Wallet supports purchase and swap transactions in any digital assets that are determined to be securities, or transactions that are determined to be offers or sales of securities, or we are deemed to have violated other regulatory requirements, whether under any of the laws of the U.S. or another jurisdiction and whether such determinations are made in a proceeding in a court of law or otherwise, it may have adverse consequences. To counter such risks, we may remove Arculus Cold Storage Wallet support for purchase and swap transactions in certain digital assets if and when such digital assets are determined to be securities or transactions in those digital assets are determined to be offers or sales of securities, or we otherwise determine that there is a material risk that such digital assets are likely to be deemed securities, all of which could hurt our business. Alternatively, we may be required to partner with third-party registered securities broker/dealers to facilitate trading by Arculus customers in certain digital assets, where such digital assets are determined to be securities or transactions in those digital assets are determined to be offers or sales of securities, and we may be unsuccessful in efforts to establish such a third-party partnership.</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do not currently intend to effect or otherwise facilitate trading in digital assets which are securities, or any transactions that are offers or sales of securities, by our Arculus customers through the use of our Arculus Cold Storage Wallet if such activities would require the use of a registered broker-dealer, investment adviser, or other similar registered or licensed party. Although we are establishing policies and procedures to ensure that our Arculus business activities do not result in us inadvertently transacting in or facilitating transactions in digital asset securities, to avoid acting as an unregistered broker-dealer, investment adviser, or another role which would require similar registration or licensing, there can be no assurance that such policies and procedures will be effective. If, for example, we were to be accused by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50" name="Frame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relevant regulatory agency as having inadvertently acted as an unregistered broker-dealer with respect to purchase and swap transactions in particular digital assets which are securities or transactions that constitute the offer or sale of securities, we would expect to immediately cease supporting purchase and swap transactions in those digital assets unless and until either (i) the digital asset at issue is determined by the SEC or a judicial ruling to not be a security or transactions in such digital asset are determined by the SEC or a judicial ruling not to constitute an offer or sale of a security, or (ii) our activities otherwise are determined by the SEC or a judicial ruling not to require registration as a broker-dealer, or (iii) we partner with a third-party registered broker-dealer or investment adviser, or (iv) we acquire a registered broker-dealer or investment adviser or register the Company as a securities broker-dealer or investment adviser, any or all of the foregoing we may elect not to do or may not be successful in doing. For any period of time during which we are found to have inadvertently acted as an unregistered broker-dealer, investment adviser, or another role that would require similar licensing or registration, we could be subject to, among other things, regulatory enforcement actions, monetary fines, censure, restrictions on the conduct of our Arculus business operations and/or rescission or other damages claims by customers who use the Arculus Cold Storage Wallet. Our failure to comply with applicable laws or regulations, or the costs associated with defending any action alleging our noncompliance with applicable laws or regulations, could materially and adversely affect us, our business and our results of operations.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We do not believe the storage and peer-to-peer/send &amp; receive functionality provided by the Arculus Cold Storage Wallet</w:t>
      </w:r>
      <w:r>
        <w:rPr>
          <w:color w:val="000000"/>
        </w:rPr>
        <w:t xml:space="preserve"> </w:t>
      </w:r>
      <w:r>
        <w:rPr>
          <w:rFonts w:ascii="Times New Roman;sans-serif" w:hAnsi="Times New Roman;sans-serif"/>
          <w:b w:val="false"/>
          <w:color w:val="000000"/>
          <w:sz w:val="20"/>
        </w:rPr>
        <w:t>involves purchases, sales or other transactions effected by us (or any party other than the sender and the recipient). Further, we are not compensated for such user-directed activities. However, it is possible that regulators may determine that user-directed peer-to-peer transfers using the Arculus Cold Storage Wallet would require registration and compliance with broker-dealer and/or securities exchange regulations.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Regulatory Risks of Operating as an Unregistered Exchange or as Part of an Unregistered Exchange Mechanism</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Any venue that brings together purchasers and sellers of digital assets in the United States ,where such digital assets are securities or transactions in those digital assets constitute offers or sales of securities, generally is subject to registration as a national securities exchange, or must qualify for an exemption, such as by being operated by a registered broker-dealer as an alternative trading system (or ATS). To the extent that any venue accessed via the Arculus Cold Storage Wallet is not so registered (or appropriately exempt), we may be unable to permit continued support for purchase and swap transactions for certain digital assets if such digital assets are securities or transactions in such digital assets constitute offers or sales of securities.</w:t>
      </w:r>
      <w:r>
        <w:rPr>
          <w:color w:val="000000"/>
        </w:rPr>
        <w:t xml:space="preserve"> </w:t>
      </w:r>
      <w:r>
        <w:rPr>
          <w:rFonts w:ascii="Times New Roman;sans-serif" w:hAnsi="Times New Roman;sans-serif"/>
          <w:b w:val="false"/>
          <w:color w:val="000000"/>
          <w:sz w:val="20"/>
        </w:rPr>
        <w:t>In addition, if we are found to be operating an unregistered exchange or as part of an unregistered exchange mechanism, we could be subject to significant monetary penalties, censure or other actions that may have a material and adverse effect on us. While we do not believe that the Arculus Cold Storage Wallet, which facilitates purchase and swap transactions in certain digital assets, is itself a securities exchange or ATS or is part of an unregistered exchange mechanism, regulators may determine that this is the case, and we would then be required to register as a securities exchange or qualify and register as an ATS, either of which could cause us to discontinue our purchase and swap support for such digital assets or otherwise limit or modify Arculus Cold Storage Wallet functionality or access. Notably, in September 2022, the SEC proposed a rule change that would expand the definition of “exchange” and, in April, 2023, following the submission of numerous comment letters concerning the proposed rule change, the SEC reopened the release and comment period for such proposed amendment. In the reopening release, unlike the initial proposal, which did not discuss applicability to digital assets, the SEC expressly confirmed that such proposed rule was intended, among other things, to address transactions in digital assets, including so-called “DeFi” systems. While it is not yet clear whether or in what form such proposed rule change may be adopted, it is possible that a change to the definition of “exchange” could result in regulators determining that the Arculus Cold Storage Wallet is functioning as a securities exchange or ATS or is part of an unregistered exchange mechanism, in which case, the potential registration requirements, or cessation, limitation or other modifications contemplated above could become necessary or advisable. Any such discontinuation, limitation or other modification could negatively impact our business, operating results,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inability to safeguard against misappropriation or infringement of our intellectual property may adversely affect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patents, trade secrets and other intellectual property rights are critical to our business. Our ability to safeguard our proprietary product designs and production processes against misappropriation by third parties is necessary to maintain our competitive position within our industry. Therefore, we routinely enter into confidentiality agreements with our employees, consultants and strategic partners to limit access to, and distribution of, our proprietary information in an effort to safeguard our proprietary rights and trade secrets. However, such efforts may not adequately protect our intellectual property against infringement and misappropriation by unauthorized third parties. Such third parties could interfere with our relationships with customers if successful in attempts to misappropriate our proprietary information or copy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51" name="Frame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products designs, or portions thereof. Additionally, because some of our customers purchase products on a purchase order basis and not pursuant to a detailed written contract, where we do not have the benefit of written protections with respect to certain intellectual property terms beyond standard terms and conditions, we may be exposed to potential infringement of our intellectual property rights. Enforcing our intellectual property rights against unauthorized use may be expensive and cause us to incur significant costs, all of which could adversely affect our business, financial condition and results of operations. There is no assurance that our existing or future patents will not be challenged, invalidated or otherwise circumvented. The patents and intellectual property rights we obtain, including our intellectual property rights which are formally registered in the United States and abroad, may be insufficient to provide meaningful protection or commercial advantage. Moreover, we may have difficulty obtaining additional patents and other intellectual property protections in the future. Effective patent, trademark, service mark, copyright and trade secret protection may not be available in every country in which we provide our products or services. Any of the foregoing factors may have a material adverse effect on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incur substantial costs because of litigation or other proceedings relating to patents and other intellectual property rights.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Companies in our industry have commenced litigation to properly protect their intellectual property rights. Any proceedings or litigation that we initiate to enforce our intellectual property rights, or any intellectual property litigation asserted against us, could be costly and divert the attention of managerial and other personnel and further, could result in an adverse judgement or other determination that could preclude us from enforcing our intellectual property rights or offering some of our products to our customers. Royalty or other payments arising in settlements could negatively impact our profit margins and financial results. If we are unable to successfully defend against claims that we have infringed the intellectual property rights of others, we may need to indemnify some customers and strategic partners related to allegations that our products infringe the intellectual property rights of others. Additionally, some of our customers, suppliers and licensors may not be obligated to indemnify us for the full costs and expenses of defending against infringement claims. We may also be required to defend against alleged infringement of the intellectual property rights of third parties because our products contain technologies properly sourced from suppliers or customers. We may be unable to determine in a timely manner or at all whether such intellectual property use infringes the rights of third parties. Any such litigation or other proceedings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Production quality and manufacturing process disruptions could adversely affect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and our technological processes are highly complex, require specialized equipment to manufacture and are subject to strict tolerances and requirements. We could experience production disruptions due to machinery or technology failures, or as a result of external factors such as delays or quality control issues regarding materials provided by our suppliers. Utilities interruption or other factors beyond our control like natural disasters may also cause production disruptions. Such disruptions can reduce product yields and product quality, or interrupt or halt production altogether. As a result, we may be required to deliver products at a lower quality level in a less timely or cost-effective manner, rework or replace products, or may not be able to deliver products at all. Any such event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dependent on certain distribution partners for distribution of our products and services. A loss of distribution partners could adversely affect our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small number of distribution partners currently deliver a significant percentage of our products and services to customers. We intend to continue devoting resources in support of our distribution partners, but there are no guarantees that these relationships will remain in place over the short-or long-term. In addition, we cannot be assured that any of these distribution partners will continue to generate current levels of customer demand. A loss of any of these distribution partners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face competition that may result in a loss of our market share and/or a decline in profitability.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industry is highly competitive and we expect it to remain highly competitive as competitors cut production costs, new product markets develop, and other competitors attempt to enter the markets in which we operate or new markets in which we may enter. Some of our existing competitors have more sales, greater marketing, more specialized manufacturing, and highly efficient distribution processes. We may also face competition from new competitors that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52" name="Frame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enter our industry or specific product market. Such current or new competitors may develop technologies, processes or products that are better suited to succeed in the marketplace as a result of enhanced features and functionality at lower costs, particularly as technological sophistication of such competitors and the size of the market increase. These factors could lower our average selling prices and reduce gross margins. If we cannot sufficiently reduce our production costs or develop innovative technologies or products, we may not be able to compete effective in our product markets and maintain market share, which could adversely affect our business, financial condition and results of operations.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long-lived assets represent a significant portion of our total assets, and their full value may never be realized.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long-lived assets recorded as of September 30, 2023 were $31.0 million, representing approximately 16% of our total assets, of which we have recorded plant, equipment and leasehold improvements of $23.1 million, as our operations require significant investments in machinery and equipment.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review other long-lived assets for impairment on an as-needed basis and when circumstances, alterations, or other events indicate that an asset group or carrying amount of an asset may not be recoverable. Examples of these other long-lived assets include intangible but identifiable assets and plant, equipment, and leasehold improvements. Such write-downs of long-lived assets may result from a drop in future expected cash flows and worsening performance, among other factors. If we must write-down long-lived assets, we record the appropriate charge, which may adversely affect our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failure to operate our business in compliance with the security standards of the payment card industry or other industry standards applicable to our customers, such as payment networks certification standards, could adversely affect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customers issue their cards on the payment networks that are subject to the security standards of the payment card industry or other standards and criteria relating to product specifications and supplier facility physical and logical security that we must satisfy in order to be eligible to supply products and services to such customers. Our contractual arrangements with our customers may be terminated if we fail to comply with these standards and criteria.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make significant investments to our facilities in order to meet these industry standards, including investments required to satisfy changes adopted from time to time in industry standards. We may become ineligible to provide products and services to our customers if we are unable to continue to meet these standards. Many of the products we produce and services we provide are subject to certification with one or more of the payment networks. We may lose the ability to produce cards for or provide services to banks issuing credit or debit cards on the payment networks if we were to lose our certification from one or more of the payment networks or payment card industry certification for one or more of our facilities. If we are not able to produce cards for or provide services to any or all of the issuers issuing debit or credit cards on such payment networks, we could lose a substantial number of our customers, which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As consumers and businesses spend less, our business, operation outcomes, and financial state may be adversely affected.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Companies that rely heavily on consumer and business spending are exposed to changing economic conditions and are impacted by changes in consumer confidence, consumer spending, discretionary income levels or consumer purchasing habits. A continuous decline in general economic conditions, particularly in the United States, or increases in interest rates, may reduce demand for our products, which could negatively impact our sales. An economic downturn could cause credit card issuers to switch card programs to plastic cards, seek lower-priced metal hybrid card suppliers, reduce credit limits, close accounts, and become more selective with respect to whom they issue credit cards. Such conditions and potential outcomes could adversely affect our financial performance, business,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Product liability and warranty claims and their associated costs may adversely affect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nature of our products is highly complex. As a result, we cannot guarantee that defects will not occur from time to time. We may incur extensive costs as a result of these defects and any resulting claims. For example, product recalls, writing down defective inventory, replacing defective items, lost sales or profits, and third-party claims can all give rise to costs incurred by us. We may also face liability for judgments and/or damages in connection with product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3"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warranty claims. Damage to our reputation could occur if defective products are sold into the marketplace, which could result in further lost sales and profits. To the extent that we rely on purchase orders to govern our commercial relationships with our customers, we may not have specifically negotiated the allocation of risk for product liability obligations. Instead, we typically rely on warranties and limitations of liability included in our standard forms of order acceptance, invoice and other contract documents with our customers. Similarly, we obtain products and services from suppliers, some of which also use purchase order documents which may include limitations on product liability obligations with respect to their products and services. As a result, we may bear all or a significant portion of any product liability obligations rather than transferring this risk to our customers. Our reputation would be harmed and there could be a material adverse effect on our business, financial condition and results of operations if any of these risks materialize.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tariffs and other restrictions on imported goods are imposed by the U.S. government, our revenue and operations may be materially and adversely affected.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portion of the raw materials used by us to manufacture our products are obtained, directly or indirectly, from companies located outside of the United States. Recently, tariffs have been imposed on imports from certain countries outside of the United States. As a result, further trade restrictions and/or tariffs may be forthcoming. Certain international trade agreements may also be at risk, as the current U.S. administration has voiced some opposition in respect thereof. These factors may stagnate the economy, impact relationships with and access to suppliers, and/or materially and adversely affect our business, financial condition and results of operations. These and future tariffs, as well as any other global trade developments, bring with them uncertainty. We cannot predict future changes to imports covered by tariffs or which countries will be included or excluded from such tariffs. The reactions of other countries and resulting actions on the United States and similarly situated companies could negatively impact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international sales subject us to additional risks that can adversely affect our business, operating results and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each of 2022 and 2021, we derived 22% and 18% of our revenue from sales to customers located outside the U.S. Our ability to convince customers to expand their use of our products or renew their agreements with us are directly correlated to our direct engagement with such customers. To the extent that we are unable to engage with non-U.S. customers effectively, we may be unable to grow sales to international customers to the same degree we have experienced in the past.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international operations subject it to a variety of risks and challenges, including: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color w:val="000000"/>
        </w:rPr>
      </w:pPr>
      <w:r>
        <w:rPr>
          <w:color w:val="000000"/>
        </w:rPr>
        <w:t>•    </w:t>
      </w:r>
      <w:r>
        <w:rPr>
          <w:rFonts w:ascii="Times New Roman;sans-serif" w:hAnsi="Times New Roman;sans-serif"/>
          <w:b w:val="false"/>
          <w:color w:val="000000"/>
          <w:sz w:val="20"/>
        </w:rPr>
        <w:t>fluctuations in currency exchange rates and related effect on our operating results;</w:t>
      </w:r>
    </w:p>
    <w:p>
      <w:pPr>
        <w:pStyle w:val="TextBody"/>
        <w:bidi w:val="0"/>
        <w:spacing w:lineRule="auto" w:line="288" w:before="0" w:after="0"/>
        <w:ind w:left="0" w:right="0" w:firstLine="720"/>
        <w:jc w:val="left"/>
        <w:rPr>
          <w:color w:val="000000"/>
        </w:rPr>
      </w:pPr>
      <w:r>
        <w:rPr>
          <w:color w:val="000000"/>
        </w:rPr>
        <w:t>•    </w:t>
      </w:r>
      <w:r>
        <w:rPr>
          <w:rFonts w:ascii="Times New Roman;sans-serif" w:hAnsi="Times New Roman;sans-serif"/>
          <w:b w:val="false"/>
          <w:color w:val="000000"/>
          <w:sz w:val="20"/>
        </w:rPr>
        <w:t>general economic and geopolitical conditions in each country or region;</w:t>
      </w:r>
    </w:p>
    <w:p>
      <w:pPr>
        <w:pStyle w:val="TextBody"/>
        <w:bidi w:val="0"/>
        <w:spacing w:lineRule="auto" w:line="288" w:before="0" w:after="0"/>
        <w:ind w:left="0" w:right="0" w:firstLine="720"/>
        <w:jc w:val="left"/>
        <w:rPr>
          <w:color w:val="000000"/>
        </w:rPr>
      </w:pPr>
      <w:r>
        <w:rPr>
          <w:color w:val="000000"/>
        </w:rPr>
        <w:t>•    </w:t>
      </w:r>
      <w:r>
        <w:rPr>
          <w:rFonts w:ascii="Times New Roman;sans-serif" w:hAnsi="Times New Roman;sans-serif"/>
          <w:b w:val="false"/>
          <w:color w:val="000000"/>
          <w:sz w:val="20"/>
        </w:rPr>
        <w:t>the impact of Brexit; reduction in billings, foreign currency exchange rates, and trade with the EU;</w:t>
      </w:r>
    </w:p>
    <w:p>
      <w:pPr>
        <w:pStyle w:val="TextBody"/>
        <w:bidi w:val="0"/>
        <w:spacing w:lineRule="auto" w:line="288" w:before="0" w:after="0"/>
        <w:ind w:left="0" w:right="0" w:firstLine="720"/>
        <w:jc w:val="left"/>
        <w:rPr>
          <w:color w:val="000000"/>
        </w:rPr>
      </w:pPr>
      <w:r>
        <w:rPr>
          <w:color w:val="000000"/>
        </w:rPr>
        <w:t>•    </w:t>
      </w:r>
      <w:r>
        <w:rPr>
          <w:rFonts w:ascii="Times New Roman;sans-serif" w:hAnsi="Times New Roman;sans-serif"/>
          <w:b w:val="false"/>
          <w:color w:val="000000"/>
          <w:sz w:val="20"/>
        </w:rPr>
        <w:t>the effects of a widespread outbreak of an illness or disease, or any other public health crisis,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including the COVID-19 pandemic, in each country or region;</w:t>
      </w:r>
    </w:p>
    <w:p>
      <w:pPr>
        <w:pStyle w:val="TextBody"/>
        <w:bidi w:val="0"/>
        <w:spacing w:lineRule="auto" w:line="288" w:before="0" w:after="0"/>
        <w:ind w:left="0" w:right="0" w:firstLine="720"/>
        <w:jc w:val="left"/>
        <w:rPr>
          <w:color w:val="000000"/>
        </w:rPr>
      </w:pPr>
      <w:r>
        <w:rPr>
          <w:color w:val="000000"/>
        </w:rPr>
        <w:t>•    </w:t>
      </w:r>
      <w:r>
        <w:rPr>
          <w:rFonts w:ascii="Times New Roman;sans-serif" w:hAnsi="Times New Roman;sans-serif"/>
          <w:b w:val="false"/>
          <w:color w:val="000000"/>
          <w:sz w:val="20"/>
        </w:rPr>
        <w:t>economic uncertainty around the world; and</w:t>
      </w:r>
    </w:p>
    <w:p>
      <w:pPr>
        <w:pStyle w:val="TextBody"/>
        <w:bidi w:val="0"/>
        <w:spacing w:lineRule="auto" w:line="288" w:before="0" w:after="0"/>
        <w:ind w:left="0" w:right="0" w:firstLine="720"/>
        <w:jc w:val="left"/>
        <w:rPr>
          <w:color w:val="000000"/>
        </w:rPr>
      </w:pPr>
      <w:r>
        <w:rPr>
          <w:color w:val="000000"/>
        </w:rPr>
        <w:t>•    </w:t>
      </w:r>
      <w:r>
        <w:rPr>
          <w:rFonts w:ascii="Times New Roman;sans-serif" w:hAnsi="Times New Roman;sans-serif"/>
          <w:b w:val="false"/>
          <w:color w:val="000000"/>
          <w:sz w:val="20"/>
        </w:rPr>
        <w:t xml:space="preserve">compliance with U.S. laws and regulations imposed by other countries on foreign operations,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including the Foreign Corrupt Practices Act, the U.K. Bribery Act, import and export control laws,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tariffs, trade barriers, economic sanctions and other regulatory or contractual limitations on our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ability to sell our products in certain foreign markets, and the risks and costs of non-compliance.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in response to the rapidly developing conflict between Russia and Ukraine, the United States has imposed and may further impose, and other countries may additionally impose, broad sanctions or other restrictive actions against governmental and other entities in Russia. We presently produce metal credit cards for a distributor that distributes such cards for resale by a Russian-based bank. While the existing sanctions do not currently prohibit the production and sale of our metal credit cards to this customer, additional sanctions may be imposed in the future that could prevent us from selling to this customer or other customers in the affected regions. Additionally, further escalation of geopolitical tensions, such as the evolving conflict in Israel, Gaza and the surrounding areas, could have a broader impact that extends into other markets where we do business. Any of these risks could adversely affect our international sales, reduce our international revenues or increase our operating costs, adversely affecting our business, financial condition and operating results.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4"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rely on licensing arrangements in production and other fields, and actions taken by any of our licensing partners could have a material adverse effect on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products integrate third-party technologies that we license or otherwise obtain the right to use. We have entered into licensing agreements that provide access to technology owned by third parties. The terms of our licensing arrangements vary. These different terms could have a negative impact on our performance to the extent new or existing licensees demand a greater proportion of royalty revenues under our licensing arrangements. Additionally, such third parties may not continue to renew their licenses with us on similar terms or at all, which could negatively impact our net sales. If we are unable to continue to successfully renew these agreements, we may lose our access to certain technologies relied upon to develop certain of our products. The loss of access to those technologies, if not replaced with internally-developed or other licensed technology, could have a material adverse effect on our business and result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adoption of new tax legislation could affect our financial performance.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and other taxes in the United States. Our effective tax rate in the future could be adversely affected by changes in tax laws. More generally, it is possible that U.S. federal income or other tax laws or the interpretation of tax laws will change. For example, the Biden Administration has proposed an increase in the U.S. corporate income tax rate and a minimum corporate tax based on book income. It is difficult to predict whether and when there will be tax law changes having a material adverse effect on our business, financial condition, results of operations and cash flows.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the Tax Receivable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only significant asset is our ownership interest in Holdings and such ownership may not be sufficient to pay dividends or make distributions or loans to enable us to pay any dividends on our Common Stock or satisfy our other financial obligations, including our obligations under the Tax Receivable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no direct operations and no significant assets other than our ownership interest in Holdings. We will depend on Holdings for distributions, loans and other payments to generate the funds necessary to meet our financial obligations, including our expenses as a publicly traded company, to pay any dividends with respect to our Common Stock, and to satisfy our obligations under the Tax Receivable Agreement. The financial condition and operating requirements of Holdings may limit our ability to obtain cash from Holdings. The earnings from, or other available assets of, Holdings may not be sufficient to pay dividends or make distributions or loans to enable us to pay any dividends on our Common Stock or satisfy our other financial obligations, including our obligations under the Tax Receivable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 required to pay certain Holders for most of the benefits relating to any additional tax depreciation or amortization deductions that we may claim.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merger with Roman DBDR Tech Acquisition Corp. ("Roman") completed in December 2021 (the "Business Combination"), we entered into the Tax Receivable Agreement with Holdings and the TRA Parties (as defined therein). The Tax Receivable Agreement will provide for the payment by us to certain Holders of 90% of the benefits, if any, that we are deemed to realize (calculated using certain assumptions) as a result of (i) our allocable share of existing tax basis in the assets of Holdings and its subsidiaries acquired (A) in the Business Combination and (B) upon sales or exchanges of Holdings Units pursuant to the Exchange Agreement after the Business Combination, (ii) certain increases in tax basis that occur as a result of (A) the Business Combination and (B) sales or exchanges of Holdings Units pursuant to the Exchange Agreement after the Business Combination, and (iii) certain other tax benefits, including tax benefits attributable to payments under the Tax Receivable Agreement. These tax attributes may increase (for tax purposes) our depreciation and amortization deductions and, therefore, may reduce the amount of tax that we would otherwise be required to pay in the future, although the IRS may challenge all or part of the validity of such tax attributes, and a court could sustain such a challenge. Such tax basis may also decrease gains (or increase losses) on future dispositions of certain capital assets to the extent tax basis is allocated to those capital assets. Actual tax benefits realized by us may differ from tax benefits calculated under the Tax Receivable Agreement as a result of the use of certain assumptions in the Tax Receivable Agreement, including the use of an assumed weighted- average state and local income tax rate to calculate tax benefits. The payment obligations under the Tax Receivable Agreement are an obligation of ours, but not of Holdings. We expect to benefit from the remaining 10% of realized cash tax benefits. While the amount of existing tax basis, the anticipated tax basis adjustments, and the actual amount and utilization of tax attributes, as well as the amount and timing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5"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any payments under the Tax Receivable Agreement, will vary depending upon a number of factors, including the timing of exchanges, the price of shares of our Class A Common Stock at the time of exchanges, and the amount and timing of our income, we expect that as a result of the size of the transfers and increases in the tax basis of the tangible and intangible assets of Holdings and our possible utilization of tax attributes, the payments that Holdings, Inc. may make under the Tax Receivable Agreement will be substantial. The payments under the Tax Receivable Agreement are not conditioned upon continued ownership of us by the exchanging holders of Class B Units. See “Certain Relationships and Related Person Transactions of the Company — Tax Receivable Agreement.”</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 certain cases, payments under the Tax Receivable Agreement may be accelerated and/or significantly exceed the actual benefits we realize in respect of the tax attributes subject to the Tax Receivable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payment obligations under the Tax Receivable Agreement may be accelerated in the event of certain changes of control and will be accelerated in the event it elects to terminate the Tax Receivable Agreement early. The accelerated payments will relate to all relevant tax attributes that would subsequently be available to us. The accelerated payments required in such circumstances will be calculated by reference to the present value (at a discount rate equal to the lesser of (i) 6.5% per annum and (ii) one year LIBOR, or its successor rate, plus 100 basis points) of all future payments that holders of Holdings Class B Units or other recipients would have been entitled to receive under the Tax Receivable Agreement, and such accelerated payments and any other future payments under the Tax Receivable Agreement will utilize certain valuation assumptions, including that we will have sufficient taxable income to fully utilize the deductions arising from the increased tax deductions and tax basis and other benefits related to entering into the Tax Receivable Agreement and sufficient taxable income to fully utilize any remaining net operating losses subject to the Tax Receivable Agreement on a straight line basis over the shorter of the statutory expiration period for such net operating losses and the five-year period after the early termination or change of control. In addition, recipients of payments under the Tax Receivable Agreement will not reimburse us for any payments previously made under the Tax Receivable Agreement if such tax basis and our utilization of certain tax attributes is successfully challenged by the IRS (although any such detriment would be taken into account in future payments under the Tax Receivable Agreement). Our ability to achieve benefits from any existing tax basis, tax basis adjustments or other tax attributes, and the payments to be made under the Tax Receivable Agreement, will depend upon a number of factors, including the timing and amount of our future income. As a result, even in the absence of a change of control or an election to terminate the Tax Receivable Agreement, payments under the Tax Receivable Agreement could be in excess of 90% of our actual cash tax benefits.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it is possible that the actual cash tax benefits realized by us may be significantly less than the corresponding Tax Receivable Agreement payments or that payments under the Tax Receivable Agreement may be made years in advance of the actual realization, if any, of the anticipated future tax benefits. There may be a material negative effect on our liquidity if the payments under the Tax Receivable Agreement exceed the actual cash tax benefits that we realize in respect of the tax attributes subject to the Tax Receivable Agreement and/or payments to us by Holdings are not sufficient to permit us to make payments under the Tax Receivable Agreement after it has paid taxes and other expenses. We may need to incur additional indebtedness to finance payments under the Tax Receivable Agreement to the extent our cash resources are insufficient to meet our obligations under the Tax Receivable Agreement as a result of timing discrepancies or otherwise, and these obligations could have the effect of delaying, deferring, or preventing certain mergers, asset sales, other forms of business combinations, or other changes of control.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acceleration of payments under the Tax Receivable Agreement in the case of certain changes of control may impair our ability to consummate change of control transactions or negatively impact the value received by owners of our Class A Common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case of certain changes of control, payments under the Tax Receivable Agreement may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adopted under the Tax Receivable Agreement in the case of a change of control may impair our ability to consummate change of control transactions or negatively impact the value received by owners of our Class A Common Stock in a change of control transaction.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In certain circumstances, Holdings will be required to make pro rata distributions to both the Class A and Class B unit holders with respect to the taxes of its holders, and the distributions that Holdings will be required to make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6"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substantial and in excess of our tax liabilities and obligations under the Tax Receivable Agreement. To the extent we do not distribute such excess cash to the holders of our Class A Common Stock or contribute such excess cash to Holdings in exchange for the issuance of additional Class A Units and a corresponding stock dividend of Class A Common Stock to the holders of our Class A Common Stock, the holders of Class B Units of Holdings would benefit from any value attributable to such cash balances as a result of their ownership of Class A Common Stock following an exchange of their Class B Units.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Holdings is treated as a partnership for U.S. federal income tax purposes and, as such, is not subject to any entity-level U.S. federal income tax. Instead, taxable income is allocated to holders of Holdings’ equity interests, including us. Accordingly, we incur income taxes on our allocable share of any net taxable income of Holdings. Under the Holdings Second Amended and Restated LLC Agreement, Holdings is generally required from time to time to make pro rata distributions in cash to us and the holders of Class B Units of Holdings in amounts that are intended to be sufficient to cover the taxes on our and the other holders of Class B Units of Holdings respective allocable shares of the taxable income of Holdings, based on certain assumptions contained in the Holdings Second Amended and Restated LLC Agreement. As a result of (i) potential differences in the amount of net taxable income allocable to us and the holders of Class B Units of Holdings, (ii) the lower tax rate applicable to corporations as compared to individuals and (iii) the favorable tax benefits that we anticipate receiving from acquisitions of Class B Units in connection with taxable exchanges of Class B Units for shares of our Class A Common Stock, we expect that these tax distributions will be in amounts that exceed our tax liabilities and obligations to make payments under the Tax Receivable Agreement. Our Board will determine the appropriate uses for any excess cash so accumulated, which may include, among other uses, any potential dividends, the payment of obligations under the Tax Receivable Agreement and the payment of other expenses. We have no obligation to distribute such cash (or other available cash other than any declared dividend) to our stockholders. No adjustments to the exchange ratio of Class B Units for shares of Class A Common Stock will be made as a result of either (i) any cash distribution by Holdings or (ii) any cash that we retain and do not distribute to our stockholders. To the extent that we do not distribute such excess cash as dividends on our Class A Common Stock or contribute such excess cash to Holdings in exchange for the issuance of additional Class A Units and a corresponding stock dividend of Class A Common Stock to the holders of our Class A Common Stock, and instead, for example, hold such cash balances or lend them to Holdings, the holders of Class B Units of Holdings would benefit from any value attributable to such cash balances as a result of their ownership of Class A Common Stock following an exchange of their Class B Units.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Our Indebtedness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a substantial amount of indebtedness, which may limit our operating flexibility and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had approximately $363.1 million of indebtedness as of December 31, 2022, consisting of amounts outstanding under our senior secured credit facility and senior notes.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indebtedness could have important consequences to our investors, including, but not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increasing our vulnerability to, and reducing our flexibility to respond to, general adverse economic and industry conditions;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requiring the dedication of a substantial portion of our cash flow from operations to servicing debt, including interest payments and annual excess cash flow prepayment obligations;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limiting our flexibility in planning for, or reacting to, changes in our business and the competitive environment;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limiting our ability to borrow additional funds and increasing the cost of any such borrowing.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interest rates in our credit facility are set based upon stated margins above lender’s base rate and the SOFR, an interest rate at which banks can borrow funds, which is subject to fluctuation. In addition, the interest rate margin applicable to our term loans and revolving loans can vary by one hundred (100) basis points depending on our total leverage ratio. An increase in interest rates would adversely affect our profitability.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7"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Upon the occurrence of an event of default relating to our credit facility, the lenders could elect to accelerate payments due and terminate all commitments to extend further credit.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our credit facility, upon the occurrence of an event of default, the lenders will be able to elect to declare all amounts outstanding under the credit agreement to be immediately due and payable and terminate all commitments to lend additional funds. If we are unable to repay those amounts, the lenders under the credit agreement could proceed to foreclose against our collateral that secures that indebtedness. We have granted the lenders a security interest in substantially all of our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debt outstanding under our existing credit facility has a variable rate of interest that is based on the SOFR which may have consequences for us that cannot be reasonably predicted and may increase our cost of borrowing in the future.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2021, the U.K.’s Financial Conduct Authority, a regulator of financial services firms and financial markets in the U.K., stated that it will plan for a phase out of regulatory oversight of London Interbank Offered Rate (“LIBOR”) interest as of December 31, 2021. In the U.S., the Alternative Reference Rates Committee, a committee convened by the Federal Reserve Board and the Federal Reserve Bank of New York, recommended SOFR plus a recommended spread adjustment as LIBOR's replacement. LIBOR and SOFR have significant differences. For example, LIBOR is an unsecured lending rate and SOFR is a secured lending rate, and SOFR is an overnight rate while LIBOR reflects term rates at different maturities. SOFR interest rates may introduce additional basis risk for market participants as an alternative index is utilized along with LIBOR. On February 28, 2023, we amended our credit facility to transition from bearing interest based on LIBOR to SOFR. The future performance of SOFR cannot be predicted based on historical performance and the future level of SOFR may have little or no relation to historical levels of SOFR. Any patterns in market variable behaviors, such as correlations, may change in the future. Hypothetical or historical performance data are not indicative of, and have no bearing on, the potential performance of SOFR. The Company is not able to predict whether SOFR what the impact the transition to SOFR may be on the Company's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credit facility contains restrictive covenants that may impair our ability to conduct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credit facility contains operating covenants and financial covenants that may in each case limit management’s discretion with respect to certain business matters. We must comply with a maximum senior secured leverage ratio and a minimum debt service coverage ratio. Among other things, these covenants restrict our and our subsidiaries’ ability to grant additional liens, consolidate or merge with other entities, purchase or sell assets, declare dividends, incur additional debt, make advances, investments and loans, transact with affiliates, issue equity interests, modify organizational documents and engage in other business. As a result of these covenants and restrictions, we will be limited in how we conduct our business and we may be unable to raise additional debt or other financing to compete effectively or to take advantage of new business opportunities. The terms of any future indebtedness we may incur could include more restrictive covenants. Failure to comply with such restrictive covenants may lead to default and acceleration under our credit facility and may impair our ability to conduct business. We may not be able to maintain compliance with these covenants in the future and, if we fail to do so, that we will be able to obtain waivers from the lenders and/or amend the covenants, which may result in foreclosure of our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5 of Notes to Consolidated Financial Statements in the Unaudited Consolidated Financial Statements of the Company in this report for additional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guarantees of indebtedness and liabilities could limit the cash flow available for our operations, expose us to risks that could adversely affect our business, financial condition and results of operations and impair our ability to satisfy our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Holdings issued the Exchangeable Notes that are exchangeable into shares of our Class A Common Stock at a conversion price of $11.50 per share. The Exchangeable Notes are guaranteed by CompoSecure, L.L.C. Our guarantees of indebtedness could have significant negative consequences for our security holders, equity holders and our business, results of operations and financial condition by, among other things: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increasing our vulnerability to adverse economic and industry conditions;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8" name="Frame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limiting our ability to obtain additional financing;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requiring the dedication of a substantial portion of our cash flow from operations to service our guarantees of indebtedness, which reduces the amount of cash available for other purposes;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limiting our flexibility to plan for, or react to, changes in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diluting the interests of our stockholders as a result of the issuance shares of our Class A Common Stock upon conversion of the Exchangeable Notes;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placing us at a possible competitive disadvantage with competitors that are less leveraged than us or have better access to capital.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may not generate sufficient funds, and we may otherwise be unable to maintain sufficient cash reserves, to pay amounts that may become due under our guarantees of indebtedness, including in connection with the Exchangeable Notes, and our cash needs may increase in the future. In addition, any future indebtedness or guarantees of indebtedness that we may incur may contain financial and other restrictive covenants that limit our ability to operate our business, raise capital or make payments under our other indebtedness. If we fail to comply with these covenants or to make payments under our guarantees of indebtedness if and when due, then we could be in default under those guarantees of indebtedness, which could, in turn, result in that and our other indebtedness becoming immediately payable in full.</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Risks Related to Ownership of our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only significant asset will be our ownership of our subsidiaries’ business. If the business of our subsidiaries is not profitably operated, we may be unable to pay us dividends or make distributions to enable us to pay any dividends on our common stock or satisfy our other financial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CompoSecure, Inc. has no direct operations and no significant assets other than the ownership of its subsidiaries, which operate the Company’s business. CompoSecure, Inc. will depend on profits generated by its subsidiaries’ business for debt repayment and other payments to generate the funds necessary to meet its financial obligations, including its expenses as a publicly traded company, to pay any dividends with respect to its capital stock and to make distributions. Legal and contractual restrictions in agreements governing the indebtedness of the Company or its subsidiaries, as well as their financial condition and operating requirements, may limit the ability of our subsidiaries to make distributions to the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Provisions in our Charter and Delaware law may inhibit a takeover of us, which could limit the price investors might be willing to pay in the future for our Class A Common Stock and could entrench management.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Charter contains provisions that may discourage unsolicited takeover proposals that stockholders may consider to be in their best interests. These provisions include the classification of our Board, the ability of our Board to designate the terms of and issue new series of preferred shares, which may make more difficult the removal of management and may discourage transactions that otherwise could involve payment of a premium over prevailing market prices for our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while we have opted out of Section 203 of the DGCL, our charter contains similar provisions providing that we may not engage in certain “business combinations” with any “interested stockholder” for a three-year period following the time that the stockholder became an interested stockholder, unless: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prior to such time, our Board approved either the business combination or the transaction that resulted in the stockholder becoming an interested stockholder;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upon consummation of the transaction that resulted in the stockholder becoming an interested stockholder, the interested stockholder owned at least 85% of our voting stock outstanding at the time the transaction commenced, excluding certain shares; or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9" name="Frame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at or subsequent to that time, the business combination is approved by our Board and by the affirmative vote of holders of at least two-thirds of our outstanding voting stock that is not owned by the interested stockholder.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anti-takeover defenses could discourage, delay or prevent a transaction involving a change in control of the Company. These provisions could also discourage proxy contests and make it more difficult for you and other stockholders to elect directors of your choosing and cause us to take corporate actions other than those you desire.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 unable to satisfy the Nasdaq listing requirements in the future, which could limit investors’ ability to effect transactions in our securities and subject us to additional trading restrictions.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be unable to maintain the listing of our securities on Nasdaq in the future. If our securities are delisted from Nasdaq, there could be significant material adverse consequences,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limited availability of market quotations for our securities;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limited amount of news and analyst coverage about the Company;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decreased ability to obtain capital or pursue acquisitions by issuing additional equity or convertible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will incur significant costs and obligations as a result of being a public company.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new public company, we will incur significant legal, accounting, insurance and other expenses. These expenses will increase once we are no longer an “emerging growth company” as defined under the Jumpstart Our Business Startups Act of 2012, or the JOBS Act. In addition, new and changing laws, regulations and standards relating to corporate governance and public disclosure for public companies, including Dodd Frank, the Sarbanes-Oxley Act, regulations related hereto and the rules and regulations of the SEC and Nasdaq, have increased the costs and the time that must be devoted to compliance matters. We expect these rules and regulations will increase our legal and financial costs and lead to a diversion of management time and attention from revenue-generating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as long as we remain an “emerging growth company” as defined in the JOBS Act, we may take advantage of certain exemptions from various reporting requirements that are applicable to other public companies that are not “emerging growth companies.” We may remain an “emerging growth company” for up to five years from the consummation of our initial public offering or until such earlier time that we have $1.23 billion or more in annual revenues, have more than $700.0 million in market value of our common stock held by non-affiliates, or issue more than $1.0 billion of non-convertible debt over a three-year period. To the extent we choose not to use exemptions from various reporting requirements under the JOBS Act, or if we no longer can be classified as an “emerging growth company,” we expect that we will incur additional compliance costs, which will reduce our ability to operate profitably.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As an “emerging growth company,” we cannot be certain if the reduced disclosure requirements applicable to “emerging growth companies” will make our common stock less attractive to investors.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an “emerging growth company,” we may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emerging growth company can take advantage of an extended transition period for complying with new or revised accounting standards, which we have elected to do.</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predict if investors will find our securities less attractive because we will rely on these exemptions. If some investors find our securities less attractive as a result, there may be a less active market for our securities, our share price may be more volatile and the price at which our securities trade could be less than if we did not use these exemptions.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60" name="Frame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we do not properly maintain and implement all required accounting practices and policies, including new accounting practices and policies, as applicable, we may be unable to provide the financial information required of a United States publicly traded company in a timely and reliable manner.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to implement and maintain the financial reporting and disclosure procedures and controls required of a United States publicly traded company. If we fail to properly maintain and implement all required accounting practices and policies, including new accounting practices and policies, as applicable, or maintain effective internal controls and procedures and disclosure procedures and controls, we may be unable to provide financial information and required SEC reports that are timely and reliable. Any such delays or deficiencies could harm us, including by limiting our ability to obtain financing, either in the public capital markets or from private sources or by damaging our reputation, which in either case, could impede our ability to implement our growth strategy. In addition, any such delays or deficiencies could result in our failure to meet the requirements for continued listing of our securities on Nasdaq.</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our operating performance does not meet market expectations, the price of our securities may decline.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Fluctuations in the price of our securities could contribute to the loss of all or part of your investment. Prior to the Business Combination, there was no public market for Holdings’ equity. Accordingly, the valuation that was ascribed to Holdings’ equity in the Business Combination may not be indicative of the price that will prevail in the trading market following the Business Combination. If an active market for our securities develops and continues, the trading price of our securities following the Business Combination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Factors affecting the trading price of our securities may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actual or anticipated fluctuations in our quarterly financial results or the quarterly financial results of companies perceived to be similar to us;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the market’s expectations about our operating results;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success of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operating results failing to meet market expectations in a particular period;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financial estimates and recommendations by securities analysts concerning us or the financial payment card and digital asset industries and markets in general;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operating and stock price performance of other companies that investors deem comparable to us;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market new and enhanced products on a timely basis;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laws and regulations affecting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commencement of, or involvement in, litigation involving us;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our capital structure, such as future issuances of securities or the incurrence of additional debt;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volume of shares of our securities available for public sale;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significant change in our board or management;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sales of substantial amounts of our securities by our directors, executive officers or significant stockholders or the perception that such sales could occur;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general global economic and political conditions such as recessions, interest rates, fuel prices, international currency fluctuations and acts of war or terrorism.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61"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Broad market and industry factors may depress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financial technology stocks or the stocks of other companies which investors perceive to be similar to us could depress our securities prices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Public Warrants and the Resale Warrants may never be in the money, and they may expire worthless.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exercise price for our Public Warrants and Resale Warrants is $11.50 per share, which exceeds the market price of our Class A Common Stock, which was $5.97 per share based on the closing price on November 2, 2023. There can be no assurance that the Public Warrants and Resale Warrants will ever be in the money prior to their expiration and, as such, the Public Warrants and Resale Warrants may expire worthless.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terms of our Warrants may be amended in a manner that may be adverse to the holders. The warrant agreement between Continental Stock Transfer &amp; Trust Company, as warrant agent, and us provides that the terms of the Warrants may be amended without the consent of any holder to cure any ambiguity or correct any defective provision, but requires the approval by the holders of a majority of the then outstanding Public Warrants to make any change that adversely affects the interests of the registered holders. Accordingly, we may amend the terms of the Warrants in a manner adverse to a holder if holders of at least a majority of the then outstanding Public Warrants approve of such amendment. Our ability to amend the terms of the Warrants with the consent of at least a majority of the then outstanding Public Warrants is unlimited. Examples of such amendments could be amendments to, among other things, increase the exercise price of the Warrants, shorten the exercise period or decrease the number of shares of our common stock purchasable upon exercise of a Warrant.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redeem your unexpired Warrants prior to their exercise at a time that is disadvantageous to you, thereby making your Warrants worthless.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the ability to redeem outstanding Warrants (excluding any Resale Warrants held by Roman DBDR Tech Sponsor, LLC ("Roman Sponsor") or their permitted transferees) at any time after they become exercisable and prior to their expiration, at $0.01 per warrant, provided that the last reported sales price (or the closing bid price of our common stock in the event the shares of our common stock are not traded on any specific trading day) of the common stock equals or exceeds $18.00 per share on each of 20 trading days within the 30 trading-day period ending on the third business day prior to the date on which we send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a Warrant holder: (i) to exercise such holder's Warrants and pay the exercise price therefore at a time when it may be disadvantageous for the holder to do so, (ii) to sell the holder's Warrants at the then-current market price when such holder might otherwise wish to hold the Warrants or (iii) to accept the nominal redemption price which, at the time the outstanding Warrants are called for redemption, could be substantially less than the market value of the Warrants.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Warrants to purchase our Class A Common Stock are presently exercisable, which could increase the number of shares of Class A Common Stock eligible for future resale in the public market and result in dilution to our stockholders.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Outstanding Warrants to purchase an aggregate of 22,415,400 shares of our common stock are exercisable in accordance with the terms of the warrant agreement governing those securities. Each Warrant entitles its holder to purchase one share of our common stock at an exercise price of $11.50 per share and will expire at 5:00 p.m., New York time, on December 27, 2026 or earlier upon redemption of our Class A Common Stock or our liquidation. To the extent Warrants are exercised, additional shares of our Class A Common Stock will be issued, which will result in dilution to our then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2"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existing stockholders and increase the number of shares of Class A Common Stock eligible for resale in the public market. Sales of substantial numbers of such shares in the public market could depress the market price of our securities.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not be able to timely and effectively implement controls and procedures required by Section 404 of the Sarbanes-Oxley Act of 2002, which could have a material adverse effect on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to provide management’s attestation on internal controls. The standards required for a public company under Section 404 of the Sarbanes-Oxley Act are significantly more stringent than those previously required of Holdings as a privately-held company. Management may not be able to effectively and timely implement controls and procedures that adequately respond to the increased regulatory compliance and reporting requirements that are applicable to us as a public company. If we are not able to implement the additional requirements of Section 404 in a timely manner or with adequate compliance, we may not be able to assess whether our internal controls over financial reporting are effective, which may subject us to adverse regulatory consequences and could harm investor confidence and lead to a decrease in the market price of our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Pursuant to the JOBS Act, our independent registered public accounting firm will not be required to attest to the effectiveness of our internal control over financial reporting pursuant to Section 404 of the Sarbanes-Oxley Act for so long as we are an “emerging growth company.”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Section 404 of the Sarbanes-Oxley Act requires annual management assessments of the effectiveness of our internal control over financial reporting, and generally requires in the same report a report by our independent registered public accounting firm on the effectiveness of our internal control over financial reporting. However, under the JOBS Act, our independent registered public accounting firm will not be required to attest to the effectiveness of our internal control over financial reporting pursuant to Section 404 of the Sarbanes-Oxley Act until we are no longer an “emerging growth company.” We will be an “emerging growth company” until the earlier of (1) the last day of the fiscal year (a) following November 10, 2025, the fifth anniversary of the consummation of our initial public offering, (b) in which we have total annual gross revenue of at least $1.23 billion or (c) in which we are deemed to be a large accelerated filer, which means the market value of our common stock that is held by non-affiliates exceeds $700 million as of the last business day of our prior second fiscal quarter, and (2) the date on which we have issued more than $1.0 billion in non-convertible debt during the prior three-year period. Accordingly, until we cease being an “emerging growth company” stockholders will not have the benefit of an independent assessment of the effectiveness of our internal control environment.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ability to successfully operate our business largely depends upon the efforts of certain key personnel. The loss of such key personnel could adversely affect our operations and profitability.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successfully operate our business depends upon the efforts of certain key personnel. The unexpected loss of key personnel may adversely affect our operations and profitability. In addition, our future success depends in part on our ability to identify and retain key personnel to expand and/or succeed senior management. Furthermore, while we have closely scrutinized the skills, abilities and qualifications of our key personnel, our assessment may not prove to be correct. If such personnel do not possess the skills, qualifications or abilities we expect or those necessary to manage a public company, the operations and profitability of our business may be adversely impacted.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ability to meet expectations and projections in any research or reports published by securities or industry analysts, or a lack of coverage by securities or industry analysts, could result in a depressed market price and limited liquidity for our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securities will be influenced by the research and reports that industry or securities analysts may publish about us, our business, our market, or our competitors. If no securities or industry analysts commence coverage of us, prices for our securities would likely be less than that which would obtain if we had such coverage and the liquidity, or trading volume of our securities may be limited, making it more difficult for a holder to sell securities at an acceptable price or amount. If any analysts do cover us, their projections may vary widely and may not accurately predict the results we actually achieve. Prices for our securities may decline if our actual results do not match the projections of research analysts covering us. Similarly, if one or more of the analysts who write reports on us downgrades our securities or publishes inaccurate or unfavorable research about our business, prices for our securities could decline. If one or more of these analysts ceases coverage of us or fails to publish reports on us regularly, prices for our securities or trading volume could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63"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txbxContent>
                </v:textbox>
                <w10:wrap type="none"/>
              </v:rect>
            </w:pict>
          </mc:Fallback>
        </mc:AlternateContent>
      </w:r>
    </w:p>
    <w:p>
      <w:pPr>
        <w:pStyle w:val="TextBody"/>
        <w:bidi w:val="0"/>
        <w:spacing w:before="0" w:after="0"/>
        <w:jc w:val="righ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Future sales of our securities, including resale of securities issued to the certain stockholders, may reduce the market price of our securities that you might otherwise obtain.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stockholders may sell large amounts of our securities in the open market or in privately negotiated transactions. The registration and availability of such a significant number of securities for trading in the public market may increase the volatility in the price of our securities or put significant downward pressure on the price of our securities. In addition, we may use shares of our common stock as consideration for future acquisitions, which could further dilute our stockholders.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Because certain significant shareholders control a significant percentage of our common stock, such shareholders may influence major corporate decisions of the Company and our interests may conflict with the interests of other holders of our common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November 2, 2023, LLR Equity Partners IV, L.P. and LLR Equity Partners Parallel IV, L.P. (the “LLR Parties”) and Michele D. Logan and any trust, entity or other similar vehicle or account affiliated with Michele D. Logan (the “Logan Parties”) beneficially own approximately 44% and 27%, respectively of the voting power of our outstanding common stock. As a result of this control, the LLR Parties and the Logan Parties will be able to influence matters requiring approval by our stockholders and/or our Board, including the election of directors and the approval of business combinations or dispositions and other extraordinary transactions. The LLR Parties and the Logan Parties may also have interests that differ from the interests of other holders of our securities and may vote in a way with which you disagree and which may be adverse to your interests. The concentration of ownership may have the effect of delaying, preventing or deterring a change of control of the Company and may materially and adversely affect the market price of our securities. In addition, the LLR Parties or the Logan Parties may in the future own businesses that directly compete with the business of the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Charter renounces any expectancy in or right to be offered an opportunity to participate in certain transactions or matters that may be investment, corporate or business opportunities and that are presented to the Company or our officers, directors or stockholders.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Charter provides that, to the fullest extent permitted by Delaware law, each member of Holdings, their respective affiliates (other than the Company and our subsidiaries) and, to the extent any member is a series limited liability company, any series thereof and all of their respective partners, principals, directors, officers, members, managers, equity holders and/or employees, including any of the foregoing who serve as officers or directors of the Company (each, an “Excluded Party”), shall not have any fiduciary duty to refrain from (a) directly or indirectly engaging in any opportunity in which we, directly or indirectly, could have an interest or expectancy or (b) otherwise competing with us. Our Charter also renounces, to the fullest extent permitted by Delaware law, any interest or expectancy that we have in any opportunity in which any Excluded Party engages, even if the opportunity is one in which we, directly or indirectly, could have had an interest or expectancy. To the fullest extent permitted by Delaware law, in the event that any Excluded Party acquires knowledge of an opportunity that may be an opportunity for itself, himself or herself and for us, such party shall have no duty to communicate or present such opportunity to us and shall not be liable to us or any of our stockholders for breach of any fiduciary duty as our stockholder, director or officer solely for having pursued or acquired such opportunity or for offering or directing such opportunity to another person. To the fullest extent permitted by Delaware law, no business opportunity will be deemed to be a potential corporate opportunity for us unless we would be permitted to undertake the opportunity under our Charter, we have sufficient financial resources to undertake the opportunity and the opportunity would be in line with our business.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Bylaws designate the courts of the Court of Chancery in the State of Delaware as the sole and exclusive forum for certain types of actions and proceedings that may be initiated by stockholders, which could limit the ability of stockholders to obtain a favorable judicial forum for disputes.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Bylaws provide that, unless we consent in writing to the selection of an alternative forum, (a) any derivative action or proceeding brought on behalf of us, (b) any action asserting a claim of breach of fiduciary duty owed by any of our directors, officers or employees to us or our stockholders, (c) any action asserting a claim against us, our directors, officers or employees arising pursuant to any provision of the DGCL or our Charter or Bylaws or (d) any action asserting a claim against us, our directors, officers or employees governed by the internal affairs doctrine.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64" name="Frame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p>
                  </w:txbxContent>
                </v:textbox>
                <w10:wrap type="none"/>
              </v:rect>
            </w:pict>
          </mc:Fallback>
        </mc:AlternateContent>
      </w:r>
    </w:p>
    <w:p>
      <w:pPr>
        <w:pStyle w:val="TextBody"/>
        <w:bidi w:val="0"/>
        <w:spacing w:before="0" w:after="0"/>
        <w:jc w:val="righ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these provisions of the Bylaws will not apply to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(including suits brought to enforce any liability or duty created by the Exchange Act or any other claim for which the federal district courts of the United States of America are the sole and exclusive forum), or for which the Court of Chancery does not have subject matter jurisdiction. While this exclusive provision applies to claims under the Securities Act, we note, however, that there is uncertainty as to whether a court would enforce this provision and that stockholders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choice-of-forum provision may limit a stockholder’s ability to bring a claim in a judicial forum that it finds favorable for disputes with the Company, which may discourage such lawsuits. Alternatively, if a court were to find this provision of our Bylaws inapplicable or unenforceable with respect to one or more of the specified types of actions or proceedings, the Company may incur additional costs associated with resolving such matters in other jurisdictions, which could materially and adversely affect our business, financial condition and results of operations and result in a diversion of the time and resources of our management and Board.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 required to take write-downs or write-offs, restructuring and impairment or other charges that could have a significant negative effect on our financial condition, results of operations and securities prices, which could cause you to lose some or all of your investment.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there are material issues in the business of our subsidiaries, or factors outside of our and our subsidiaries control later arise, we may be forced to later write down or write off assets, restructure our operations, or incur impairment or other charges that could result in losses. Additionally,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the Company or our securities. In addition, charges of this nature may cause us to be unable to obtain future financing on favorable terms or at all.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 subject to securities litigation, which is expensive and could divert management attention.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securities prices may be volatile and, in the past, companies that have experienced volatility in the market price of their securities have been subject to securities class action litigation. We may be the target of this type of litigation in the future. Litigation of this type could result in substantial costs and diversion of management’s attention and resources, which could have a material adverse effect on business, financial condition, results of operations and prospects. Any adverse determination in litigation could also subject us to significant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future exercise of registration rights may adversely affect the market price of our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common stock in the public market could occur at any time. In addition, certain registration rights holders can request underwritten offerings to sell their securities. These sales, or the perception in the market that the holders of a large number of securities intend to sell securities, could reduce the market price of our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Holdings Second Amended and Restated LLC Agreement and the terms of the Exchange Agreement entered into in connection with the Business Combination, the Class B Units of Holdings may each be exchanged at the option of the holder, together with a corresponding cancellation of the corresponding number of shares of Class B Common Stock of the Company, on a one-for-one basis for shares of Class A Common Stock of the Company. There is no cash or other consideration paid by the holder in these transactions and, therefore, there is no cash or other consideration received by the Company. The shares of Class A Common Stock issued by the Company in such exchanges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0655"/>
                <wp:effectExtent l="0" t="0" r="0" b="0"/>
                <wp:wrapNone/>
                <wp:docPr id="65" name="Frame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are exempt from registration pursuant to Section 4(a)(2) of the Securities Act. During the quarter ended September 30, 2023, no Class B Units were tendered to the Company for exchange into shares of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3. Defaults Upon Senior Securities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the Exhibit Index immediately following the signature page of this Quarterly Report on Form 10-Q.</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66" name="Frame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the requirements of the Exchange Act, the registrant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CompoSecure,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Date: November 13, 2023                    By: </w:t>
      </w:r>
      <w:r>
        <w:rPr>
          <w:rFonts w:ascii="Times New Roman;sans-serif" w:hAnsi="Times New Roman;sans-serif"/>
          <w:b w:val="false"/>
          <w:color w:val="000000"/>
          <w:sz w:val="20"/>
          <w:u w:val="single"/>
        </w:rPr>
        <w:t>/s/ Jonathan C. Wilk</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Name: Jonathan C. Wilk</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President and Chief Executive Officer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Date: November 13, 2023                    By: </w:t>
      </w:r>
      <w:r>
        <w:rPr>
          <w:rFonts w:ascii="Times New Roman;sans-serif" w:hAnsi="Times New Roman;sans-serif"/>
          <w:b w:val="false"/>
          <w:color w:val="000000"/>
          <w:sz w:val="20"/>
          <w:u w:val="single"/>
        </w:rPr>
        <w:t>/s/ Timothy Fitzsimmons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Name: Timothy Fitzsimmons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0655"/>
                <wp:effectExtent l="0" t="0" r="0" b="0"/>
                <wp:wrapNone/>
                <wp:docPr id="67" name="Frame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EXHIBIT INDEX</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4"/>
        <w:gridCol w:w="249"/>
        <w:gridCol w:w="250"/>
        <w:gridCol w:w="109"/>
        <w:gridCol w:w="109"/>
        <w:gridCol w:w="109"/>
        <w:gridCol w:w="2659"/>
        <w:gridCol w:w="2659"/>
        <w:gridCol w:w="3777"/>
      </w:tblGrid>
      <w:tr>
        <w:trPr/>
        <w:tc>
          <w:tcPr>
            <w:tcW w:w="28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68" w:before="0" w:after="2"/>
              <w:jc w:val="center"/>
              <w:rPr/>
            </w:pPr>
            <w:hyperlink w:anchor="exhibit311q32023.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exhibit311q32023.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68" w:before="0" w:after="2"/>
              <w:jc w:val="center"/>
              <w:rPr/>
            </w:pPr>
            <w:hyperlink w:anchor="exhibit312q32023.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exhibit312q32023.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68" w:before="0" w:after="2"/>
              <w:jc w:val="center"/>
              <w:rPr/>
            </w:pPr>
            <w:hyperlink w:anchor="exhibit321q32023.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exhibit321q32023.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68" w:before="0" w:after="2"/>
              <w:jc w:val="center"/>
              <w:rPr/>
            </w:pPr>
            <w:hyperlink w:anchor="exhibit322q32023.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exhibit322q32023.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CompoSecure, Inc.'s Form 10-Q for the quarter ended September 30, 2023, formatted in Extensible Business Reporting Language (XBRL): (i) Consolidated Balance Sheets as of September 30, 2023 (Unaudited) and December 31, 2022, (ii) Consolidated Statements of Operations (Unaudited) for the three and nine months ended September 30, 2023 and September 30, 2022, (iii) Consolidated Statements of Comprehensive Income (Unaudited) for the three and nine months ended September 30, 2023 and September 30, 2022 (iv) Consolidated Statements of Stockholders’ Equity (Unaudited) for the three and nine months ended September 30, 2023 and September 30, 2022, as well as the year ended December 31, 2022, (v) Consolidated Statements of Cash Flows (Unaudited) for the nine months ended September 30, 2023 and September 30, 2022, and (vi) Notes to Consolidated Financial Statements - Unaudited.</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68"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tc>
      </w:tr>
      <w:tr>
        <w:trPr/>
        <w:tc>
          <w:tcPr>
            <w:tcW w:w="10205"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accordance with SEC Release 33-8238, Exhibits 32.1 and 32.2 are being furnished and not filed.</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68" name="Frame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65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Jonathan C. Wilk, certify that: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CompoSecure, Inc.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pPr>
      <w:r>
        <w:rPr>
          <w:rFonts w:ascii="Times New Roman;sans-serif" w:hAnsi="Times New Roman;sans-serif"/>
          <w:b w:val="false"/>
          <w:color w:val="000000"/>
          <w:sz w:val="20"/>
        </w:rPr>
        <w:t xml:space="preserve">Date: November 13, 2023                        By: </w:t>
      </w:r>
      <w:r>
        <w:rPr>
          <w:rFonts w:ascii="Times New Roman;sans-serif" w:hAnsi="Times New Roman;sans-serif"/>
          <w:b w:val="false"/>
          <w:color w:val="000000"/>
          <w:sz w:val="20"/>
          <w:u w:val="single"/>
        </w:rPr>
        <w:t>/s/ Jonathan C. Wilk</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Name: Jonathan C. Wilk</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President and Chief Executive Officer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Timothy Fitzsimmons, certify that: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CompoSecure, Inc.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pPr>
      <w:r>
        <w:rPr>
          <w:rFonts w:ascii="Times New Roman;sans-serif" w:hAnsi="Times New Roman;sans-serif"/>
          <w:b w:val="false"/>
          <w:color w:val="000000"/>
          <w:sz w:val="20"/>
        </w:rPr>
        <w:t xml:space="preserve">Date: November 13, 2023                        By: </w:t>
      </w:r>
      <w:r>
        <w:rPr>
          <w:rFonts w:ascii="Times New Roman;sans-serif" w:hAnsi="Times New Roman;sans-serif"/>
          <w:b w:val="false"/>
          <w:color w:val="000000"/>
          <w:sz w:val="20"/>
          <w:u w:val="single"/>
        </w:rPr>
        <w:t>/s/ Timothy Fitzsimmons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Name: Timothy Fitzsimmons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p>
      <w:pPr>
        <w:pStyle w:val="TextBody"/>
        <w:bidi w:val="0"/>
        <w:spacing w:lineRule="auto" w:line="288"/>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CompoSecure, Inc., a Delaware corporation (the “Company”), on Form 10-Q for the quarter ended September 30, 2023, as filed with the Securities and Exchange Commission on the date hereof (the “Report”), I, Jonathan C. Wilk, President and Chief Executive Officer of the Company, hereby certify, pursuant to 18 U.S.C. § 1350, as adopted pursuant to Section 906 of the Sarbanes-Oxley Act of 2002, that to my knowledge: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Date: November 13, 2023                        By: </w:t>
      </w:r>
      <w:r>
        <w:rPr>
          <w:rFonts w:ascii="Times New Roman;sans-serif" w:hAnsi="Times New Roman;sans-serif"/>
          <w:b w:val="false"/>
          <w:color w:val="000000"/>
          <w:sz w:val="20"/>
          <w:u w:val="single"/>
        </w:rPr>
        <w:t>/s/ Jonathan C. Wilk</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Name: Jonathan C. Wilk</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President and Chief Executive Officer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32.2</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CompoSecure, Inc., a Delaware corporation (the “Company”), on Form 10-Q for the quarter ended September 30, 2023, as filed with the Securities and Exchange Commission on the date hereof (the “Report”), I, Timothy Fitzsimmons, Chief Financial Officer of the Company, hereby certify, pursuant to 18 U.S.C. § 1350, as adopted pursuant to Section 906 of the Sarbanes-Oxley Act of 2002, that to my knowledge: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Date: November 13, 2023                        By: </w:t>
      </w:r>
      <w:r>
        <w:rPr>
          <w:rFonts w:ascii="Times New Roman;sans-serif" w:hAnsi="Times New Roman;sans-serif"/>
          <w:b w:val="false"/>
          <w:color w:val="000000"/>
          <w:sz w:val="20"/>
          <w:u w:val="single"/>
        </w:rPr>
        <w:t>/s/ Timothy Fitzsimmons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Name: Timothy Fitzsimmons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p>
      <w:pPr>
        <w:pStyle w:val="TextBody"/>
        <w:bidi w:val="0"/>
        <w:spacing w:lineRule="auto" w:line="288"/>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p>
      <w:pPr>
        <w:pStyle w:val="TextBody"/>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38599</Words>
  <Characters>211582</Characters>
  <CharactersWithSpaces>249117</CharactersWithSpaces>
  <Paragraphs>2871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