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988060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1013460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2455545</wp:posOffset>
            </wp:positionH>
            <wp:positionV relativeFrom="paragraph">
              <wp:posOffset>156210</wp:posOffset>
            </wp:positionV>
            <wp:extent cx="2230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2455545</wp:posOffset>
            </wp:positionH>
            <wp:positionV relativeFrom="paragraph">
              <wp:posOffset>169545</wp:posOffset>
            </wp:positionV>
            <wp:extent cx="2230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3" w:lineRule="exact"/>
        <w:rPr>
          <w:sz w:val="24"/>
          <w:szCs w:val="24"/>
          <w:color w:val="auto"/>
        </w:rPr>
      </w:pPr>
    </w:p>
    <w:p>
      <w:pPr>
        <w:ind w:left="360" w:hanging="33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3" w:lineRule="exact"/>
        <w:rPr>
          <w:sz w:val="24"/>
          <w:szCs w:val="24"/>
          <w:color w:val="auto"/>
        </w:rPr>
      </w:pPr>
    </w:p>
    <w:p>
      <w:pPr>
        <w:ind w:left="360" w:hanging="335"/>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7" w:lineRule="exact"/>
        <w:rPr>
          <w:sz w:val="24"/>
          <w:szCs w:val="24"/>
          <w:color w:val="auto"/>
        </w:rPr>
      </w:pPr>
    </w:p>
    <w:tbl>
      <w:tblPr>
        <w:tblLayout w:type="fixed"/>
        <w:tblInd w:w="3860" w:type="dxa"/>
        <w:tblCellMar>
          <w:top w:w="0" w:type="dxa"/>
          <w:left w:w="0" w:type="dxa"/>
          <w:bottom w:w="0" w:type="dxa"/>
          <w:right w:w="0" w:type="dxa"/>
        </w:tblCellMar>
      </w:tblPr>
      <w:tr>
        <w:trPr>
          <w:trHeight w:val="211"/>
        </w:trPr>
        <w:tc>
          <w:tcPr>
            <w:tcW w:w="260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For transition period from</w:t>
            </w:r>
          </w:p>
        </w:tc>
        <w:tc>
          <w:tcPr>
            <w:tcW w:w="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81"/>
        </w:trPr>
        <w:tc>
          <w:tcPr>
            <w:tcW w:w="352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Commission File Number 001-39687</w:t>
            </w:r>
          </w:p>
        </w:tc>
      </w:tr>
      <w:tr>
        <w:trPr>
          <w:trHeight w:val="192"/>
        </w:trPr>
        <w:tc>
          <w:tcPr>
            <w:tcW w:w="2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287" w:lineRule="exact"/>
        <w:rPr>
          <w:sz w:val="24"/>
          <w:szCs w:val="24"/>
          <w:color w:val="auto"/>
        </w:rPr>
      </w:pPr>
    </w:p>
    <w:tbl>
      <w:tblPr>
        <w:tblLayout w:type="fixed"/>
        <w:tblInd w:w="1700" w:type="dxa"/>
        <w:tblCellMar>
          <w:top w:w="0" w:type="dxa"/>
          <w:left w:w="0" w:type="dxa"/>
          <w:bottom w:w="0" w:type="dxa"/>
          <w:right w:w="0" w:type="dxa"/>
        </w:tblCellMar>
      </w:tblPr>
      <w:tr>
        <w:trPr>
          <w:trHeight w:val="426"/>
        </w:trPr>
        <w:tc>
          <w:tcPr>
            <w:tcW w:w="2160" w:type="dxa"/>
            <w:vAlign w:val="bottom"/>
          </w:tcPr>
          <w:p>
            <w:pPr>
              <w:spacing w:after="0"/>
              <w:rPr>
                <w:sz w:val="24"/>
                <w:szCs w:val="24"/>
                <w:color w:val="auto"/>
              </w:rPr>
            </w:pPr>
          </w:p>
        </w:tc>
        <w:tc>
          <w:tcPr>
            <w:tcW w:w="5420" w:type="dxa"/>
            <w:vAlign w:val="bottom"/>
            <w:gridSpan w:val="2"/>
          </w:tcPr>
          <w:p>
            <w:pPr>
              <w:jc w:val="center"/>
              <w:ind w:right="1811"/>
              <w:spacing w:after="0"/>
              <w:rPr>
                <w:sz w:val="20"/>
                <w:szCs w:val="20"/>
                <w:color w:val="auto"/>
              </w:rPr>
            </w:pPr>
            <w:r>
              <w:rPr>
                <w:rFonts w:ascii="Times New Roman" w:cs="Times New Roman" w:eastAsia="Times New Roman" w:hAnsi="Times New Roman"/>
                <w:sz w:val="32"/>
                <w:szCs w:val="32"/>
                <w:b w:val="1"/>
                <w:bCs w:val="1"/>
                <w:color w:val="auto"/>
                <w:w w:val="99"/>
              </w:rPr>
              <w:t>CompoSecure, Inc.</w:t>
            </w:r>
          </w:p>
        </w:tc>
      </w:tr>
      <w:tr>
        <w:trPr>
          <w:trHeight w:val="198"/>
        </w:trPr>
        <w:tc>
          <w:tcPr>
            <w:tcW w:w="2160" w:type="dxa"/>
            <w:vAlign w:val="bottom"/>
          </w:tcPr>
          <w:p>
            <w:pPr>
              <w:spacing w:after="0"/>
              <w:rPr>
                <w:sz w:val="17"/>
                <w:szCs w:val="17"/>
                <w:color w:val="auto"/>
              </w:rPr>
            </w:pPr>
          </w:p>
        </w:tc>
        <w:tc>
          <w:tcPr>
            <w:tcW w:w="5420" w:type="dxa"/>
            <w:vAlign w:val="bottom"/>
            <w:gridSpan w:val="2"/>
          </w:tcPr>
          <w:p>
            <w:pPr>
              <w:jc w:val="center"/>
              <w:ind w:right="179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65"/>
        </w:trPr>
        <w:tc>
          <w:tcPr>
            <w:tcW w:w="2160" w:type="dxa"/>
            <w:vAlign w:val="bottom"/>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c>
          <w:tcPr>
            <w:tcW w:w="1900" w:type="dxa"/>
            <w:vAlign w:val="bottom"/>
          </w:tcPr>
          <w:p>
            <w:pPr>
              <w:spacing w:after="0"/>
              <w:rPr>
                <w:sz w:val="23"/>
                <w:szCs w:val="23"/>
                <w:color w:val="auto"/>
              </w:rPr>
            </w:pPr>
          </w:p>
        </w:tc>
      </w:tr>
      <w:tr>
        <w:trPr>
          <w:trHeight w:val="502"/>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20" w:type="dxa"/>
            <w:vAlign w:val="bottom"/>
            <w:gridSpan w:val="2"/>
          </w:tcPr>
          <w:p>
            <w:pPr>
              <w:jc w:val="center"/>
              <w:ind w:left="3660"/>
              <w:spacing w:after="0"/>
              <w:rPr>
                <w:sz w:val="20"/>
                <w:szCs w:val="20"/>
                <w:color w:val="auto"/>
              </w:rPr>
            </w:pPr>
            <w:r>
              <w:rPr>
                <w:rFonts w:ascii="Times New Roman" w:cs="Times New Roman" w:eastAsia="Times New Roman" w:hAnsi="Times New Roman"/>
                <w:sz w:val="18"/>
                <w:szCs w:val="18"/>
                <w:b w:val="1"/>
                <w:bCs w:val="1"/>
                <w:color w:val="auto"/>
                <w:w w:val="98"/>
              </w:rPr>
              <w:t>85-2749902</w:t>
            </w:r>
          </w:p>
        </w:tc>
      </w:tr>
      <w:tr>
        <w:trPr>
          <w:trHeight w:val="302"/>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spacing w:after="0"/>
              <w:rPr>
                <w:sz w:val="24"/>
                <w:szCs w:val="24"/>
                <w:color w:val="auto"/>
              </w:rPr>
            </w:pPr>
          </w:p>
        </w:tc>
        <w:tc>
          <w:tcPr>
            <w:tcW w:w="19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spacing w:after="0"/>
              <w:rPr>
                <w:sz w:val="20"/>
                <w:szCs w:val="20"/>
                <w:color w:val="auto"/>
              </w:rPr>
            </w:pPr>
          </w:p>
        </w:tc>
        <w:tc>
          <w:tcPr>
            <w:tcW w:w="190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8"/>
              </w:rPr>
              <w:t>Identification Number)</w:t>
            </w:r>
          </w:p>
        </w:tc>
      </w:tr>
      <w:tr>
        <w:trPr>
          <w:trHeight w:val="494"/>
        </w:trPr>
        <w:tc>
          <w:tcPr>
            <w:tcW w:w="2160" w:type="dxa"/>
            <w:vAlign w:val="bottom"/>
          </w:tcPr>
          <w:p>
            <w:pPr>
              <w:spacing w:after="0"/>
              <w:rPr>
                <w:sz w:val="24"/>
                <w:szCs w:val="24"/>
                <w:color w:val="auto"/>
              </w:rPr>
            </w:pPr>
          </w:p>
        </w:tc>
        <w:tc>
          <w:tcPr>
            <w:tcW w:w="5420" w:type="dxa"/>
            <w:vAlign w:val="bottom"/>
            <w:gridSpan w:val="2"/>
          </w:tcPr>
          <w:p>
            <w:pPr>
              <w:jc w:val="center"/>
              <w:ind w:right="1811"/>
              <w:spacing w:after="0"/>
              <w:rPr>
                <w:sz w:val="20"/>
                <w:szCs w:val="20"/>
                <w:color w:val="auto"/>
              </w:rPr>
            </w:pPr>
            <w:r>
              <w:rPr>
                <w:rFonts w:ascii="Times New Roman" w:cs="Times New Roman" w:eastAsia="Times New Roman" w:hAnsi="Times New Roman"/>
                <w:sz w:val="18"/>
                <w:szCs w:val="18"/>
                <w:b w:val="1"/>
                <w:bCs w:val="1"/>
                <w:color w:val="auto"/>
                <w:w w:val="99"/>
              </w:rPr>
              <w:t>309 Pierce Street Somerset, New Jersey 08873</w:t>
            </w:r>
          </w:p>
        </w:tc>
      </w:tr>
      <w:tr>
        <w:trPr>
          <w:trHeight w:val="240"/>
        </w:trPr>
        <w:tc>
          <w:tcPr>
            <w:tcW w:w="2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(908) 518-0500</w:t>
            </w:r>
          </w:p>
        </w:tc>
        <w:tc>
          <w:tcPr>
            <w:tcW w:w="1900" w:type="dxa"/>
            <w:vAlign w:val="bottom"/>
          </w:tcPr>
          <w:p>
            <w:pPr>
              <w:spacing w:after="0"/>
              <w:rPr>
                <w:sz w:val="20"/>
                <w:szCs w:val="20"/>
                <w:color w:val="auto"/>
              </w:rPr>
            </w:pPr>
          </w:p>
        </w:tc>
      </w:tr>
    </w:tbl>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2455545</wp:posOffset>
            </wp:positionH>
            <wp:positionV relativeFrom="paragraph">
              <wp:posOffset>194310</wp:posOffset>
            </wp:positionV>
            <wp:extent cx="2230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40" w:type="dxa"/>
            <w:vAlign w:val="bottom"/>
          </w:tcPr>
          <w:p>
            <w:pPr>
              <w:spacing w:after="0"/>
              <w:rPr>
                <w:sz w:val="13"/>
                <w:szCs w:val="13"/>
                <w:color w:val="auto"/>
              </w:rPr>
            </w:pPr>
          </w:p>
        </w:tc>
        <w:tc>
          <w:tcPr>
            <w:tcW w:w="19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40" w:type="dxa"/>
            <w:vAlign w:val="bottom"/>
            <w:gridSpan w:val="2"/>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060" w:type="dxa"/>
            <w:vAlign w:val="bottom"/>
            <w:gridSpan w:val="3"/>
          </w:tcPr>
          <w:p>
            <w:pPr>
              <w:jc w:val="center"/>
              <w:ind w:right="1500"/>
              <w:spacing w:after="0"/>
              <w:rPr>
                <w:sz w:val="20"/>
                <w:szCs w:val="20"/>
                <w:color w:val="auto"/>
              </w:rPr>
            </w:pPr>
            <w:r>
              <w:rPr>
                <w:rFonts w:ascii="Times New Roman" w:cs="Times New Roman" w:eastAsia="Times New Roman" w:hAnsi="Times New Roman"/>
                <w:sz w:val="12"/>
                <w:szCs w:val="12"/>
                <w:color w:val="auto"/>
              </w:rPr>
              <w:t>Class A Common Stock, $0.0001 par value per share</w:t>
            </w:r>
          </w:p>
        </w:tc>
        <w:tc>
          <w:tcPr>
            <w:tcW w:w="196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color w:val="auto"/>
              </w:rPr>
              <w:t>CMPO</w:t>
            </w:r>
          </w:p>
        </w:tc>
        <w:tc>
          <w:tcPr>
            <w:tcW w:w="1000" w:type="dxa"/>
            <w:vAlign w:val="bottom"/>
          </w:tcPr>
          <w:p>
            <w:pPr>
              <w:spacing w:after="0"/>
              <w:rPr>
                <w:sz w:val="22"/>
                <w:szCs w:val="22"/>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r>
        <w:trPr>
          <w:trHeight w:val="201"/>
        </w:trPr>
        <w:tc>
          <w:tcPr>
            <w:tcW w:w="5060" w:type="dxa"/>
            <w:vAlign w:val="bottom"/>
            <w:gridSpan w:val="3"/>
          </w:tcPr>
          <w:p>
            <w:pPr>
              <w:jc w:val="center"/>
              <w:ind w:right="1520"/>
              <w:spacing w:after="0"/>
              <w:rPr>
                <w:sz w:val="20"/>
                <w:szCs w:val="20"/>
                <w:color w:val="auto"/>
              </w:rPr>
            </w:pPr>
            <w:r>
              <w:rPr>
                <w:rFonts w:ascii="Times New Roman" w:cs="Times New Roman" w:eastAsia="Times New Roman" w:hAnsi="Times New Roman"/>
                <w:sz w:val="12"/>
                <w:szCs w:val="12"/>
                <w:color w:val="auto"/>
              </w:rPr>
              <w:t>Redeemable Warrants, each whole warrant exercisable for one share of</w:t>
            </w:r>
          </w:p>
        </w:tc>
        <w:tc>
          <w:tcPr>
            <w:tcW w:w="196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6"/>
                <w:szCs w:val="16"/>
                <w:color w:val="auto"/>
              </w:rPr>
              <w:t>CMPOW</w:t>
            </w:r>
          </w:p>
        </w:tc>
        <w:tc>
          <w:tcPr>
            <w:tcW w:w="1000" w:type="dxa"/>
            <w:vAlign w:val="bottom"/>
          </w:tcPr>
          <w:p>
            <w:pPr>
              <w:spacing w:after="0"/>
              <w:rPr>
                <w:sz w:val="17"/>
                <w:szCs w:val="17"/>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163"/>
        </w:trPr>
        <w:tc>
          <w:tcPr>
            <w:tcW w:w="5060" w:type="dxa"/>
            <w:vAlign w:val="bottom"/>
            <w:gridSpan w:val="3"/>
          </w:tcPr>
          <w:p>
            <w:pPr>
              <w:jc w:val="center"/>
              <w:ind w:right="1500"/>
              <w:spacing w:after="0"/>
              <w:rPr>
                <w:sz w:val="20"/>
                <w:szCs w:val="20"/>
                <w:color w:val="auto"/>
              </w:rPr>
            </w:pPr>
            <w:r>
              <w:rPr>
                <w:rFonts w:ascii="Times New Roman" w:cs="Times New Roman" w:eastAsia="Times New Roman" w:hAnsi="Times New Roman"/>
                <w:sz w:val="12"/>
                <w:szCs w:val="12"/>
                <w:color w:val="auto"/>
              </w:rPr>
              <w:t>Class A Common Stock</w:t>
            </w:r>
          </w:p>
        </w:tc>
        <w:tc>
          <w:tcPr>
            <w:tcW w:w="19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9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47" w:lineRule="exact"/>
        <w:rPr>
          <w:sz w:val="24"/>
          <w:szCs w:val="24"/>
          <w:color w:val="auto"/>
        </w:rPr>
      </w:pPr>
    </w:p>
    <w:p>
      <w:pPr>
        <w:ind w:right="20"/>
        <w:spacing w:after="0" w:line="251"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51" w:lineRule="exact"/>
        <w:rPr>
          <w:sz w:val="20"/>
          <w:szCs w:val="20"/>
          <w:color w:val="auto"/>
        </w:rPr>
      </w:pPr>
    </w:p>
    <w:p>
      <w:pPr>
        <w:jc w:val="both"/>
        <w:ind w:firstLine="361"/>
        <w:spacing w:after="0" w:line="25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0"/>
          <w:szCs w:val="20"/>
          <w:color w:val="auto"/>
        </w:rPr>
      </w:pPr>
    </w:p>
    <w:p>
      <w:pPr>
        <w:jc w:val="both"/>
        <w:ind w:firstLine="361"/>
        <w:spacing w:after="0" w:line="30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18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4" w:lineRule="exact"/>
        <w:rPr>
          <w:sz w:val="20"/>
          <w:szCs w:val="20"/>
          <w:color w:val="auto"/>
        </w:rPr>
      </w:pPr>
    </w:p>
    <w:p>
      <w:pPr>
        <w:ind w:firstLine="361"/>
        <w:spacing w:after="0" w:line="25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p>
      <w:pPr>
        <w:spacing w:after="0" w:line="26" w:lineRule="exact"/>
        <w:rPr>
          <w:sz w:val="20"/>
          <w:szCs w:val="20"/>
          <w:color w:val="auto"/>
        </w:rPr>
      </w:pPr>
    </w:p>
    <w:p>
      <w:pPr>
        <w:ind w:left="220" w:hanging="213"/>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October 30, 2025, there were approximately 125,195,366 shares of the registrant's Class A common stock outstanding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67945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EXPLANATORY NOTE REGARDING CHANGE TO EQUITY METHOD ACCOUNTING</w:t>
            </w:r>
          </w:p>
        </w:tc>
        <w:tc>
          <w:tcPr>
            <w:tcW w:w="1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w w:val="78"/>
              </w:rPr>
              <w:t>i</w:t>
            </w: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rPr>
              <w:t>CAUTIONARY NOTE REGARDING FORWARD-LOOKING STATEMENT</w:t>
            </w:r>
          </w:p>
        </w:tc>
        <w:tc>
          <w:tcPr>
            <w:tcW w:w="1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w w:val="78"/>
              </w:rPr>
              <w:t>i</w:t>
            </w:r>
          </w:p>
        </w:tc>
      </w:tr>
      <w:tr>
        <w:trPr>
          <w:trHeight w:val="261"/>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00" w:type="dxa"/>
            <w:vAlign w:val="bottom"/>
            <w:gridSpan w:val="4"/>
          </w:tcPr>
          <w:p>
            <w:pPr>
              <w:spacing w:after="0"/>
              <w:rPr>
                <w:sz w:val="22"/>
                <w:szCs w:val="22"/>
                <w:color w:val="auto"/>
              </w:rPr>
            </w:pPr>
          </w:p>
        </w:tc>
        <w:tc>
          <w:tcPr>
            <w:tcW w:w="59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280" w:type="dxa"/>
            <w:vAlign w:val="bottom"/>
            <w:gridSpan w:val="3"/>
          </w:tcPr>
          <w:p>
            <w:pPr>
              <w:spacing w:after="0"/>
              <w:rPr>
                <w:sz w:val="22"/>
                <w:szCs w:val="22"/>
                <w:color w:val="auto"/>
              </w:rPr>
            </w:pPr>
          </w:p>
        </w:tc>
        <w:tc>
          <w:tcPr>
            <w:tcW w:w="1380" w:type="dxa"/>
            <w:vAlign w:val="bottom"/>
            <w:gridSpan w:val="3"/>
          </w:tcPr>
          <w:p>
            <w:pPr>
              <w:jc w:val="center"/>
              <w:ind w:left="1211"/>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22"/>
                <w:szCs w:val="22"/>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Financial Statements</w:t>
            </w:r>
          </w:p>
        </w:tc>
        <w:tc>
          <w:tcPr>
            <w:tcW w:w="1380" w:type="dxa"/>
            <w:vAlign w:val="bottom"/>
            <w:gridSpan w:val="3"/>
          </w:tcPr>
          <w:p>
            <w:pPr>
              <w:jc w:val="center"/>
              <w:ind w:left="1211"/>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Consolidated Balance Sheets (Unaudited)</w:t>
            </w:r>
          </w:p>
        </w:tc>
        <w:tc>
          <w:tcPr>
            <w:tcW w:w="4980" w:type="dxa"/>
            <w:vAlign w:val="bottom"/>
            <w:gridSpan w:val="9"/>
          </w:tcPr>
          <w:p>
            <w:pPr>
              <w:spacing w:after="0"/>
              <w:rPr>
                <w:sz w:val="22"/>
                <w:szCs w:val="22"/>
                <w:color w:val="auto"/>
              </w:rPr>
            </w:pPr>
          </w:p>
        </w:tc>
        <w:tc>
          <w:tcPr>
            <w:tcW w:w="1380" w:type="dxa"/>
            <w:vAlign w:val="bottom"/>
            <w:gridSpan w:val="3"/>
          </w:tcPr>
          <w:p>
            <w:pPr>
              <w:jc w:val="center"/>
              <w:ind w:left="1211"/>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 (Unaudited)</w:t>
            </w:r>
          </w:p>
        </w:tc>
        <w:tc>
          <w:tcPr>
            <w:tcW w:w="4260" w:type="dxa"/>
            <w:vAlign w:val="bottom"/>
            <w:gridSpan w:val="8"/>
          </w:tcPr>
          <w:p>
            <w:pPr>
              <w:spacing w:after="0"/>
              <w:rPr>
                <w:sz w:val="22"/>
                <w:szCs w:val="22"/>
                <w:color w:val="auto"/>
              </w:rPr>
            </w:pPr>
          </w:p>
        </w:tc>
        <w:tc>
          <w:tcPr>
            <w:tcW w:w="1380" w:type="dxa"/>
            <w:vAlign w:val="bottom"/>
            <w:gridSpan w:val="3"/>
          </w:tcPr>
          <w:p>
            <w:pPr>
              <w:jc w:val="center"/>
              <w:ind w:left="1211"/>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(Unaudited)</w:t>
            </w:r>
          </w:p>
        </w:tc>
        <w:tc>
          <w:tcPr>
            <w:tcW w:w="1380" w:type="dxa"/>
            <w:vAlign w:val="bottom"/>
            <w:gridSpan w:val="3"/>
          </w:tcPr>
          <w:p>
            <w:pPr>
              <w:jc w:val="center"/>
              <w:ind w:left="1211"/>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w:t>
            </w:r>
            <w:r>
              <w:rPr>
                <w:rFonts w:ascii="Times New Roman" w:cs="Times New Roman" w:eastAsia="Times New Roman" w:hAnsi="Times New Roman"/>
                <w:sz w:val="18"/>
                <w:szCs w:val="18"/>
                <w:color w:val="0000FF"/>
                <w:highlight w:val="white"/>
                <w:w w:val="98"/>
              </w:rPr>
              <w:t>quity</w:t>
            </w:r>
            <w:r>
              <w:rPr>
                <w:rFonts w:ascii="Times New Roman" w:cs="Times New Roman" w:eastAsia="Times New Roman" w:hAnsi="Times New Roman"/>
                <w:sz w:val="18"/>
                <w:szCs w:val="18"/>
                <w:color w:val="0000FF"/>
                <w:w w:val="98"/>
              </w:rPr>
              <w:t xml:space="preserve"> (Deficit) </w:t>
            </w:r>
            <w:r>
              <w:rPr>
                <w:rFonts w:ascii="Times New Roman" w:cs="Times New Roman" w:eastAsia="Times New Roman" w:hAnsi="Times New Roman"/>
                <w:sz w:val="18"/>
                <w:szCs w:val="18"/>
                <w:color w:val="0000FF"/>
                <w:highlight w:val="white"/>
                <w:w w:val="98"/>
              </w:rPr>
              <w:t>(Unaudited)</w:t>
            </w:r>
          </w:p>
        </w:tc>
        <w:tc>
          <w:tcPr>
            <w:tcW w:w="2880" w:type="dxa"/>
            <w:vAlign w:val="bottom"/>
            <w:gridSpan w:val="4"/>
          </w:tcPr>
          <w:p>
            <w:pPr>
              <w:spacing w:after="0"/>
              <w:rPr>
                <w:sz w:val="22"/>
                <w:szCs w:val="22"/>
                <w:color w:val="auto"/>
              </w:rPr>
            </w:pPr>
          </w:p>
        </w:tc>
        <w:tc>
          <w:tcPr>
            <w:tcW w:w="1380" w:type="dxa"/>
            <w:vAlign w:val="bottom"/>
            <w:gridSpan w:val="3"/>
          </w:tcPr>
          <w:p>
            <w:pPr>
              <w:jc w:val="center"/>
              <w:ind w:left="1211"/>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2880" w:type="dxa"/>
            <w:vAlign w:val="bottom"/>
            <w:gridSpan w:val="4"/>
          </w:tcPr>
          <w:p>
            <w:pPr>
              <w:spacing w:after="0"/>
              <w:rPr>
                <w:sz w:val="22"/>
                <w:szCs w:val="22"/>
                <w:color w:val="auto"/>
              </w:rPr>
            </w:pPr>
          </w:p>
        </w:tc>
        <w:tc>
          <w:tcPr>
            <w:tcW w:w="1380" w:type="dxa"/>
            <w:vAlign w:val="bottom"/>
            <w:gridSpan w:val="3"/>
          </w:tcPr>
          <w:p>
            <w:pPr>
              <w:jc w:val="center"/>
              <w:ind w:left="1211"/>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10</w:t>
            </w: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33</w:t>
            </w:r>
          </w:p>
        </w:tc>
      </w:tr>
      <w:tr>
        <w:trPr>
          <w:trHeight w:val="20"/>
        </w:trPr>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206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47</w:t>
            </w:r>
          </w:p>
        </w:tc>
      </w:tr>
      <w:tr>
        <w:trPr>
          <w:trHeight w:val="20"/>
        </w:trPr>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3700" w:type="dxa"/>
            <w:vAlign w:val="bottom"/>
            <w:tcBorders>
              <w:left w:val="single" w:sz="8" w:color="0000FF"/>
            </w:tcBorders>
            <w:gridSpan w:val="6"/>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E32E1"/>
                <w:w w:val="90"/>
              </w:rPr>
              <w:t>Item 4.</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48</w:t>
            </w:r>
          </w:p>
        </w:tc>
      </w:tr>
      <w:tr>
        <w:trPr>
          <w:trHeight w:val="20"/>
        </w:trPr>
        <w:tc>
          <w:tcPr>
            <w:tcW w:w="220" w:type="dxa"/>
            <w:vAlign w:val="bottom"/>
          </w:tcPr>
          <w:p>
            <w:pPr>
              <w:spacing w:after="0" w:line="20" w:lineRule="exact"/>
              <w:rPr>
                <w:sz w:val="1"/>
                <w:szCs w:val="1"/>
                <w:color w:val="auto"/>
              </w:rPr>
            </w:pPr>
          </w:p>
        </w:tc>
        <w:tc>
          <w:tcPr>
            <w:tcW w:w="340" w:type="dxa"/>
            <w:vAlign w:val="bottom"/>
            <w:gridSpan w:val="2"/>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49</w:t>
            </w:r>
          </w:p>
        </w:tc>
      </w:tr>
      <w:tr>
        <w:trPr>
          <w:trHeight w:val="20"/>
        </w:trPr>
        <w:tc>
          <w:tcPr>
            <w:tcW w:w="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49</w:t>
            </w: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40" w:type="dxa"/>
            <w:vAlign w:val="bottom"/>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Risk Factors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49</w:t>
            </w: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73</w:t>
            </w: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74</w:t>
            </w: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74</w:t>
            </w: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6260" w:type="dxa"/>
            <w:vAlign w:val="bottom"/>
            <w:gridSpan w:val="11"/>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Other Information</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74</w:t>
            </w: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700" w:type="dxa"/>
            <w:vAlign w:val="bottom"/>
            <w:gridSpan w:val="14"/>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220" w:type="dxa"/>
            <w:vAlign w:val="bottom"/>
          </w:tcPr>
          <w:p>
            <w:pPr>
              <w:spacing w:after="0"/>
              <w:rPr>
                <w:sz w:val="22"/>
                <w:szCs w:val="22"/>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580" w:type="dxa"/>
            <w:vAlign w:val="bottom"/>
            <w:gridSpan w:val="2"/>
          </w:tcPr>
          <w:p>
            <w:pPr>
              <w:spacing w:after="0"/>
              <w:rPr>
                <w:sz w:val="22"/>
                <w:szCs w:val="22"/>
                <w:color w:val="auto"/>
              </w:rPr>
            </w:pPr>
          </w:p>
        </w:tc>
        <w:tc>
          <w:tcPr>
            <w:tcW w:w="8220" w:type="dxa"/>
            <w:vAlign w:val="bottom"/>
            <w:gridSpan w:val="19"/>
          </w:tcPr>
          <w:p>
            <w:pPr>
              <w:ind w:left="220"/>
              <w:spacing w:after="0"/>
              <w:rPr>
                <w:sz w:val="20"/>
                <w:szCs w:val="20"/>
                <w:color w:val="auto"/>
              </w:rPr>
            </w:pPr>
            <w:r>
              <w:rPr>
                <w:rFonts w:ascii="Times New Roman" w:cs="Times New Roman" w:eastAsia="Times New Roman" w:hAnsi="Times New Roman"/>
                <w:sz w:val="18"/>
                <w:szCs w:val="18"/>
                <w:color w:val="0000FF"/>
              </w:rPr>
              <w:t>Exhibits</w:t>
            </w: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74</w:t>
            </w:r>
          </w:p>
        </w:tc>
      </w:tr>
      <w:tr>
        <w:trPr>
          <w:trHeight w:val="20"/>
        </w:trPr>
        <w:tc>
          <w:tcPr>
            <w:tcW w:w="2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61"/>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9"/>
              </w:rPr>
              <w:t>Signatures</w:t>
            </w:r>
          </w:p>
        </w:tc>
        <w:tc>
          <w:tcPr>
            <w:tcW w:w="58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gridSpan w:val="4"/>
          </w:tcPr>
          <w:p>
            <w:pPr>
              <w:jc w:val="center"/>
              <w:ind w:left="1071"/>
              <w:spacing w:after="0"/>
              <w:rPr>
                <w:sz w:val="20"/>
                <w:szCs w:val="20"/>
                <w:color w:val="auto"/>
              </w:rPr>
            </w:pPr>
            <w:r>
              <w:rPr>
                <w:rFonts w:ascii="Times New Roman" w:cs="Times New Roman" w:eastAsia="Times New Roman" w:hAnsi="Times New Roman"/>
                <w:sz w:val="18"/>
                <w:szCs w:val="18"/>
                <w:color w:val="auto"/>
                <w:w w:val="88"/>
              </w:rPr>
              <w:t>76</w:t>
            </w:r>
          </w:p>
        </w:tc>
      </w:tr>
      <w:tr>
        <w:trPr>
          <w:trHeight w:val="20"/>
        </w:trPr>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76200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 REGARDING CHANGE TO EQUITY METHOD ACCOUNTING</w:t>
      </w:r>
    </w:p>
    <w:p>
      <w:pPr>
        <w:spacing w:after="0" w:line="118" w:lineRule="exact"/>
        <w:rPr>
          <w:sz w:val="20"/>
          <w:szCs w:val="20"/>
          <w:color w:val="auto"/>
        </w:rPr>
      </w:pPr>
    </w:p>
    <w:p>
      <w:pPr>
        <w:ind w:left="20" w:firstLine="641"/>
        <w:spacing w:after="0" w:line="252" w:lineRule="auto"/>
        <w:rPr>
          <w:sz w:val="20"/>
          <w:szCs w:val="20"/>
          <w:color w:val="auto"/>
        </w:rPr>
      </w:pPr>
      <w:r>
        <w:rPr>
          <w:rFonts w:ascii="Times New Roman" w:cs="Times New Roman" w:eastAsia="Times New Roman" w:hAnsi="Times New Roman"/>
          <w:sz w:val="18"/>
          <w:szCs w:val="18"/>
          <w:color w:val="auto"/>
        </w:rPr>
        <w:t>Effective as of February 28, 2025, as a result of the spin-off (the "Spin-Off") of Resolute Holdings Management, Inc. ("Resolute Holdings") and the related Management Agreement (the "Management Agreement") between the Company's wholly-owned subsidiary, CompoSecure Holdings, L.L.C. ("Holdings") and Resolute Holdings, the results of operations of Holdings, and its operating company subsidiaries, are not consolidated in the Company's financial statements included in this Quarterly Report on Form 10-Q and, instead, are accounted for under the equity method of accounting. Under the equity method of accounting, Holdings’ accounts are not reflected within the Company’s consolidated balance sheets and statements of operations. The Company’s share of the earnings of Holdings is reported in the Company’s consolidated statements of operations as earnings from equity method investment. The Company’s carrying value in Holdings is reported on the Company’s consolidated balance sheets as equity method investment.</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1"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212" w:lineRule="exact"/>
        <w:rPr>
          <w:sz w:val="20"/>
          <w:szCs w:val="20"/>
          <w:color w:val="auto"/>
        </w:rPr>
      </w:pPr>
    </w:p>
    <w:p>
      <w:pPr>
        <w:ind w:right="180" w:firstLine="641"/>
        <w:spacing w:after="0" w:line="262"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204"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rapidly evolving domestic and global economic conditions, which are beyond our control;</w:t>
      </w:r>
    </w:p>
    <w:p>
      <w:pPr>
        <w:spacing w:after="0" w:line="2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retain existing customers or identify and attract new customers;</w:t>
      </w:r>
    </w:p>
    <w:p>
      <w:pPr>
        <w:spacing w:after="0" w:line="233" w:lineRule="exact"/>
        <w:rPr>
          <w:rFonts w:ascii="Times New Roman" w:cs="Times New Roman" w:eastAsia="Times New Roman" w:hAnsi="Times New Roman"/>
          <w:sz w:val="18"/>
          <w:szCs w:val="18"/>
          <w:color w:val="auto"/>
        </w:rPr>
      </w:pPr>
    </w:p>
    <w:p>
      <w:pPr>
        <w:ind w:left="640" w:right="60" w:hanging="313"/>
        <w:spacing w:after="0" w:line="23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security breaches could compromise our systems and confidential information, cause reputational and financial damage and increase risks of litigation;</w:t>
      </w:r>
    </w:p>
    <w:p>
      <w:pPr>
        <w:spacing w:after="0" w:line="19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outages, data loss or other interruptions could affect our operations;</w:t>
      </w:r>
    </w:p>
    <w:p>
      <w:pPr>
        <w:spacing w:after="0" w:line="2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retain and develop qualified personnel, including for areas of newer specialized technology;</w:t>
      </w:r>
    </w:p>
    <w:p>
      <w:pPr>
        <w:spacing w:after="0" w:line="207" w:lineRule="exact"/>
        <w:rPr>
          <w:rFonts w:ascii="Times New Roman" w:cs="Times New Roman" w:eastAsia="Times New Roman" w:hAnsi="Times New Roman"/>
          <w:sz w:val="18"/>
          <w:szCs w:val="18"/>
          <w:color w:val="auto"/>
        </w:rPr>
      </w:pPr>
    </w:p>
    <w:p>
      <w:pPr>
        <w:ind w:left="640" w:right="100" w:hanging="313"/>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may depend upon our ability to develop and commercialize new products, and we may be unable to introduce new products and services in a timely manner;</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or the performance of our suppliers and/or development partners could occur;</w:t>
      </w:r>
    </w:p>
    <w:p>
      <w:pPr>
        <w:spacing w:after="0" w:line="220" w:lineRule="exact"/>
        <w:rPr>
          <w:rFonts w:ascii="Times New Roman" w:cs="Times New Roman" w:eastAsia="Times New Roman" w:hAnsi="Times New Roman"/>
          <w:sz w:val="18"/>
          <w:szCs w:val="18"/>
          <w:color w:val="auto"/>
        </w:rPr>
      </w:pPr>
    </w:p>
    <w:p>
      <w:pPr>
        <w:ind w:left="640" w:right="60" w:hanging="313"/>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 digital assets industry and may not succeed in fully commercializing the products and solutions derived from the Arculus technology;</w:t>
      </w:r>
    </w:p>
    <w:p>
      <w:pPr>
        <w:spacing w:after="0" w:line="176" w:lineRule="exact"/>
        <w:rPr>
          <w:rFonts w:ascii="Times New Roman" w:cs="Times New Roman" w:eastAsia="Times New Roman" w:hAnsi="Times New Roman"/>
          <w:sz w:val="18"/>
          <w:szCs w:val="18"/>
          <w:color w:val="auto"/>
        </w:rPr>
      </w:pPr>
    </w:p>
    <w:p>
      <w:pPr>
        <w:ind w:left="640" w:right="180" w:hanging="313"/>
        <w:spacing w:after="0" w:line="24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rapid evolution of the security markets, including that our Arculus Authenticate solutions may not achieve widespread market acceptance or may not provide sufficient protection;</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distribution partners and the risk of their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00" w:right="379" w:bottom="1440" w:gutter="0" w:footer="0" w:header="0"/>
        </w:sectPr>
      </w:pPr>
    </w:p>
    <w:bookmarkStart w:id="4" w:name="page5"/>
    <w:bookmarkEnd w:id="4"/>
    <w:p>
      <w:pPr>
        <w:spacing w:after="0" w:line="191" w:lineRule="exact"/>
        <w:rPr>
          <w:sz w:val="20"/>
          <w:szCs w:val="20"/>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market share and profitability due to competition;</w:t>
      </w:r>
    </w:p>
    <w:p>
      <w:pPr>
        <w:spacing w:after="0" w:line="247" w:lineRule="exact"/>
        <w:rPr>
          <w:rFonts w:ascii="Times New Roman" w:cs="Times New Roman" w:eastAsia="Times New Roman" w:hAnsi="Times New Roman"/>
          <w:sz w:val="18"/>
          <w:szCs w:val="18"/>
          <w:color w:val="auto"/>
        </w:rPr>
      </w:pPr>
    </w:p>
    <w:p>
      <w:pPr>
        <w:ind w:left="640" w:right="42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management of our business by Resolute Holdings, including our reliance on Resolute Holdings for management services under the Management Agreement, which gives Resolute Holdings substantial influence over our business, operations, and strategy;</w:t>
      </w:r>
    </w:p>
    <w:p>
      <w:pPr>
        <w:spacing w:after="0" w:line="190" w:lineRule="exact"/>
        <w:rPr>
          <w:rFonts w:ascii="Times New Roman" w:cs="Times New Roman" w:eastAsia="Times New Roman" w:hAnsi="Times New Roman"/>
          <w:sz w:val="18"/>
          <w:szCs w:val="18"/>
          <w:color w:val="auto"/>
        </w:rPr>
      </w:pPr>
    </w:p>
    <w:p>
      <w:pPr>
        <w:ind w:left="640" w:right="2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successfully manage and integrate acquisitions or strategic transactions, which could negatively impact our financial performance and growth prospects;</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outcome of any legal proceedings that may be instituted against the Company or others;</w:t>
      </w:r>
    </w:p>
    <w:p>
      <w:pPr>
        <w:spacing w:after="0" w:line="233" w:lineRule="exact"/>
        <w:rPr>
          <w:rFonts w:ascii="Times New Roman" w:cs="Times New Roman" w:eastAsia="Times New Roman" w:hAnsi="Times New Roman"/>
          <w:sz w:val="18"/>
          <w:szCs w:val="18"/>
          <w:color w:val="231F20"/>
        </w:rPr>
      </w:pPr>
    </w:p>
    <w:p>
      <w:pPr>
        <w:ind w:left="64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U.S. tariffs or other trade restrictions on imported raw materials, and any retaliatory measures by other countries, could increase our costs which could have a material adverse impact on our margins;</w:t>
      </w:r>
    </w:p>
    <w:p>
      <w:pPr>
        <w:spacing w:after="0" w:line="19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 and</w:t>
      </w:r>
    </w:p>
    <w:p>
      <w:pPr>
        <w:spacing w:after="0" w:line="247"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report, including those under “Risk Factors” herein, and other filings that have been made or will be made with the SEC.</w:t>
      </w:r>
    </w:p>
    <w:p>
      <w:pPr>
        <w:spacing w:after="0" w:line="190"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right"/>
        <w:ind w:right="3299"/>
        <w:spacing w:after="0"/>
        <w:rPr>
          <w:sz w:val="20"/>
          <w:szCs w:val="20"/>
          <w:color w:val="auto"/>
        </w:rPr>
      </w:pPr>
      <w:r>
        <w:rPr>
          <w:rFonts w:ascii="Times New Roman" w:cs="Times New Roman" w:eastAsia="Times New Roman" w:hAnsi="Times New Roman"/>
          <w:sz w:val="20"/>
          <w:szCs w:val="20"/>
          <w:b w:val="1"/>
          <w:bCs w:val="1"/>
          <w:color w:val="auto"/>
        </w:rPr>
        <w:t>Part I -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5"/>
        </w:trPr>
        <w:tc>
          <w:tcPr>
            <w:tcW w:w="7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Unaudited</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77,461</w:t>
            </w:r>
          </w:p>
        </w:tc>
      </w:tr>
      <w:tr>
        <w:trPr>
          <w:trHeight w:val="222"/>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47,449</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44,833</w:t>
            </w:r>
          </w:p>
        </w:tc>
      </w:tr>
      <w:tr>
        <w:trPr>
          <w:trHeight w:val="222"/>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w:t>
            </w:r>
          </w:p>
        </w:tc>
      </w:tr>
      <w:tr>
        <w:trPr>
          <w:trHeight w:val="32"/>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7"/>
        </w:trPr>
        <w:tc>
          <w:tcPr>
            <w:tcW w:w="71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173,902</w:t>
            </w:r>
          </w:p>
        </w:tc>
      </w:tr>
      <w:tr>
        <w:trPr>
          <w:trHeight w:val="200"/>
        </w:trPr>
        <w:tc>
          <w:tcPr>
            <w:tcW w:w="7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23,448</w:t>
            </w: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 - operating leases</w:t>
            </w:r>
          </w:p>
        </w:tc>
        <w:tc>
          <w:tcPr>
            <w:tcW w:w="24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289,152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264,815</w:t>
            </w: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 - interest rate swap</w:t>
            </w:r>
          </w:p>
        </w:tc>
        <w:tc>
          <w:tcPr>
            <w:tcW w:w="24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24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r>
      <w:tr>
        <w:trPr>
          <w:trHeight w:val="32"/>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71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505,475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473,918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10"/>
        </w:trPr>
        <w:tc>
          <w:tcPr>
            <w:tcW w:w="7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0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11,544</w:t>
            </w:r>
          </w:p>
        </w:tc>
      </w:tr>
      <w:tr>
        <w:trPr>
          <w:trHeight w:val="222"/>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14,682</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Bonus payable</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8,466</w:t>
            </w:r>
          </w:p>
        </w:tc>
      </w:tr>
      <w:tr>
        <w:trPr>
          <w:trHeight w:val="222"/>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Commission payable</w:t>
            </w:r>
          </w:p>
        </w:tc>
        <w:tc>
          <w:tcPr>
            <w:tcW w:w="24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w:t>
            </w:r>
          </w:p>
        </w:tc>
      </w:tr>
      <w:tr>
        <w:trPr>
          <w:trHeight w:val="222"/>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Current portion of lease liabilities - operating leases</w:t>
            </w:r>
          </w:p>
        </w:tc>
        <w:tc>
          <w:tcPr>
            <w:tcW w:w="24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Current portion of earnout consideration liability</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20,533</w:t>
            </w:r>
          </w:p>
        </w:tc>
      </w:tr>
      <w:tr>
        <w:trPr>
          <w:trHeight w:val="222"/>
        </w:trPr>
        <w:tc>
          <w:tcPr>
            <w:tcW w:w="7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Current portion of tax receivable agreement liability</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w:t>
            </w:r>
          </w:p>
        </w:tc>
      </w:tr>
      <w:tr>
        <w:trPr>
          <w:trHeight w:val="32"/>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7"/>
        </w:trPr>
        <w:tc>
          <w:tcPr>
            <w:tcW w:w="71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58,462</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76,322</w:t>
            </w:r>
          </w:p>
        </w:tc>
      </w:tr>
      <w:tr>
        <w:trPr>
          <w:trHeight w:val="200"/>
        </w:trPr>
        <w:tc>
          <w:tcPr>
            <w:tcW w:w="7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184,389</w:t>
            </w: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104,231</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 operating leases</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receivable agreement liability</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248,534</w:t>
            </w:r>
          </w:p>
        </w:tc>
      </w:tr>
      <w:tr>
        <w:trPr>
          <w:trHeight w:val="32"/>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7"/>
        </w:trPr>
        <w:tc>
          <w:tcPr>
            <w:tcW w:w="71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353,006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617,364</w:t>
            </w:r>
          </w:p>
        </w:tc>
      </w:tr>
      <w:tr>
        <w:trPr>
          <w:trHeight w:val="160"/>
        </w:trPr>
        <w:tc>
          <w:tcPr>
            <w:tcW w:w="7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147"/>
        </w:trPr>
        <w:tc>
          <w:tcPr>
            <w:tcW w:w="7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no shares issued and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$0.0001 par value; 1,000,000,000 and 250,000,000 shares were authorized as of</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0"/>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2025 and December 31, 2024, respectively; 124,961,235 and 100,462,844 shares issued and</w:t>
            </w: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2025 and December 31, 2024, respectively</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shares</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659,319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361,379</w:t>
            </w:r>
          </w:p>
        </w:tc>
      </w:tr>
      <w:tr>
        <w:trPr>
          <w:trHeight w:val="32"/>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w:t>
            </w:r>
          </w:p>
        </w:tc>
      </w:tr>
      <w:tr>
        <w:trPr>
          <w:trHeight w:val="222"/>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(507,378)</w:t>
            </w:r>
          </w:p>
        </w:tc>
      </w:tr>
      <w:tr>
        <w:trPr>
          <w:trHeight w:val="32"/>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7"/>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(143,446)</w:t>
            </w:r>
          </w:p>
        </w:tc>
      </w:tr>
      <w:tr>
        <w:trPr>
          <w:trHeight w:val="247"/>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505,475</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473,918</w:t>
            </w: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financial statements.</w:t>
      </w:r>
    </w:p>
    <w:p>
      <w:pPr>
        <w:sectPr>
          <w:pgSz w:w="11900" w:h="16838" w:orient="portrait"/>
          <w:cols w:equalWidth="0" w:num="1">
            <w:col w:w="11240"/>
          </w:cols>
          <w:pgMar w:left="320" w:top="175"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(Unaudited)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5"/>
        </w:trPr>
        <w:tc>
          <w:tcPr>
            <w:tcW w:w="4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4"/>
        </w:trPr>
        <w:tc>
          <w:tcPr>
            <w:tcW w:w="4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2"/>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107,135</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59,824</w:t>
            </w:r>
          </w:p>
        </w:tc>
        <w:tc>
          <w:tcPr>
            <w:tcW w:w="80" w:type="dxa"/>
            <w:vAlign w:val="bottom"/>
          </w:tcPr>
          <w:p>
            <w:pPr>
              <w:spacing w:after="0"/>
              <w:rPr>
                <w:sz w:val="19"/>
                <w:szCs w:val="19"/>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319,712</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153,019</w:t>
            </w:r>
          </w:p>
        </w:tc>
      </w:tr>
      <w:tr>
        <w:trPr>
          <w:trHeight w:val="215"/>
        </w:trPr>
        <w:tc>
          <w:tcPr>
            <w:tcW w:w="4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28,749</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166,693</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2"/>
        </w:trPr>
        <w:tc>
          <w:tcPr>
            <w:tcW w:w="4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74,673</w:t>
            </w:r>
          </w:p>
        </w:tc>
      </w:tr>
      <w:tr>
        <w:trPr>
          <w:trHeight w:val="32"/>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4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92,020</w:t>
            </w:r>
          </w:p>
        </w:tc>
      </w:tr>
      <w:tr>
        <w:trPr>
          <w:trHeight w:val="234"/>
        </w:trPr>
        <w:tc>
          <w:tcPr>
            <w:tcW w:w="49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Other (expense) income</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2"/>
        </w:trPr>
        <w:tc>
          <w:tcPr>
            <w:tcW w:w="4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Revaluation of warrant liability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(76,211)</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Revaluation of earnout consideration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(34,060)</w:t>
            </w:r>
          </w:p>
        </w:tc>
      </w:tr>
      <w:tr>
        <w:trPr>
          <w:trHeight w:val="213"/>
        </w:trPr>
        <w:tc>
          <w:tcPr>
            <w:tcW w:w="4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Change in fair value of derivative liability - convertible notes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redemption make-whole provision</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(19,257)</w:t>
            </w:r>
          </w:p>
        </w:tc>
      </w:tr>
      <w:tr>
        <w:trPr>
          <w:trHeight w:val="222"/>
        </w:trPr>
        <w:tc>
          <w:tcPr>
            <w:tcW w:w="4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22"/>
        </w:trPr>
        <w:tc>
          <w:tcPr>
            <w:tcW w:w="49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32"/>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49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shd w:val="clear" w:color="auto" w:fill="CCEEFF"/>
              </w:rPr>
              <w:t>Total 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(126,773)</w:t>
            </w:r>
          </w:p>
        </w:tc>
      </w:tr>
      <w:tr>
        <w:trPr>
          <w:trHeight w:val="215"/>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(184,529)</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(84,845)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(217,673)</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(34,753)</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5"/>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earnings in equity method investment</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(214,333)</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(272,719)</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(34,804)</w:t>
            </w:r>
          </w:p>
        </w:tc>
      </w:tr>
      <w:tr>
        <w:trPr>
          <w:trHeight w:val="32"/>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in equity method investment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(174,696)</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(85,474)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(179,329)</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(34,804)</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0"/>
        </w:trPr>
        <w:tc>
          <w:tcPr>
            <w:tcW w:w="4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2"/>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(43,414)</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(18,414)</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CompoSecure, Inc.</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(174,696)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(179,329)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(16,390)</w:t>
            </w:r>
          </w:p>
        </w:tc>
      </w:tr>
      <w:tr>
        <w:trPr>
          <w:trHeight w:val="254"/>
        </w:trPr>
        <w:tc>
          <w:tcPr>
            <w:tcW w:w="4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CompoSecure, Inc. - basic</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22"/>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CompoSecure, Inc. - diluted</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9"/>
                <w:szCs w:val="19"/>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9"/>
                <w:szCs w:val="19"/>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4"/>
        </w:trPr>
        <w:tc>
          <w:tcPr>
            <w:tcW w:w="4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to compute net loss per share attributable to</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stockholders - basic</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28,110</w:t>
            </w:r>
          </w:p>
        </w:tc>
      </w:tr>
      <w:tr>
        <w:trPr>
          <w:trHeight w:val="32"/>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to compute net loss per share attributable to</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stockholders - diluted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28,110</w:t>
            </w:r>
          </w:p>
        </w:tc>
      </w:tr>
      <w:tr>
        <w:trPr>
          <w:trHeight w:val="32"/>
        </w:trPr>
        <w:tc>
          <w:tcPr>
            <w:tcW w:w="4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financial statements.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(Unaudited)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40" w:type="dxa"/>
            <w:vAlign w:val="bottom"/>
          </w:tcPr>
          <w:p>
            <w:pPr>
              <w:spacing w:after="0"/>
              <w:rPr>
                <w:sz w:val="18"/>
                <w:szCs w:val="18"/>
                <w:color w:val="auto"/>
              </w:rPr>
            </w:pPr>
          </w:p>
        </w:tc>
        <w:tc>
          <w:tcPr>
            <w:tcW w:w="358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18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2"/>
        </w:trPr>
        <w:tc>
          <w:tcPr>
            <w:tcW w:w="4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2"/>
        </w:trPr>
        <w:tc>
          <w:tcPr>
            <w:tcW w:w="4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(174,696)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loss on derivative - interest rate swap (net of</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w:t>
            </w:r>
          </w:p>
        </w:tc>
        <w:tc>
          <w:tcPr>
            <w:tcW w:w="10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0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32"/>
        </w:trPr>
        <w:tc>
          <w:tcPr>
            <w:tcW w:w="4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(174,696)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 (Unaudited)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6938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8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8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5"/>
        </w:trPr>
        <w:tc>
          <w:tcPr>
            <w:tcW w:w="24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100,462,844</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361,379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(507,378)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(143,446)</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and exercise of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21,492</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equity-based plans, net of shares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1,418,449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withheld related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net share settlement of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 interest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swap</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Deemed dividend for issuance of share-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based compensation to Resolute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Holdings employees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granted to</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Resolute Holdings employees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26,020</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Spin-Off of Resolute Holdings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Deconsolidation of CompoSecure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Holdings, L.L.C.</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48,208</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102,317,852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206,477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(293,588)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(87,307)</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(26,125)</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equity-based plans, net of shares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 for taxes and warrants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Spin-Off of Resolute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Holdings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granted at</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Holdings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102,357,732</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213,533</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(319,713)</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(106,376)</w:t>
            </w:r>
          </w:p>
        </w:tc>
        <w:tc>
          <w:tcPr>
            <w:tcW w:w="10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4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financial statements.</w:t>
      </w: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75" w:right="55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 (Unaudited)</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6938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8645" cy="8255"/>
                    </a:xfrm>
                    <a:prstGeom prst="rect">
                      <a:avLst/>
                    </a:prstGeom>
                    <a:noFill/>
                  </pic:spPr>
                </pic:pic>
              </a:graphicData>
            </a:graphic>
          </wp:anchor>
        </w:drawing>
      </w:r>
    </w:p>
    <w:p>
      <w:pPr>
        <w:sectPr>
          <w:pgSz w:w="11900" w:h="16838" w:orient="portrait"/>
          <w:cols w:equalWidth="0" w:num="1">
            <w:col w:w="11020"/>
          </w:cols>
          <w:pgMar w:left="320" w:top="17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Proceeds from exercise of options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 of Treasury shares</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6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4"/>
          <w:szCs w:val="14"/>
          <w:color w:val="auto"/>
        </w:rPr>
        <w:t>Class A common stock issued pursuant to equity-based plans, net of shares withheld for taxes</w:t>
      </w:r>
    </w:p>
    <w:p>
      <w:pPr>
        <w:spacing w:after="0" w:line="12" w:lineRule="exact"/>
        <w:rPr>
          <w:sz w:val="20"/>
          <w:szCs w:val="20"/>
          <w:color w:val="auto"/>
        </w:rPr>
      </w:pPr>
    </w:p>
    <w:p>
      <w:pPr>
        <w:ind w:left="20" w:right="300"/>
        <w:spacing w:after="0" w:line="338" w:lineRule="auto"/>
        <w:rPr>
          <w:sz w:val="20"/>
          <w:szCs w:val="20"/>
          <w:color w:val="auto"/>
        </w:rPr>
      </w:pPr>
      <w:r>
        <w:rPr>
          <w:rFonts w:ascii="Times New Roman" w:cs="Times New Roman" w:eastAsia="Times New Roman" w:hAnsi="Times New Roman"/>
          <w:sz w:val="14"/>
          <w:szCs w:val="14"/>
          <w:color w:val="auto"/>
        </w:rPr>
        <w:t>Tax receivable agreement liability Exercise of Earnouts</w:t>
      </w:r>
    </w:p>
    <w:p>
      <w:pPr>
        <w:spacing w:after="0" w:line="1" w:lineRule="exact"/>
        <w:rPr>
          <w:sz w:val="20"/>
          <w:szCs w:val="20"/>
          <w:color w:val="auto"/>
        </w:rPr>
      </w:pPr>
    </w:p>
    <w:p>
      <w:pPr>
        <w:ind w:left="20" w:right="120"/>
        <w:spacing w:after="0" w:line="294" w:lineRule="auto"/>
        <w:rPr>
          <w:sz w:val="20"/>
          <w:szCs w:val="20"/>
          <w:color w:val="auto"/>
        </w:rPr>
      </w:pPr>
      <w:r>
        <w:rPr>
          <w:rFonts w:ascii="Times New Roman" w:cs="Times New Roman" w:eastAsia="Times New Roman" w:hAnsi="Times New Roman"/>
          <w:sz w:val="14"/>
          <w:szCs w:val="14"/>
          <w:color w:val="auto"/>
        </w:rPr>
        <w:t>Share-based compensation granted at Holdings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18,752,570</w:t>
            </w:r>
          </w:p>
        </w:tc>
        <w:tc>
          <w:tcPr>
            <w:tcW w:w="320" w:type="dxa"/>
            <w:vAlign w:val="bottom"/>
          </w:tcPr>
          <w:p>
            <w:pPr>
              <w:spacing w:after="0"/>
              <w:rPr>
                <w:sz w:val="17"/>
                <w:szCs w:val="17"/>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362,746</w:t>
            </w:r>
          </w:p>
        </w:tc>
        <w:tc>
          <w:tcPr>
            <w:tcW w:w="4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362,748</w:t>
            </w:r>
          </w:p>
        </w:tc>
        <w:tc>
          <w:tcPr>
            <w:tcW w:w="320" w:type="dxa"/>
            <w:vAlign w:val="bottom"/>
          </w:tcPr>
          <w:p>
            <w:pPr>
              <w:spacing w:after="0"/>
              <w:rPr>
                <w:sz w:val="17"/>
                <w:szCs w:val="17"/>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236</w:t>
            </w:r>
          </w:p>
        </w:tc>
        <w:tc>
          <w:tcPr>
            <w:tcW w:w="4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236</w:t>
            </w:r>
          </w:p>
        </w:tc>
        <w:tc>
          <w:tcPr>
            <w:tcW w:w="32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(647,782)</w:t>
            </w:r>
          </w:p>
        </w:tc>
        <w:tc>
          <w:tcPr>
            <w:tcW w:w="320" w:type="dxa"/>
            <w:vAlign w:val="bottom"/>
          </w:tcPr>
          <w:p>
            <w:pPr>
              <w:spacing w:after="0"/>
              <w:rPr>
                <w:sz w:val="19"/>
                <w:szCs w:val="19"/>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(12,247)</w:t>
            </w:r>
          </w:p>
        </w:tc>
        <w:tc>
          <w:tcPr>
            <w:tcW w:w="200" w:type="dxa"/>
            <w:vAlign w:val="bottom"/>
          </w:tcPr>
          <w:p>
            <w:pPr>
              <w:spacing w:after="0"/>
              <w:rPr>
                <w:sz w:val="19"/>
                <w:szCs w:val="19"/>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(12,247)</w:t>
            </w:r>
          </w:p>
        </w:tc>
        <w:tc>
          <w:tcPr>
            <w:tcW w:w="32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(174,696)</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(174,696)</w:t>
            </w:r>
          </w:p>
        </w:tc>
        <w:tc>
          <w:tcPr>
            <w:tcW w:w="32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588"/>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253,118</w:t>
            </w:r>
          </w:p>
        </w:tc>
        <w:tc>
          <w:tcPr>
            <w:tcW w:w="320" w:type="dxa"/>
            <w:vAlign w:val="bottom"/>
          </w:tcPr>
          <w:p>
            <w:pPr>
              <w:spacing w:after="0"/>
              <w:rPr>
                <w:sz w:val="24"/>
                <w:szCs w:val="24"/>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2,250</w:t>
            </w:r>
          </w:p>
        </w:tc>
        <w:tc>
          <w:tcPr>
            <w:tcW w:w="4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2,250</w:t>
            </w:r>
          </w:p>
        </w:tc>
        <w:tc>
          <w:tcPr>
            <w:tcW w:w="32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4,245,597</w:t>
            </w:r>
          </w:p>
        </w:tc>
        <w:tc>
          <w:tcPr>
            <w:tcW w:w="320" w:type="dxa"/>
            <w:vAlign w:val="bottom"/>
          </w:tcPr>
          <w:p>
            <w:pPr>
              <w:spacing w:after="0"/>
              <w:rPr>
                <w:sz w:val="19"/>
                <w:szCs w:val="19"/>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74,908</w:t>
            </w:r>
          </w:p>
        </w:tc>
        <w:tc>
          <w:tcPr>
            <w:tcW w:w="4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74,908</w:t>
            </w:r>
          </w:p>
        </w:tc>
        <w:tc>
          <w:tcPr>
            <w:tcW w:w="32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414"/>
        </w:trPr>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5,646</w:t>
            </w:r>
          </w:p>
        </w:tc>
        <w:tc>
          <w:tcPr>
            <w:tcW w:w="420" w:type="dxa"/>
            <w:vAlign w:val="bottom"/>
          </w:tcPr>
          <w:p>
            <w:pPr>
              <w:spacing w:after="0"/>
              <w:rPr>
                <w:sz w:val="24"/>
                <w:szCs w:val="2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5,646</w:t>
            </w:r>
          </w:p>
        </w:tc>
        <w:tc>
          <w:tcPr>
            <w:tcW w:w="32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6"/>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124,961,235</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(12,247)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659,319</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(206)</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(494,409)</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152,469</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-1687195</wp:posOffset>
            </wp:positionV>
            <wp:extent cx="6998335"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335" cy="14414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-1398905</wp:posOffset>
            </wp:positionV>
            <wp:extent cx="6998335" cy="144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335" cy="14414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-1110615</wp:posOffset>
            </wp:positionV>
            <wp:extent cx="6998335" cy="373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335" cy="37338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-593090</wp:posOffset>
            </wp:positionV>
            <wp:extent cx="6998335"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335" cy="14414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-186055</wp:posOffset>
            </wp:positionV>
            <wp:extent cx="6998335" cy="169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33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60"/>
            <w:col w:w="8600"/>
          </w:cols>
          <w:pgMar w:left="320" w:top="175" w:right="559" w:bottom="1440" w:gutter="0" w:footer="0" w:header="0"/>
          <w:type w:val="continuous"/>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4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5"/>
        </w:trPr>
        <w:tc>
          <w:tcPr>
            <w:tcW w:w="2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left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19,415,123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59,958,422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(846,825)</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(802,360)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596,587</w:t>
            </w: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80" w:type="dxa"/>
            <w:vAlign w:val="bottom"/>
          </w:tcPr>
          <w:p>
            <w:pPr>
              <w:spacing w:after="0"/>
              <w:rPr>
                <w:sz w:val="17"/>
                <w:szCs w:val="17"/>
                <w:color w:val="auto"/>
              </w:rPr>
            </w:pPr>
          </w:p>
        </w:tc>
        <w:tc>
          <w:tcPr>
            <w:tcW w:w="7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employee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 and exercise of options</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7"/>
                <w:szCs w:val="17"/>
                <w:color w:val="auto"/>
              </w:rPr>
            </w:pPr>
          </w:p>
        </w:tc>
        <w:tc>
          <w:tcPr>
            <w:tcW w:w="7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4,025</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equity-based plans, net of shares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taxes and employee stock</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lef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 transactions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1,183,123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withheld related</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lef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net share settlement of equity awards</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 interest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lef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swap</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7"/>
                <w:szCs w:val="17"/>
                <w:color w:val="auto"/>
              </w:rPr>
            </w:pPr>
          </w:p>
        </w:tc>
        <w:tc>
          <w:tcPr>
            <w:tcW w:w="7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of redeemable non-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lef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controlling interests to redemption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lef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w:t>
            </w: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0" w:type="dxa"/>
            <w:vAlign w:val="bottom"/>
          </w:tcPr>
          <w:p>
            <w:pPr>
              <w:spacing w:after="0"/>
              <w:rPr>
                <w:sz w:val="1"/>
                <w:szCs w:val="1"/>
                <w:color w:val="auto"/>
              </w:rPr>
            </w:pPr>
          </w:p>
        </w:tc>
      </w:tr>
      <w:tr>
        <w:trPr>
          <w:trHeight w:val="22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20,598,246</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59,958,422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40,494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5,443</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(839,903)</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(793,958)</w:t>
            </w:r>
          </w:p>
        </w:tc>
        <w:tc>
          <w:tcPr>
            <w:tcW w:w="80" w:type="dxa"/>
            <w:vAlign w:val="bottom"/>
          </w:tcPr>
          <w:p>
            <w:pPr>
              <w:spacing w:after="0"/>
              <w:rPr>
                <w:sz w:val="19"/>
                <w:szCs w:val="19"/>
                <w:color w:val="auto"/>
              </w:rPr>
            </w:pPr>
          </w:p>
        </w:tc>
        <w:tc>
          <w:tcPr>
            <w:tcW w:w="780" w:type="dxa"/>
            <w:vAlign w:val="bottom"/>
            <w:tcBorders>
              <w:top w:val="single" w:sz="8" w:color="auto"/>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596,587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to Class A shareholders</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80" w:type="dxa"/>
            <w:vAlign w:val="bottom"/>
            <w:shd w:val="clear" w:color="auto" w:fill="CCEEFF"/>
          </w:tcPr>
          <w:p>
            <w:pPr>
              <w:spacing w:after="0"/>
              <w:rPr>
                <w:sz w:val="17"/>
                <w:szCs w:val="17"/>
                <w:color w:val="auto"/>
              </w:rPr>
            </w:pPr>
          </w:p>
        </w:tc>
        <w:tc>
          <w:tcPr>
            <w:tcW w:w="780" w:type="dxa"/>
            <w:vAlign w:val="bottom"/>
            <w:tcBorders>
              <w:lef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financial statements.</w:t>
      </w: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75" w:right="559" w:bottom="1440" w:gutter="0" w:footer="0" w:header="0"/>
          <w:type w:val="continuous"/>
        </w:sectPr>
      </w:pPr>
    </w:p>
    <w:bookmarkStart w:id="11" w:name="page12"/>
    <w:bookmarkEnd w:id="11"/>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 (Unaudited)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6938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8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(31,589)</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2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exercise of options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11,099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22,498</w:t>
            </w: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plans, net of shares withheld for</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and employee stock purchase plan</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1,199,092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withheld related to net</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settlement of equity awards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 Class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common stock exchanges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8,050,000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(8,050,000)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 interest rate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2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 to redemption value</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102,596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102,596</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(102,596)</w:t>
            </w: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29,847,338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51,908,422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36,258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(766,719)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(725,605)</w:t>
            </w:r>
          </w:p>
        </w:tc>
        <w:tc>
          <w:tcPr>
            <w:tcW w:w="100" w:type="dxa"/>
            <w:vAlign w:val="bottom"/>
            <w:tcBorders>
              <w:righ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516,489</w:t>
            </w: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exercise of options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(42,060)</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(43,414)</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plans, net of shares withheld for</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7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and employee stock purchase plan</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9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921,594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issued pursuant to Class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 common stock exchanges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51,908,422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(51,908,422)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derivative - interest rate</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12,248</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2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2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 to redemption value</w:t>
            </w: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123,542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349,533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473,075</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(473,075)</w:t>
            </w:r>
          </w:p>
        </w:tc>
      </w:tr>
      <w:tr>
        <w:trPr>
          <w:trHeight w:val="22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82,677,354</w:t>
            </w: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180,356</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(467,942)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(285,009)</w:t>
            </w:r>
          </w:p>
        </w:tc>
        <w:tc>
          <w:tcPr>
            <w:tcW w:w="100" w:type="dxa"/>
            <w:vAlign w:val="bottom"/>
            <w:tcBorders>
              <w:top w:val="single" w:sz="8" w:color="auto"/>
              <w:bottom w:val="single" w:sz="8" w:color="auto"/>
              <w:righ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financial statements.</w:t>
      </w:r>
    </w:p>
    <w:p>
      <w:pPr>
        <w:spacing w:after="0" w:line="1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175"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(Unaudited)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43815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6840" w:type="dxa"/>
            <w:vAlign w:val="bottom"/>
          </w:tcPr>
          <w:p>
            <w:pPr>
              <w:spacing w:after="0"/>
              <w:rPr>
                <w:sz w:val="14"/>
                <w:szCs w:val="14"/>
                <w:color w:val="auto"/>
              </w:rPr>
            </w:pPr>
          </w:p>
        </w:tc>
        <w:tc>
          <w:tcPr>
            <w:tcW w:w="3320" w:type="dxa"/>
            <w:vAlign w:val="bottom"/>
            <w:gridSpan w:val="4"/>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40" w:type="dxa"/>
            <w:vAlign w:val="bottom"/>
          </w:tcPr>
          <w:p>
            <w:pPr>
              <w:spacing w:after="0"/>
              <w:rPr>
                <w:sz w:val="14"/>
                <w:szCs w:val="14"/>
                <w:color w:val="auto"/>
              </w:rPr>
            </w:pPr>
          </w:p>
        </w:tc>
      </w:tr>
      <w:tr>
        <w:trPr>
          <w:trHeight w:val="42"/>
        </w:trPr>
        <w:tc>
          <w:tcPr>
            <w:tcW w:w="68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65"/>
        </w:trPr>
        <w:tc>
          <w:tcPr>
            <w:tcW w:w="6840" w:type="dxa"/>
            <w:vAlign w:val="bottom"/>
          </w:tcPr>
          <w:p>
            <w:pPr>
              <w:spacing w:after="0"/>
              <w:rPr>
                <w:sz w:val="14"/>
                <w:szCs w:val="14"/>
                <w:color w:val="auto"/>
              </w:rPr>
            </w:pPr>
          </w:p>
        </w:tc>
        <w:tc>
          <w:tcPr>
            <w:tcW w:w="126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2025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540" w:type="dxa"/>
            <w:vAlign w:val="bottom"/>
          </w:tcPr>
          <w:p>
            <w:pPr>
              <w:spacing w:after="0"/>
              <w:rPr>
                <w:sz w:val="14"/>
                <w:szCs w:val="14"/>
                <w:color w:val="auto"/>
              </w:rPr>
            </w:pPr>
          </w:p>
        </w:tc>
      </w:tr>
      <w:tr>
        <w:trPr>
          <w:trHeight w:val="42"/>
        </w:trPr>
        <w:tc>
          <w:tcPr>
            <w:tcW w:w="68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74"/>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1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Net loss</w:t>
            </w:r>
          </w:p>
        </w:tc>
        <w:tc>
          <w:tcPr>
            <w:tcW w:w="1260" w:type="dxa"/>
            <w:vAlign w:val="bottom"/>
          </w:tcPr>
          <w:p>
            <w:pPr>
              <w:jc w:val="right"/>
              <w:ind w:right="111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(179,329)</w:t>
            </w:r>
          </w:p>
        </w:tc>
        <w:tc>
          <w:tcPr>
            <w:tcW w:w="100" w:type="dxa"/>
            <w:vAlign w:val="bottom"/>
          </w:tcPr>
          <w:p>
            <w:pPr>
              <w:spacing w:after="0"/>
              <w:rPr>
                <w:sz w:val="14"/>
                <w:szCs w:val="14"/>
                <w:color w:val="auto"/>
              </w:rPr>
            </w:pPr>
          </w:p>
        </w:tc>
        <w:tc>
          <w:tcPr>
            <w:tcW w:w="1280" w:type="dxa"/>
            <w:vAlign w:val="bottom"/>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(34,80</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Adjustments to reconcile net loss to net cash (used in) provided by operating activities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72"/>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1,623</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4,223</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w:t>
            </w:r>
          </w:p>
        </w:tc>
      </w:tr>
      <w:tr>
        <w:trPr>
          <w:trHeight w:val="172"/>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Earnings in equity method investment</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(93,390)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Cash receipts from Holdings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21,659</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2"/>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1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72"/>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Revaluation of earnout consideration liability</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57,101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34,06</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Revaluation of warrant liability</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152,782</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76,21</w:t>
            </w:r>
          </w:p>
        </w:tc>
      </w:tr>
      <w:tr>
        <w:trPr>
          <w:trHeight w:val="172"/>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Change in fair value of derivative liability</w:t>
            </w:r>
          </w:p>
        </w:tc>
        <w:tc>
          <w:tcPr>
            <w:tcW w:w="12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Non-cash operating lease expense</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r>
      <w:tr>
        <w:trPr>
          <w:trHeight w:val="172"/>
        </w:trPr>
        <w:tc>
          <w:tcPr>
            <w:tcW w:w="6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Deferred tax benefit</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(1,837)</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72"/>
        </w:trPr>
        <w:tc>
          <w:tcPr>
            <w:tcW w:w="684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Accounts receivable</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Inventories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(5,195)</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r>
      <w:tr>
        <w:trPr>
          <w:trHeight w:val="172"/>
        </w:trPr>
        <w:tc>
          <w:tcPr>
            <w:tcW w:w="684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(3,256)</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Accounts payable</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r>
      <w:tr>
        <w:trPr>
          <w:trHeight w:val="172"/>
        </w:trPr>
        <w:tc>
          <w:tcPr>
            <w:tcW w:w="684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Accrued expenses</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38,230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Lease liabilities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r>
      <w:tr>
        <w:trPr>
          <w:trHeight w:val="172"/>
        </w:trPr>
        <w:tc>
          <w:tcPr>
            <w:tcW w:w="684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Other liabilities</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(3,648)</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42"/>
        </w:trPr>
        <w:tc>
          <w:tcPr>
            <w:tcW w:w="68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0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 provided by operating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(8,893)</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95,43</w:t>
            </w:r>
          </w:p>
        </w:tc>
      </w:tr>
      <w:tr>
        <w:trPr>
          <w:trHeight w:val="87"/>
        </w:trPr>
        <w:tc>
          <w:tcPr>
            <w:tcW w:w="684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r>
      <w:tr>
        <w:trPr>
          <w:trHeight w:val="194"/>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12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Holdings cash deconsolidated as a result of the Management Agreement</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(50,303)</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Resolute Holdings cash deconsolidated as a result of the Spin-Off</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1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Capitalized software expenditures</w:t>
            </w:r>
          </w:p>
        </w:tc>
        <w:tc>
          <w:tcPr>
            <w:tcW w:w="1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65"/>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(60,690)</w:t>
            </w: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(5,51</w:t>
            </w:r>
          </w:p>
        </w:tc>
      </w:tr>
      <w:tr>
        <w:trPr>
          <w:trHeight w:val="81"/>
        </w:trPr>
        <w:tc>
          <w:tcPr>
            <w:tcW w:w="684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172"/>
        </w:trPr>
        <w:tc>
          <w:tcPr>
            <w:tcW w:w="68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126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Proceeds from employee stock purchase plan and exercise of options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Payments for taxes related to net share settlement of equity awards and earnout liability</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(18,011)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Payment of term loan</w:t>
            </w:r>
          </w:p>
        </w:tc>
        <w:tc>
          <w:tcPr>
            <w:tcW w:w="1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(10,33</w:t>
            </w: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Purchase of treasury shares</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(12,247)</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Deferred finance costs related to debt modification</w:t>
            </w:r>
          </w:p>
        </w:tc>
        <w:tc>
          <w:tcPr>
            <w:tcW w:w="1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Payment of tax receivable agreement liability</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(4,735)</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Distributions to non-controlling members</w:t>
            </w:r>
          </w:p>
        </w:tc>
        <w:tc>
          <w:tcPr>
            <w:tcW w:w="1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(34,86</w:t>
            </w: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Special distribution to non-controlling members</w:t>
            </w:r>
          </w:p>
        </w:tc>
        <w:tc>
          <w:tcPr>
            <w:tcW w:w="12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(15,57</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Dividend to Class A shareholders</w:t>
            </w:r>
          </w:p>
        </w:tc>
        <w:tc>
          <w:tcPr>
            <w:tcW w:w="1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(8,92</w:t>
            </w:r>
          </w:p>
        </w:tc>
      </w:tr>
      <w:tr>
        <w:trPr>
          <w:trHeight w:val="172"/>
        </w:trPr>
        <w:tc>
          <w:tcPr>
            <w:tcW w:w="6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Proceeds from the exercise of warrants</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154,356</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42"/>
        </w:trPr>
        <w:tc>
          <w:tcPr>
            <w:tcW w:w="68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0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1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119,484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(78,47</w:t>
            </w:r>
          </w:p>
        </w:tc>
      </w:tr>
      <w:tr>
        <w:trPr>
          <w:trHeight w:val="33"/>
        </w:trPr>
        <w:tc>
          <w:tcPr>
            <w:tcW w:w="684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r>
      <w:tr>
        <w:trPr>
          <w:trHeight w:val="194"/>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increase in cash and cash equivalents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49,901</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w:t>
            </w:r>
          </w:p>
        </w:tc>
      </w:tr>
      <w:tr>
        <w:trPr>
          <w:trHeight w:val="172"/>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77,461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41,21</w:t>
            </w:r>
          </w:p>
        </w:tc>
      </w:tr>
      <w:tr>
        <w:trPr>
          <w:trHeight w:val="42"/>
        </w:trPr>
        <w:tc>
          <w:tcPr>
            <w:tcW w:w="68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2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end of period</w:t>
            </w:r>
          </w:p>
        </w:tc>
        <w:tc>
          <w:tcPr>
            <w:tcW w:w="1260" w:type="dxa"/>
            <w:vAlign w:val="bottom"/>
            <w:tcBorders>
              <w:bottom w:val="single" w:sz="8" w:color="auto"/>
            </w:tcBorders>
            <w:shd w:val="clear" w:color="auto" w:fill="CCEEFF"/>
          </w:tcPr>
          <w:p>
            <w:pPr>
              <w:jc w:val="right"/>
              <w:ind w:right="111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127,362</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52,67</w:t>
            </w:r>
          </w:p>
        </w:tc>
      </w:tr>
      <w:tr>
        <w:trPr>
          <w:trHeight w:val="23"/>
        </w:trPr>
        <w:tc>
          <w:tcPr>
            <w:tcW w:w="6840" w:type="dxa"/>
            <w:vAlign w:val="bottom"/>
            <w:tcBorders>
              <w:top w:val="single" w:sz="8" w:color="CCEEFF"/>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6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c>
          <w:tcPr>
            <w:tcW w:w="540" w:type="dxa"/>
            <w:vAlign w:val="bottom"/>
            <w:tcBorders>
              <w:top w:val="single" w:sz="8" w:color="CCEEFF"/>
              <w:bottom w:val="single" w:sz="8" w:color="auto"/>
            </w:tcBorders>
          </w:tcPr>
          <w:p>
            <w:pPr>
              <w:spacing w:after="0"/>
              <w:rPr>
                <w:sz w:val="2"/>
                <w:szCs w:val="2"/>
                <w:color w:val="auto"/>
              </w:rPr>
            </w:pPr>
          </w:p>
        </w:tc>
      </w:tr>
      <w:tr>
        <w:trPr>
          <w:trHeight w:val="19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Supplemental disclosure of cash flow information:</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r>
      <w:tr>
        <w:trPr>
          <w:trHeight w:val="172"/>
        </w:trPr>
        <w:tc>
          <w:tcPr>
            <w:tcW w:w="68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paid for interest</w:t>
            </w:r>
          </w:p>
        </w:tc>
        <w:tc>
          <w:tcPr>
            <w:tcW w:w="1260" w:type="dxa"/>
            <w:vAlign w:val="bottom"/>
          </w:tcPr>
          <w:p>
            <w:pPr>
              <w:jc w:val="right"/>
              <w:ind w:right="111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00" w:type="dxa"/>
            <w:vAlign w:val="bottom"/>
          </w:tcPr>
          <w:p>
            <w:pPr>
              <w:spacing w:after="0"/>
              <w:rPr>
                <w:sz w:val="14"/>
                <w:szCs w:val="14"/>
                <w:color w:val="auto"/>
              </w:rPr>
            </w:pPr>
          </w:p>
        </w:tc>
        <w:tc>
          <w:tcPr>
            <w:tcW w:w="1280" w:type="dxa"/>
            <w:vAlign w:val="bottom"/>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16,98</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16,770</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w:t>
            </w:r>
          </w:p>
        </w:tc>
      </w:tr>
      <w:tr>
        <w:trPr>
          <w:trHeight w:val="172"/>
        </w:trPr>
        <w:tc>
          <w:tcPr>
            <w:tcW w:w="6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Supplemental disclosure of non-cash operating and financing activities: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Operating lease ROU assets exchanged for lease liabilities</w:t>
            </w:r>
          </w:p>
        </w:tc>
        <w:tc>
          <w:tcPr>
            <w:tcW w:w="1260" w:type="dxa"/>
            <w:vAlign w:val="bottom"/>
            <w:tcBorders>
              <w:bottom w:val="single" w:sz="8" w:color="CCEEFF"/>
            </w:tcBorders>
            <w:shd w:val="clear" w:color="auto" w:fill="CCEEFF"/>
          </w:tcPr>
          <w:p>
            <w:pPr>
              <w:jc w:val="right"/>
              <w:ind w:right="111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4,224</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13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Derivative asset - interest rate swap</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w:t>
            </w:r>
          </w:p>
        </w:tc>
      </w:tr>
      <w:tr>
        <w:trPr>
          <w:trHeight w:val="42"/>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94"/>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Non-cash portion of warrant exercise</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(215,586)</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2"/>
        </w:trPr>
        <w:tc>
          <w:tcPr>
            <w:tcW w:w="6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Settlement of earnout phase two</w:t>
            </w:r>
          </w:p>
        </w:tc>
        <w:tc>
          <w:tcPr>
            <w:tcW w:w="1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(77,634)</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financial statements.</w:t>
      </w:r>
    </w:p>
    <w:p>
      <w:pPr>
        <w:sectPr>
          <w:pgSz w:w="11900" w:h="16838" w:orient="portrait"/>
          <w:cols w:equalWidth="0" w:num="1">
            <w:col w:w="11320"/>
          </w:cols>
          <w:pgMar w:left="340" w:top="175" w:right="239" w:bottom="1099" w:gutter="0" w:footer="0" w:header="0"/>
        </w:sectPr>
      </w:pPr>
    </w:p>
    <w:p>
      <w:pPr>
        <w:spacing w:after="0" w:line="1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76200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340" w:top="175" w:right="239" w:bottom="1099"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Contribution to Holdings for share-based compensation</w:t>
            </w:r>
          </w:p>
        </w:tc>
        <w:tc>
          <w:tcPr>
            <w:tcW w:w="2600" w:type="dxa"/>
            <w:vAlign w:val="bottom"/>
            <w:tcBorders>
              <w:bottom w:val="single" w:sz="8" w:color="CCEEFF"/>
            </w:tcBorders>
            <w:shd w:val="clear" w:color="auto" w:fill="CCEEFF"/>
          </w:tcPr>
          <w:p>
            <w:pPr>
              <w:jc w:val="right"/>
              <w:ind w:right="918"/>
              <w:spacing w:after="0"/>
              <w:rPr>
                <w:sz w:val="20"/>
                <w:szCs w:val="20"/>
                <w:color w:val="auto"/>
              </w:rPr>
            </w:pPr>
            <w:r>
              <w:rPr>
                <w:rFonts w:ascii="Times New Roman" w:cs="Times New Roman" w:eastAsia="Times New Roman" w:hAnsi="Times New Roman"/>
                <w:sz w:val="12"/>
                <w:szCs w:val="12"/>
                <w:color w:val="auto"/>
              </w:rPr>
              <w:t>12,565</w:t>
            </w:r>
          </w:p>
        </w:tc>
        <w:tc>
          <w:tcPr>
            <w:tcW w:w="10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5"/>
                <w:szCs w:val="5"/>
                <w:color w:val="auto"/>
                <w:w w:val="79"/>
              </w:rPr>
              <w:t>—</w:t>
            </w:r>
          </w:p>
        </w:tc>
      </w:tr>
      <w:tr>
        <w:trPr>
          <w:trHeight w:val="172"/>
        </w:trPr>
        <w:tc>
          <w:tcPr>
            <w:tcW w:w="7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Holdings net liabilities, excluding cash and cash equivalent, deconsolidated as a result of Management Agreement</w:t>
            </w:r>
          </w:p>
        </w:tc>
        <w:tc>
          <w:tcPr>
            <w:tcW w:w="2600" w:type="dxa"/>
            <w:vAlign w:val="bottom"/>
          </w:tcPr>
          <w:p>
            <w:pPr>
              <w:jc w:val="right"/>
              <w:ind w:right="878"/>
              <w:spacing w:after="0"/>
              <w:rPr>
                <w:sz w:val="20"/>
                <w:szCs w:val="20"/>
                <w:color w:val="auto"/>
              </w:rPr>
            </w:pPr>
            <w:r>
              <w:rPr>
                <w:rFonts w:ascii="Times New Roman" w:cs="Times New Roman" w:eastAsia="Times New Roman" w:hAnsi="Times New Roman"/>
                <w:sz w:val="12"/>
                <w:szCs w:val="12"/>
                <w:color w:val="auto"/>
              </w:rPr>
              <w:t>(98,508)</w:t>
            </w:r>
          </w:p>
        </w:tc>
        <w:tc>
          <w:tcPr>
            <w:tcW w:w="1000" w:type="dxa"/>
            <w:vAlign w:val="bottom"/>
          </w:tcPr>
          <w:p>
            <w:pPr>
              <w:ind w:left="940"/>
              <w:spacing w:after="0"/>
              <w:rPr>
                <w:sz w:val="20"/>
                <w:szCs w:val="20"/>
                <w:color w:val="auto"/>
              </w:rPr>
            </w:pPr>
            <w:r>
              <w:rPr>
                <w:rFonts w:ascii="Times New Roman" w:cs="Times New Roman" w:eastAsia="Times New Roman" w:hAnsi="Times New Roman"/>
                <w:sz w:val="5"/>
                <w:szCs w:val="5"/>
                <w:color w:val="auto"/>
                <w:w w:val="79"/>
              </w:rPr>
              <w:t>—</w:t>
            </w:r>
          </w:p>
        </w:tc>
      </w:tr>
      <w:tr>
        <w:trPr>
          <w:trHeight w:val="42"/>
        </w:trPr>
        <w:tc>
          <w:tcPr>
            <w:tcW w:w="71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72"/>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Resolute Holdings net liabilities, excluding cash and cash equivalent, deconsolidated as a result of Spin-Off</w:t>
            </w:r>
          </w:p>
        </w:tc>
        <w:tc>
          <w:tcPr>
            <w:tcW w:w="260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2"/>
                <w:szCs w:val="12"/>
                <w:color w:val="auto"/>
              </w:rPr>
              <w:t>(1,542)</w:t>
            </w:r>
          </w:p>
        </w:tc>
        <w:tc>
          <w:tcPr>
            <w:tcW w:w="10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5"/>
                <w:szCs w:val="5"/>
                <w:color w:val="auto"/>
                <w:w w:val="79"/>
              </w:rPr>
              <w:t>—</w:t>
            </w:r>
          </w:p>
        </w:tc>
      </w:tr>
      <w:tr>
        <w:trPr>
          <w:trHeight w:val="42"/>
        </w:trPr>
        <w:tc>
          <w:tcPr>
            <w:tcW w:w="710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financial statements.</w:t>
      </w:r>
    </w:p>
    <w:p>
      <w:pPr>
        <w:spacing w:after="0" w:line="10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76200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00"/>
          </w:cols>
          <w:pgMar w:left="960" w:top="1440" w:right="2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ORGANIZATION AND BUSINESS OPERATIONS</w:t>
      </w:r>
    </w:p>
    <w:p>
      <w:pPr>
        <w:spacing w:after="0" w:line="224" w:lineRule="exact"/>
        <w:rPr>
          <w:sz w:val="20"/>
          <w:szCs w:val="20"/>
          <w:color w:val="auto"/>
        </w:rPr>
      </w:pPr>
    </w:p>
    <w:p>
      <w:pPr>
        <w:ind w:right="100" w:firstLine="641"/>
        <w:spacing w:after="0" w:line="252" w:lineRule="auto"/>
        <w:rPr>
          <w:sz w:val="20"/>
          <w:szCs w:val="20"/>
          <w:color w:val="auto"/>
        </w:rPr>
      </w:pPr>
      <w:r>
        <w:rPr>
          <w:rFonts w:ascii="Times New Roman" w:cs="Times New Roman" w:eastAsia="Times New Roman" w:hAnsi="Times New Roman"/>
          <w:sz w:val="18"/>
          <w:szCs w:val="18"/>
          <w:color w:val="auto"/>
        </w:rPr>
        <w:t>CompoSecure, Inc. (the “Company”), through its wholly-owned subsidiary, CompoSecure Holdings, L.L.C. ("Holdings") is a manufacturer and designer of complex metal, composite and proprietary financial transaction cards. The Company was founded and commenced operations in 2000. The Company provides products and services primarily to global financial institutions, plastic card manufacturers, system integrators, and security specialists. The Company is located in Somerset, New Jersey. Since its inception, the Company has established itself as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w:t>
      </w:r>
    </w:p>
    <w:p>
      <w:pPr>
        <w:spacing w:after="0" w:line="212" w:lineRule="exact"/>
        <w:rPr>
          <w:sz w:val="20"/>
          <w:szCs w:val="20"/>
          <w:color w:val="auto"/>
        </w:rPr>
      </w:pPr>
    </w:p>
    <w:p>
      <w:pPr>
        <w:ind w:right="80" w:firstLine="641"/>
        <w:spacing w:after="0" w:line="252" w:lineRule="auto"/>
        <w:rPr>
          <w:sz w:val="20"/>
          <w:szCs w:val="20"/>
          <w:color w:val="auto"/>
        </w:rPr>
      </w:pPr>
      <w:r>
        <w:rPr>
          <w:rFonts w:ascii="Times New Roman" w:cs="Times New Roman" w:eastAsia="Times New Roman" w:hAnsi="Times New Roman"/>
          <w:sz w:val="18"/>
          <w:szCs w:val="18"/>
          <w:color w:val="auto"/>
        </w:rPr>
        <w:t>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with 25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21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Prior to the transactions discussed below, the Company had operated as an umbrella partnership C corporation (“Up-C”), meaning that the sole asset of the Company was its interest in Holdings and the related deferred tax asset. Holdings had been an entity taxed as a partnership for U.S. federal income tax purposes and was owned by both the historical owners and the Company.</w:t>
      </w:r>
    </w:p>
    <w:p>
      <w:pPr>
        <w:spacing w:after="0" w:line="204"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On August 7, 2024, all of the Company's Class B stockholders and affiliates of Resolute Compo Holdings, LLC, including Tungsten 2024 LLC, (collectively, "Tungsten"), entered into stock purchase agreements pursuant to which the selling shareholders would exchange their 51,908,422 Class B units, and corresponding Class B shares, for Class A shares (collectively, the "Tungsten Transactions"), eliminating the Company's existing dual-share class structure. The Company was not party to the stock purchase agreements related to the Tungsten Transactions. The Tungsten Transactions closed on September 17, 2024 and as a result, Tungsten became the majority owner of the Company by acquiring 49,290,409 shares of the Company's Class A Common Stock for an aggregate purchase price of approximately $372 million, or $7.55 per share, representing an approximately 60% voting interest in the Company at the time of the Tungsten Transactions. Subsequent to the Tungsten Transactions, the Company no longer has Class B shares outstanding nor the associated non-controlling interest. The Company's tax receivable agreement liability and future payments thereunder increased as the Company realized an increase in the tax basis of the assets of Holdings resulting from the exchange of the equity in Holdings by unitholders in connection with the Tungsten Transactions.</w:t>
      </w:r>
    </w:p>
    <w:p>
      <w:pPr>
        <w:spacing w:after="0" w:line="213" w:lineRule="exact"/>
        <w:rPr>
          <w:sz w:val="20"/>
          <w:szCs w:val="20"/>
          <w:color w:val="auto"/>
        </w:rPr>
      </w:pPr>
    </w:p>
    <w:p>
      <w:pPr>
        <w:ind w:right="140" w:firstLine="641"/>
        <w:spacing w:after="0" w:line="252" w:lineRule="auto"/>
        <w:rPr>
          <w:sz w:val="20"/>
          <w:szCs w:val="20"/>
          <w:color w:val="auto"/>
        </w:rPr>
      </w:pPr>
      <w:r>
        <w:rPr>
          <w:rFonts w:ascii="Times New Roman" w:cs="Times New Roman" w:eastAsia="Times New Roman" w:hAnsi="Times New Roman"/>
          <w:sz w:val="18"/>
          <w:szCs w:val="18"/>
          <w:color w:val="auto"/>
        </w:rPr>
        <w:t>On September 27, 2024, Resolute Holdings Management, Inc. ("Resolute Holdings") was created as a wholly owned subsidiary of Holdings. On February 28, 2025, the Company completed the previously-announced spin-off (the "Spin-Off") of Resolute Holdings. In connection with the Spin-Off, Holdings entered into a management agreement (the "Management Agreement") pursuant to which Resolute Holdings provides management and other related services to Holdings in exchange for payment of quarterly management fees. The Spin-Off of Resolute Holdings from the Company was achieved through the distribution of all outstanding shares of common stock, par value $0.0001 per share, of Resolute Holdings ("Resolute Holdings Common Stock"), on a pro rata basis, to holders of record of the Company’s Class A Common Stock, par value $0.0001 per share (“CompoSecure Common Stock”). Each holder of record of CompoSecure Common Stock received one share of Resolute Holdings Common Stock for every twelve shares of CompoSecure Common Stock held on February 20, 2025,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Spin-Off. In lieu of fractional shares of Resolute Holdings Common Stock, holders of CompoSecure Common Stock received cash.</w:t>
      </w:r>
    </w:p>
    <w:p>
      <w:pPr>
        <w:spacing w:after="0" w:line="234" w:lineRule="exact"/>
        <w:rPr>
          <w:sz w:val="20"/>
          <w:szCs w:val="20"/>
          <w:color w:val="auto"/>
        </w:rPr>
      </w:pPr>
    </w:p>
    <w:p>
      <w:pPr>
        <w:ind w:right="40" w:firstLine="641"/>
        <w:spacing w:after="0" w:line="242" w:lineRule="auto"/>
        <w:rPr>
          <w:sz w:val="20"/>
          <w:szCs w:val="20"/>
          <w:color w:val="auto"/>
        </w:rPr>
      </w:pPr>
      <w:r>
        <w:rPr>
          <w:rFonts w:ascii="Times New Roman" w:cs="Times New Roman" w:eastAsia="Times New Roman" w:hAnsi="Times New Roman"/>
          <w:sz w:val="18"/>
          <w:szCs w:val="18"/>
          <w:color w:val="auto"/>
        </w:rPr>
        <w:t>The distribution of shares in connection with the Spin-Off constituted an extraordinary dividend as defined in the warrant agreement related to previously issued warrants in connection with a prior transaction. As a result, the warrant price was decreased from $11.50 per share of CompoSecure Common Stock to $7.97 per share of CompoSecure Common Stock, and the redemption trigger price was decreased from $18.00 per share of CompoSecure Common Stock to $14.47 per share of CompoSecure Common Stock, effective as of February 28, 2025.</w:t>
      </w:r>
    </w:p>
    <w:p>
      <w:pPr>
        <w:spacing w:after="0" w:line="207" w:lineRule="exact"/>
        <w:rPr>
          <w:sz w:val="20"/>
          <w:szCs w:val="20"/>
          <w:color w:val="auto"/>
        </w:rPr>
      </w:pPr>
    </w:p>
    <w:p>
      <w:pPr>
        <w:jc w:val="both"/>
        <w:ind w:left="20" w:right="220" w:firstLine="641"/>
        <w:spacing w:after="0" w:line="237" w:lineRule="auto"/>
        <w:rPr>
          <w:sz w:val="20"/>
          <w:szCs w:val="20"/>
          <w:color w:val="auto"/>
        </w:rPr>
      </w:pPr>
      <w:r>
        <w:rPr>
          <w:rFonts w:ascii="Times New Roman" w:cs="Times New Roman" w:eastAsia="Times New Roman" w:hAnsi="Times New Roman"/>
          <w:sz w:val="18"/>
          <w:szCs w:val="18"/>
          <w:color w:val="auto"/>
        </w:rPr>
        <w:t>By virtue of control of the board of managers of Holdings, the Company historically operated and controlled the business and affairs of Holdings and thus consolidated Holdings. As of February 28, 2025 and subsequent to the Spin-Off and the execution of the Management Agreement with Resolute Holdings, Resolute Holdings controls and is required to consolidate Holdings. As a result, the Company no longer consolidates Holdings and accounts for the investment in Holdings as an equity method investment. See Note 5 for additional discussion.</w:t>
      </w:r>
    </w:p>
    <w:p>
      <w:pPr>
        <w:spacing w:after="0" w:line="194" w:lineRule="exact"/>
        <w:rPr>
          <w:sz w:val="20"/>
          <w:szCs w:val="20"/>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8" w:lineRule="exact"/>
        <w:rPr>
          <w:sz w:val="20"/>
          <w:szCs w:val="20"/>
          <w:color w:val="auto"/>
        </w:rPr>
      </w:pPr>
    </w:p>
    <w:p>
      <w:pPr>
        <w:ind w:right="20" w:firstLine="641"/>
        <w:spacing w:after="0" w:line="271" w:lineRule="auto"/>
        <w:rPr>
          <w:sz w:val="20"/>
          <w:szCs w:val="20"/>
          <w:color w:val="auto"/>
        </w:rPr>
      </w:pPr>
      <w:r>
        <w:rPr>
          <w:rFonts w:ascii="Times New Roman" w:cs="Times New Roman" w:eastAsia="Times New Roman" w:hAnsi="Times New Roman"/>
          <w:sz w:val="17"/>
          <w:szCs w:val="17"/>
          <w:color w:val="auto"/>
        </w:rPr>
        <w:t>The accompanying consolidated financial statements are presented in conformity with generally accepted accounting principles in the United States ("U.S. GAAP") and pursuant to the rules and regulations of the U.S. Securities and Exchange Commission (the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All dollar amounts are in thousands, unless otherwise noted. Share and per share amounts are presented on a post-conversion basis for all periods presented, unless otherwise noted.</w:t>
      </w:r>
    </w:p>
    <w:p>
      <w:pPr>
        <w:spacing w:after="0" w:line="198" w:lineRule="exact"/>
        <w:rPr>
          <w:sz w:val="20"/>
          <w:szCs w:val="20"/>
          <w:color w:val="auto"/>
        </w:rPr>
      </w:pPr>
    </w:p>
    <w:p>
      <w:pPr>
        <w:ind w:left="20" w:right="120" w:firstLine="641"/>
        <w:spacing w:after="0" w:line="277" w:lineRule="auto"/>
        <w:rPr>
          <w:sz w:val="20"/>
          <w:szCs w:val="20"/>
          <w:color w:val="auto"/>
        </w:rPr>
      </w:pPr>
      <w:r>
        <w:rPr>
          <w:rFonts w:ascii="Times New Roman" w:cs="Times New Roman" w:eastAsia="Times New Roman" w:hAnsi="Times New Roman"/>
          <w:sz w:val="18"/>
          <w:szCs w:val="18"/>
          <w:color w:val="auto"/>
        </w:rPr>
        <w:t>The Company's significant accounting policies are detailed in the Company's Annual Report on Form 10-K for the year ended December 31, 2024 filed with the SEC.</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265"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("U.S. GAAP") and Article 10 of Regulation S-X of the SEC for interim financial information and should be read in conjunction with the Company’s Annual Report on Form 10-K for the year ended December 31, 2024.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 and nine months ended September 30, 2025 are not necessarily indicative of the results to be expected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38"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of earnout consideration liability, estimates of derivative liability associated with the Exchangeable Notes (as defined below), which were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 reserve for excess and obsolete inventory, estimated useful lives and impairment of property and equipment, and lease term, discount rates and other inputs used to measure right of use assets and lease liabilities.</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1" w:lineRule="exact"/>
        <w:rPr>
          <w:sz w:val="20"/>
          <w:szCs w:val="20"/>
          <w:color w:val="auto"/>
        </w:rPr>
      </w:pPr>
    </w:p>
    <w:p>
      <w:pPr>
        <w:ind w:left="20" w:right="20" w:firstLine="641"/>
        <w:spacing w:after="0" w:line="255"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reported results of operations. An immaterial adjustment has been made to the consolidated statement of cash flows for the nine months ended September 30, 2024 to reclassify within cash flows from operating activities the change in other liabilities to non-cash operating lease expense and lease liabilities. In addition, $1,303 previously presented on the consolidated statement of cash flows as deferred tax benefits within cash flows from operating activities for the nine months ended September 30, 2024 was reclassified to payments of tax receivable agreement liability within cash flows from financing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51" w:lineRule="exact"/>
        <w:rPr>
          <w:sz w:val="20"/>
          <w:szCs w:val="20"/>
          <w:color w:val="auto"/>
        </w:rPr>
      </w:pPr>
    </w:p>
    <w:p>
      <w:pPr>
        <w:ind w:right="60" w:firstLine="641"/>
        <w:spacing w:after="0" w:line="251" w:lineRule="auto"/>
        <w:rPr>
          <w:sz w:val="20"/>
          <w:szCs w:val="20"/>
          <w:color w:val="auto"/>
        </w:rPr>
      </w:pPr>
      <w:r>
        <w:rPr>
          <w:rFonts w:ascii="Times New Roman" w:cs="Times New Roman" w:eastAsia="Times New Roman" w:hAnsi="Times New Roman"/>
          <w:sz w:val="18"/>
          <w:szCs w:val="18"/>
          <w:color w:val="auto"/>
        </w:rPr>
        <w:t xml:space="preserve">The Company evaluates its contractual, ownership, and other interests in entities to determine if it has any variable interest in a variable interest entity (“VIE”)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 VIE is an entity that either lacks sufficient equity to permit it to finance its activities without additional subordinated financial support or for which the equity investors do not have characteristics of a controlling financial interest.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direct activities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Change to Equity Method Accounting Presentation for Holdings</w:t>
      </w:r>
    </w:p>
    <w:p>
      <w:pPr>
        <w:spacing w:after="0" w:line="238" w:lineRule="exact"/>
        <w:rPr>
          <w:sz w:val="20"/>
          <w:szCs w:val="20"/>
          <w:color w:val="auto"/>
        </w:rPr>
      </w:pPr>
    </w:p>
    <w:p>
      <w:pPr>
        <w:ind w:firstLine="641"/>
        <w:spacing w:after="0" w:line="233" w:lineRule="auto"/>
        <w:rPr>
          <w:sz w:val="20"/>
          <w:szCs w:val="20"/>
          <w:color w:val="auto"/>
        </w:rPr>
      </w:pPr>
      <w:r>
        <w:rPr>
          <w:rFonts w:ascii="Times New Roman" w:cs="Times New Roman" w:eastAsia="Times New Roman" w:hAnsi="Times New Roman"/>
          <w:sz w:val="18"/>
          <w:szCs w:val="18"/>
          <w:color w:val="auto"/>
        </w:rPr>
        <w:t>The Company has a variable interest in Holdings, the Company’s wholly owned operating subsidiary. Holdings is considered a VIE as the Company is the sole holder of Holdings’ equity investment risk but is not able to direct the activities that most significantly impact Holdings’ economic performance. Effective as of February 28, 2025, the date of the Spin-Off of Resolute Holdings, and as a result of Holdings entering into the Management Agreement with Resolute Holdings, the Company determined that Holdings is a VIE for which the Company is not the primary beneficiary, as the Company does not have the power to direct the activities of Holdings that most significantly impact its economic performance. Therefore, the results of operations and cash flows of the Company's wholly-owned subsidiary, Holdings, and the operating companies which are its subsidiaries, are not consolidated in the financial statements included in this report are instead accounted for under the equity method of accounting. Under the equity method of accounting, the financial information of Holdings is not reflected within the Company’s consolidated financial statements. The Company’s share of the earnings of Holdings is reported in a single line item within the Company’s consolidated statements of operations and cash flows as earnings from equity method investment. The carrying value of the Company's investment in Holdings is reported in the Company’s consolidated balance sheets as equity method investment. This equity method investment is increased (decreased) by the Company's share of the earnings (losses) of Holdings and is also decreased by the Company’s share of dividends declared by Holdings from time to time (if any). The Company's investment in Holdings is accounted for using the equity method of accounting because the Company has the ability to exercise significant influence over Holdings, but as a result of the Management Agreement, does not have control over Holdings. No gain or loss was recognized upon conversion of Holdings as an equity method investment because Resolute Holdings and the Company were both under common control at the date of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8"/>
          <w:szCs w:val="18"/>
          <w:color w:val="auto"/>
        </w:rPr>
        <w:t>If the Company’s carrying value in Holdings is reduced to zero, losses would not be recorded in the Company’s consolidated financial statements unless the Company guarantees obligations of Holdings or has committed additional funding. If Holdings subsequently reports income, the Company will not record its share of such income until it equals the amount of its share of losses not previously recognized.</w:t>
      </w:r>
    </w:p>
    <w:p>
      <w:pPr>
        <w:spacing w:after="0" w:line="204" w:lineRule="exact"/>
        <w:rPr>
          <w:sz w:val="20"/>
          <w:szCs w:val="20"/>
          <w:color w:val="auto"/>
        </w:rPr>
      </w:pPr>
    </w:p>
    <w:p>
      <w:pPr>
        <w:ind w:right="160" w:firstLine="641"/>
        <w:spacing w:after="0" w:line="262" w:lineRule="auto"/>
        <w:rPr>
          <w:sz w:val="20"/>
          <w:szCs w:val="20"/>
          <w:color w:val="auto"/>
        </w:rPr>
      </w:pPr>
      <w:r>
        <w:rPr>
          <w:rFonts w:ascii="Times New Roman" w:cs="Times New Roman" w:eastAsia="Times New Roman" w:hAnsi="Times New Roman"/>
          <w:sz w:val="18"/>
          <w:szCs w:val="18"/>
          <w:color w:val="auto"/>
        </w:rPr>
        <w:t>The Company has elected to classify distributions received from Holdings using the cumulative earnings approach. Under the cumulative earnings approach, distributions up to the amount of cumulative equity in earnings recognized are classified as cash inflows from operating activities, and those in excess of that amount are classified as cash inflows from investing activities.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1" w:lineRule="exact"/>
        <w:rPr>
          <w:sz w:val="20"/>
          <w:szCs w:val="20"/>
          <w:color w:val="auto"/>
        </w:rPr>
      </w:pPr>
    </w:p>
    <w:p>
      <w:pPr>
        <w:ind w:right="40" w:firstLine="641"/>
        <w:spacing w:after="0" w:line="251" w:lineRule="auto"/>
        <w:rPr>
          <w:sz w:val="20"/>
          <w:szCs w:val="20"/>
          <w:color w:val="auto"/>
        </w:rPr>
      </w:pPr>
      <w:r>
        <w:rPr>
          <w:rFonts w:ascii="Times New Roman" w:cs="Times New Roman" w:eastAsia="Times New Roman" w:hAnsi="Times New Roman"/>
          <w:sz w:val="18"/>
          <w:szCs w:val="18"/>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revenue contract assets or liabilities as of September 30, 2025 or December 31, 2024.</w:t>
      </w:r>
    </w:p>
    <w:p>
      <w:pPr>
        <w:spacing w:after="0" w:line="216" w:lineRule="exact"/>
        <w:rPr>
          <w:sz w:val="20"/>
          <w:szCs w:val="20"/>
          <w:color w:val="auto"/>
        </w:rPr>
      </w:pPr>
    </w:p>
    <w:p>
      <w:pPr>
        <w:ind w:left="20" w:right="340" w:firstLine="641"/>
        <w:spacing w:after="0" w:line="308" w:lineRule="auto"/>
        <w:rPr>
          <w:sz w:val="20"/>
          <w:szCs w:val="20"/>
          <w:color w:val="auto"/>
        </w:rPr>
      </w:pPr>
      <w:r>
        <w:rPr>
          <w:rFonts w:ascii="Times New Roman" w:cs="Times New Roman" w:eastAsia="Times New Roman" w:hAnsi="Times New Roman"/>
          <w:sz w:val="17"/>
          <w:szCs w:val="17"/>
          <w:color w:val="auto"/>
        </w:rPr>
        <w:t>The Company invoices its customers at the time when control is transferred, with payment terms ranging between 15 and 60 days depending on each individual contract. As the payment is due within 90 days of the invoice, a significant financing component is not included within the contracts.</w:t>
      </w:r>
    </w:p>
    <w:p>
      <w:pPr>
        <w:spacing w:after="0" w:line="166" w:lineRule="exact"/>
        <w:rPr>
          <w:sz w:val="20"/>
          <w:szCs w:val="20"/>
          <w:color w:val="auto"/>
        </w:rPr>
      </w:pPr>
    </w:p>
    <w:p>
      <w:pPr>
        <w:ind w:left="20" w:right="140" w:firstLine="641"/>
        <w:spacing w:after="0" w:line="257" w:lineRule="auto"/>
        <w:rPr>
          <w:sz w:val="20"/>
          <w:szCs w:val="20"/>
          <w:color w:val="auto"/>
        </w:rPr>
      </w:pPr>
      <w:r>
        <w:rPr>
          <w:rFonts w:ascii="Times New Roman" w:cs="Times New Roman" w:eastAsia="Times New Roman" w:hAnsi="Times New Roman"/>
          <w:sz w:val="18"/>
          <w:szCs w:val="18"/>
          <w:color w:val="auto"/>
        </w:rPr>
        <w:t>The majority of the Company’s contracts with its customers have the same performance obligation of manufacturing and transferring a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measured in an amount that reflects the consideration the Company expects to receive in exchange for those products or services.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 is recognized net of variable consideration such as discounts, rebates, and returns.</w:t>
      </w:r>
    </w:p>
    <w:p>
      <w:pPr>
        <w:spacing w:after="0" w:line="228" w:lineRule="exact"/>
        <w:rPr>
          <w:sz w:val="20"/>
          <w:szCs w:val="20"/>
          <w:color w:val="auto"/>
        </w:rPr>
      </w:pPr>
    </w:p>
    <w:p>
      <w:pPr>
        <w:ind w:left="20" w:right="200" w:firstLine="641"/>
        <w:spacing w:after="0" w:line="257" w:lineRule="auto"/>
        <w:rPr>
          <w:sz w:val="20"/>
          <w:szCs w:val="20"/>
          <w:color w:val="auto"/>
        </w:rPr>
      </w:pPr>
      <w:r>
        <w:rPr>
          <w:rFonts w:ascii="Times New Roman" w:cs="Times New Roman" w:eastAsia="Times New Roman" w:hAnsi="Times New Roman"/>
          <w:sz w:val="18"/>
          <w:szCs w:val="18"/>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209" w:lineRule="exact"/>
        <w:rPr>
          <w:sz w:val="20"/>
          <w:szCs w:val="20"/>
          <w:color w:val="auto"/>
        </w:rPr>
      </w:pPr>
    </w:p>
    <w:p>
      <w:pPr>
        <w:ind w:left="20" w:right="320" w:firstLine="641"/>
        <w:spacing w:after="0" w:line="262" w:lineRule="auto"/>
        <w:rPr>
          <w:sz w:val="20"/>
          <w:szCs w:val="20"/>
          <w:color w:val="auto"/>
        </w:rPr>
      </w:pPr>
      <w:r>
        <w:rPr>
          <w:rFonts w:ascii="Times New Roman" w:cs="Times New Roman" w:eastAsia="Times New Roman" w:hAnsi="Times New Roman"/>
          <w:sz w:val="18"/>
          <w:szCs w:val="18"/>
          <w:color w:val="auto"/>
        </w:rPr>
        <w:t>Additionally, the Company has a rebate program with certain customers allowing for a rebate based on achieving a certain level of shipped sales during the calendar year. This rebate is estimated and updated throughout the year and accounted for as a reduction of revenues and the related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51" w:lineRule="exact"/>
        <w:rPr>
          <w:sz w:val="20"/>
          <w:szCs w:val="20"/>
          <w:color w:val="auto"/>
        </w:rPr>
      </w:pPr>
    </w:p>
    <w:p>
      <w:pPr>
        <w:ind w:right="220" w:firstLine="641"/>
        <w:spacing w:after="0" w:line="255" w:lineRule="auto"/>
        <w:rPr>
          <w:sz w:val="20"/>
          <w:szCs w:val="20"/>
          <w:color w:val="auto"/>
        </w:rPr>
      </w:pPr>
      <w:r>
        <w:rPr>
          <w:rFonts w:ascii="Times New Roman" w:cs="Times New Roman" w:eastAsia="Times New Roman" w:hAnsi="Times New Roman"/>
          <w:sz w:val="18"/>
          <w:szCs w:val="18"/>
          <w:color w:val="auto"/>
        </w:rPr>
        <w:t>The Company’s stock repurchase program authorizes the Company to repurchase shares in open market and/or private transactions from time to time based on numerous factors, including, but not limited to, share price and other market conditions, the Company’s ongoing capital allocation planning, cash and debt levels, and other demands for cash. The Company records the shares repurchased as treasury stock based on the amount paid to repurchase such shares. Direct costs incurred to acquire treasury stock are classified as financing activities in the statement of cash flows. The ultimate use of the repurchased shares has not been determined and, therefore, they are presented separately as a reduction to shareholders' equity.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See Note 7 – </w:t>
      </w:r>
      <w:r>
        <w:rPr>
          <w:rFonts w:ascii="Times New Roman" w:cs="Times New Roman" w:eastAsia="Times New Roman" w:hAnsi="Times New Roman"/>
          <w:sz w:val="18"/>
          <w:szCs w:val="18"/>
          <w:i w:val="1"/>
          <w:iCs w:val="1"/>
          <w:color w:val="auto"/>
        </w:rPr>
        <w:t>Equity Structure</w:t>
      </w:r>
      <w:r>
        <w:rPr>
          <w:rFonts w:ascii="Times New Roman" w:cs="Times New Roman" w:eastAsia="Times New Roman" w:hAnsi="Times New Roman"/>
          <w:sz w:val="18"/>
          <w:szCs w:val="18"/>
          <w:color w:val="auto"/>
        </w:rPr>
        <w:t xml:space="preserve"> for further information on the repurchase of shares.</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49" w:lineRule="exact"/>
        <w:rPr>
          <w:sz w:val="20"/>
          <w:szCs w:val="20"/>
          <w:color w:val="auto"/>
        </w:rPr>
      </w:pPr>
    </w:p>
    <w:p>
      <w:pPr>
        <w:ind w:right="240" w:firstLine="641"/>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accounting and disclosure requirements of FASB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Loss per common share is computed by dividing net loss attributable to controlling interest by the weighted average number of common shares outstanding for the period. The weighted-average number of common shares outstanding during the period includes Class A Common Stock but was exclusive of Class B Common Stock (while outstanding) as these shares have no economic or participating rights.</w:t>
      </w:r>
    </w:p>
    <w:p>
      <w:pPr>
        <w:spacing w:after="0" w:line="207" w:lineRule="exact"/>
        <w:rPr>
          <w:sz w:val="20"/>
          <w:szCs w:val="20"/>
          <w:color w:val="auto"/>
        </w:rPr>
      </w:pPr>
    </w:p>
    <w:p>
      <w:pPr>
        <w:jc w:val="both"/>
        <w:ind w:right="240" w:firstLine="641"/>
        <w:spacing w:after="0" w:line="257"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and vesting of the equity awards and exchange of the Class B units and Exchangeable Notes ("securities") only if the effect is not anti-dilutive.</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36" w:lineRule="exact"/>
        <w:rPr>
          <w:sz w:val="20"/>
          <w:szCs w:val="20"/>
          <w:color w:val="auto"/>
        </w:rPr>
      </w:pPr>
    </w:p>
    <w:p>
      <w:pPr>
        <w:ind w:right="20" w:firstLine="641"/>
        <w:spacing w:after="0" w:line="254" w:lineRule="auto"/>
        <w:rPr>
          <w:sz w:val="20"/>
          <w:szCs w:val="20"/>
          <w:color w:val="auto"/>
        </w:rPr>
      </w:pPr>
      <w:r>
        <w:rPr>
          <w:rFonts w:ascii="Times New Roman" w:cs="Times New Roman" w:eastAsia="Times New Roman" w:hAnsi="Times New Roman"/>
          <w:sz w:val="18"/>
          <w:szCs w:val="18"/>
          <w:color w:val="auto"/>
        </w:rPr>
        <w:t xml:space="preserve">On September 29, 2025, the FASB released Accounting Standards Update No. 2025-07, </w:t>
      </w:r>
      <w:r>
        <w:rPr>
          <w:rFonts w:ascii="Times New Roman" w:cs="Times New Roman" w:eastAsia="Times New Roman" w:hAnsi="Times New Roman"/>
          <w:sz w:val="18"/>
          <w:szCs w:val="18"/>
          <w:i w:val="1"/>
          <w:iCs w:val="1"/>
          <w:color w:val="auto"/>
        </w:rPr>
        <w:t>Scope Refinements for Derivatives and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Noncash Consideration </w:t>
      </w:r>
      <w:r>
        <w:rPr>
          <w:rFonts w:ascii="Times New Roman" w:cs="Times New Roman" w:eastAsia="Times New Roman" w:hAnsi="Times New Roman"/>
          <w:sz w:val="18"/>
          <w:szCs w:val="18"/>
          <w:color w:val="auto"/>
        </w:rPr>
        <w:t>(“ASU 2025-07”), which amends ASC 815 and ASC 606. ASU 2025-07 revises the guidance in ASC 815 and ASC 606 to clarify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update was issued to reduce complexity and diversity in practice by: (1) refining the application of derivative accounting for contracts with entity-specific reference terms; and (2) clarifying the accounting for share-based noncash consideration in revenue arrangements. For all entities, ASU 2025-07 will become effective for annual reporting periods beginning after December 15, 2026, including interim reporting periods within those annual reporting periods. The Company is still assessing the impact that the adoption of this ASU will have on the Company's consolidated financial statements.</w:t>
      </w:r>
    </w:p>
    <w:p>
      <w:pPr>
        <w:spacing w:after="0" w:line="208"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 xml:space="preserve">On September 18, 2025, the FASB released Accounting Standards Update No. 2025-06, </w:t>
      </w:r>
      <w:r>
        <w:rPr>
          <w:rFonts w:ascii="Times New Roman" w:cs="Times New Roman" w:eastAsia="Times New Roman" w:hAnsi="Times New Roman"/>
          <w:sz w:val="18"/>
          <w:szCs w:val="18"/>
          <w:i w:val="1"/>
          <w:iCs w:val="1"/>
          <w:color w:val="auto"/>
        </w:rPr>
        <w:t>Accounting for Internal-Use Software Costs</w:t>
      </w:r>
      <w:r>
        <w:rPr>
          <w:rFonts w:ascii="Times New Roman" w:cs="Times New Roman" w:eastAsia="Times New Roman" w:hAnsi="Times New Roman"/>
          <w:sz w:val="18"/>
          <w:szCs w:val="18"/>
          <w:color w:val="auto"/>
        </w:rPr>
        <w:t xml:space="preserve"> (“ASU 2025-06”), which amends ASC 350-40 to modernize guidance for internal-use software. ASU 2025-06 introduces a principles-based approach to capitalization, replacing outdated stage-based guidance that did not align with modern development practices such as agile and iterative methods. The amendments apply to all entities that develop or acquire internal-use software, including website development costs. The Board issued this update to reduce complexity, improve consistency, and better reflect real-world software development processes. For all entities, ASU 2025-06 will become effective for annual reporting periods beginning after December 15, 2027, including interim reporting periods within those annual reporting periods. The Company is still assessing the impact that the adoption of this ASU will have on the Company's consolidated financial statements.</w:t>
      </w:r>
    </w:p>
    <w:p>
      <w:pPr>
        <w:spacing w:after="0" w:line="209"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 xml:space="preserve">On May 12, 2025, the FASB released Accounting Standards Update No. 2025-03, </w:t>
      </w:r>
      <w:r>
        <w:rPr>
          <w:rFonts w:ascii="Times New Roman" w:cs="Times New Roman" w:eastAsia="Times New Roman" w:hAnsi="Times New Roman"/>
          <w:sz w:val="18"/>
          <w:szCs w:val="18"/>
          <w:i w:val="1"/>
          <w:iCs w:val="1"/>
          <w:color w:val="auto"/>
        </w:rPr>
        <w:t>Determining the Accounting Acquirer in the Acquisition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Variable Interest Entity </w:t>
      </w:r>
      <w:r>
        <w:rPr>
          <w:rFonts w:ascii="Times New Roman" w:cs="Times New Roman" w:eastAsia="Times New Roman" w:hAnsi="Times New Roman"/>
          <w:sz w:val="18"/>
          <w:szCs w:val="18"/>
          <w:color w:val="auto"/>
        </w:rPr>
        <w:t>(“ASU 2025-03”), which is based on an EITF Issue. ASU 2025-03 revises the guidance in ASC 805 to clarify that, in determining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acquirer in “a business combination that is effected primarily by exchanging equity interests in which a VIE is acquired,” an entity would be required to consider the factors in ASC 805-10-55-12 through 55-15. Previously, the accounting acquirer in such transactions was always the primary beneficiary. For all entities, ASU 2025-03 will become effective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annual reporting periods beginning after December 15, 2026, including interim reporting periods within those annual reporting periods. The Company is still assessing the impact that the adoption of this ASU will have on the Company's consolidated financial statements.</w:t>
      </w:r>
    </w:p>
    <w:p>
      <w:pPr>
        <w:spacing w:after="0" w:line="188" w:lineRule="exact"/>
        <w:rPr>
          <w:sz w:val="20"/>
          <w:szCs w:val="20"/>
          <w:color w:val="auto"/>
        </w:rPr>
      </w:pPr>
    </w:p>
    <w:p>
      <w:pPr>
        <w:ind w:right="120" w:firstLine="641"/>
        <w:spacing w:after="0" w:line="251"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which requires disaggregated disclosure of income statement expenses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all PBEs for fiscal years beginning after December 15, 2026, and interim periods within fiscal years beginning after December 15, 2027 and early adoption is permitted. On January 7, 2025, the FASB released ASU 2025-01 which revises the effective date of ASU 2024-03 “to clarify that all public business entities are required to adopt the guidance in annual reporting periods beginning after December 15, 2026, and interim periods within annual reporting periods beginning after December 15, 2027.” The Company is still assessing the impact that the adoption of this ASU will have on the Company's consolidated financial statements.</w:t>
      </w:r>
    </w:p>
    <w:p>
      <w:pPr>
        <w:spacing w:after="0" w:line="216"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applies to all entities subject to income taxes. For PBEs, the new requirements became effective for annual periods beginning after December 15, 2024. For entities other than public business entities ("non-PBEs"), the requirements will be effective for annual periods beginning after December 15, 2025. The guidance will be applied on a prospective basis with the option to apply the standard retrospectively. Early adoption is permitted. The amendments in this update require that public business entities on an annual basis disclose specific categories in the rate reconciliation and provide additional information for reconciling items that meet a quantitative threshold if the effect of those reconciling items is equal to or greater than five percent of the amount computed by multiplying pretax income (or loss) by the applicable statutory income tax rate. The new guidance focuses on two specific disclosure areas: rate reconciliation and income taxes paid. The rate reconciliation disclosure requirements differ for PBEs as compared to non-PBEs. The income taxes paid disclosures are the same for all entities. The Company adopted this ASU 2023-09 on January 1, 2025. The adoption of ASU 2023-09 did not have a material impact on the Company's consolidated financial statements.</w:t>
      </w:r>
    </w:p>
    <w:p>
      <w:pPr>
        <w:spacing w:after="0" w:line="213" w:lineRule="exact"/>
        <w:rPr>
          <w:sz w:val="20"/>
          <w:szCs w:val="20"/>
          <w:color w:val="auto"/>
        </w:rPr>
      </w:pPr>
    </w:p>
    <w:p>
      <w:pPr>
        <w:ind w:right="180" w:firstLine="641"/>
        <w:spacing w:after="0" w:line="254"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,which applies to all public entities that are required to report segment information in accordance with Topic 280, Segment Reporting. The guidance will be applied retrospectively and is effective for fiscal years beginning after December 15, 2023, and interim periods within fiscal years beginning after December 15, 2024. Early adoption is permitted. The guidance improves financial reporting by requiring disclosure of incremental segment information on an annual and interim basis for all public entities to enable investors to develop more decision-useful financial analysis. The Company adopted ASU 2023-07 during the year ended December 31, 2024 and has reflected updates to its segment reporting in the Company's consolidated financial statements for all periods presented.</w:t>
      </w:r>
    </w:p>
    <w:p>
      <w:pPr>
        <w:spacing w:after="0" w:line="200" w:lineRule="exact"/>
        <w:rPr>
          <w:sz w:val="20"/>
          <w:szCs w:val="20"/>
          <w:color w:val="auto"/>
        </w:rPr>
      </w:pPr>
    </w:p>
    <w:p>
      <w:pPr>
        <w:spacing w:after="0" w:line="220" w:lineRule="exact"/>
        <w:rPr>
          <w:sz w:val="20"/>
          <w:szCs w:val="20"/>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Reflecting the change to equity method accounting, the major classes of inventories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40"/>
        </w:trPr>
        <w:tc>
          <w:tcPr>
            <w:tcW w:w="670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5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920" w:type="dxa"/>
            <w:vAlign w:val="bottom"/>
            <w:tcBorders>
              <w:bottom w:val="single" w:sz="8" w:color="CCEEFF"/>
            </w:tcBorders>
            <w:shd w:val="clear" w:color="auto" w:fill="CCEEFF"/>
          </w:tcPr>
          <w:p>
            <w:pPr>
              <w:jc w:val="right"/>
              <w:ind w:right="17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46,109</w:t>
            </w:r>
          </w:p>
        </w:tc>
      </w:tr>
      <w:tr>
        <w:trPr>
          <w:trHeight w:val="24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92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40"/>
        </w:trPr>
        <w:tc>
          <w:tcPr>
            <w:tcW w:w="6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6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41"/>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w:t>
            </w:r>
          </w:p>
        </w:tc>
        <w:tc>
          <w:tcPr>
            <w:tcW w:w="192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40"/>
        </w:trPr>
        <w:tc>
          <w:tcPr>
            <w:tcW w:w="670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28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CEEFF"/>
          </w:tcPr>
          <w:p>
            <w:pPr>
              <w:jc w:val="right"/>
              <w:ind w:right="173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7"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Reflecting the change to equity method accounting, property and equipment consist of the following:</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74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5- 10 years</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3 - 5 years</w:t>
            </w:r>
          </w:p>
        </w:tc>
        <w:tc>
          <w:tcPr>
            <w:tcW w:w="1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3 - 5 years</w:t>
            </w:r>
          </w:p>
        </w:tc>
        <w:tc>
          <w:tcPr>
            <w:tcW w:w="160" w:type="dxa"/>
            <w:vAlign w:val="bottom"/>
          </w:tcPr>
          <w:p>
            <w:pPr>
              <w:spacing w:after="0"/>
              <w:rPr>
                <w:sz w:val="20"/>
                <w:szCs w:val="20"/>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Shorter of lease term or estimated</w:t>
            </w:r>
          </w:p>
        </w:tc>
        <w:tc>
          <w:tcPr>
            <w:tcW w:w="160" w:type="dxa"/>
            <w:vAlign w:val="bottom"/>
            <w:shd w:val="clear" w:color="auto" w:fill="CCEEFF"/>
          </w:tcPr>
          <w:p>
            <w:pPr>
              <w:spacing w:after="0"/>
              <w:rPr>
                <w:sz w:val="20"/>
                <w:szCs w:val="20"/>
                <w:color w:val="auto"/>
              </w:rPr>
            </w:pPr>
          </w:p>
        </w:tc>
        <w:tc>
          <w:tcPr>
            <w:tcW w:w="1840" w:type="dxa"/>
            <w:vAlign w:val="bottom"/>
            <w:gridSpan w:val="2"/>
            <w:vMerge w:val="restart"/>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0" w:type="dxa"/>
            <w:vAlign w:val="bottom"/>
          </w:tcPr>
          <w:p>
            <w:pPr>
              <w:spacing w:after="0"/>
              <w:rPr>
                <w:sz w:val="1"/>
                <w:szCs w:val="1"/>
                <w:color w:val="auto"/>
              </w:rPr>
            </w:pPr>
          </w:p>
        </w:tc>
      </w:tr>
      <w:tr>
        <w:trPr>
          <w:trHeight w:val="239"/>
        </w:trPr>
        <w:tc>
          <w:tcPr>
            <w:tcW w:w="4740" w:type="dxa"/>
            <w:vAlign w:val="bottom"/>
            <w:tcBorders>
              <w:bottom w:val="single" w:sz="8" w:color="CCEEFF"/>
            </w:tcBorders>
            <w:vMerge w:val="continue"/>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useful life</w:t>
            </w: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7"/>
              </w:rPr>
              <w:t>5 years</w:t>
            </w:r>
          </w:p>
        </w:tc>
        <w:tc>
          <w:tcPr>
            <w:tcW w:w="160" w:type="dxa"/>
            <w:vAlign w:val="bottom"/>
          </w:tcPr>
          <w:p>
            <w:pPr>
              <w:spacing w:after="0"/>
              <w:rPr>
                <w:sz w:val="23"/>
                <w:szCs w:val="23"/>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1- 3 years</w:t>
            </w:r>
          </w:p>
        </w:tc>
        <w:tc>
          <w:tcPr>
            <w:tcW w:w="1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40"/>
        </w:trPr>
        <w:tc>
          <w:tcPr>
            <w:tcW w:w="4740" w:type="dxa"/>
            <w:vAlign w:val="bottom"/>
            <w:tcBorders>
              <w:bottom w:val="single" w:sz="8" w:color="CCEEFF"/>
            </w:tcBorders>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property and equipment</w:t>
            </w:r>
          </w:p>
        </w:tc>
        <w:tc>
          <w:tcPr>
            <w:tcW w:w="2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54,272</w:t>
            </w: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(30,824)</w:t>
            </w:r>
          </w:p>
        </w:tc>
        <w:tc>
          <w:tcPr>
            <w:tcW w:w="0" w:type="dxa"/>
            <w:vAlign w:val="bottom"/>
          </w:tcPr>
          <w:p>
            <w:pPr>
              <w:spacing w:after="0"/>
              <w:rPr>
                <w:sz w:val="1"/>
                <w:szCs w:val="1"/>
                <w:color w:val="auto"/>
              </w:rPr>
            </w:pPr>
          </w:p>
        </w:tc>
      </w:tr>
      <w:tr>
        <w:trPr>
          <w:trHeight w:val="40"/>
        </w:trPr>
        <w:tc>
          <w:tcPr>
            <w:tcW w:w="4740" w:type="dxa"/>
            <w:vAlign w:val="bottom"/>
            <w:tcBorders>
              <w:bottom w:val="single" w:sz="8" w:color="CCEEFF"/>
            </w:tcBorders>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EQUITY METHOD INVESTMENT</w:t>
      </w:r>
    </w:p>
    <w:p>
      <w:pPr>
        <w:spacing w:after="0" w:line="224"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The Company’s ownership percentage in the equity method investment in Holdings was 100% and had a carrying value of $84,296 as of September 30, 2025. Prior to the execution of the Management Agreement and the Company's deconsolidation of Holdings on February 28, 2025, Holdings had net liabilities of $48,208, primarily arising from advances made by Holdings to the Company. Holdings waived the collection of these advances, effectively treating them as distributions to the Company as its sole member prior to the date of deconsolidation, which resulted in an initial carrying value of $0 with respect to the Company's equity method investment in Holdings. See discussion of liquidity in Note 16 for the treatment of distributions from Holdings to the Company.</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equity method investment in Holdings: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equity method investment in CompoSecure Holdings, L.L.C., subsequent to the Spin-Off</w:t>
            </w:r>
          </w:p>
        </w:tc>
        <w:tc>
          <w:tcPr>
            <w:tcW w:w="1060" w:type="dxa"/>
            <w:vAlign w:val="bottom"/>
            <w:tcBorders>
              <w:bottom w:val="single" w:sz="8" w:color="CCEEFF"/>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in equity method investment</w:t>
            </w:r>
          </w:p>
        </w:tc>
        <w:tc>
          <w:tcPr>
            <w:tcW w:w="10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w:t>
            </w:r>
          </w:p>
        </w:tc>
      </w:tr>
      <w:tr>
        <w:trPr>
          <w:trHeight w:val="40"/>
        </w:trPr>
        <w:tc>
          <w:tcPr>
            <w:tcW w:w="8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8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granted at Holdings</w:t>
            </w:r>
          </w:p>
        </w:tc>
        <w:tc>
          <w:tcPr>
            <w:tcW w:w="10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in CompoSecure Holdings, L.L.C. at March 31, 2025</w:t>
            </w:r>
          </w:p>
        </w:tc>
        <w:tc>
          <w:tcPr>
            <w:tcW w:w="10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16,714</w:t>
            </w:r>
          </w:p>
        </w:tc>
      </w:tr>
      <w:tr>
        <w:trPr>
          <w:trHeight w:val="40"/>
        </w:trPr>
        <w:tc>
          <w:tcPr>
            <w:tcW w:w="8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in equity method investment</w:t>
            </w:r>
          </w:p>
        </w:tc>
        <w:tc>
          <w:tcPr>
            <w:tcW w:w="10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38,909</w:t>
            </w:r>
          </w:p>
        </w:tc>
      </w:tr>
      <w:tr>
        <w:trPr>
          <w:trHeight w:val="241"/>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granted at Holdings</w:t>
            </w:r>
          </w:p>
        </w:tc>
        <w:tc>
          <w:tcPr>
            <w:tcW w:w="10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40"/>
        </w:trPr>
        <w:tc>
          <w:tcPr>
            <w:tcW w:w="8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8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CompoSecure, Inc.</w:t>
            </w:r>
          </w:p>
        </w:tc>
        <w:tc>
          <w:tcPr>
            <w:tcW w:w="10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(15,933)</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in CompoSecure Holdings, L.L.C at June 30, 2025</w:t>
            </w:r>
          </w:p>
        </w:tc>
        <w:tc>
          <w:tcPr>
            <w:tcW w:w="10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44,739</w:t>
            </w:r>
          </w:p>
        </w:tc>
      </w:tr>
      <w:tr>
        <w:trPr>
          <w:trHeight w:val="40"/>
        </w:trPr>
        <w:tc>
          <w:tcPr>
            <w:tcW w:w="8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in equity method investment</w:t>
            </w:r>
          </w:p>
        </w:tc>
        <w:tc>
          <w:tcPr>
            <w:tcW w:w="10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r>
      <w:tr>
        <w:trPr>
          <w:trHeight w:val="241"/>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granted at Holdings</w:t>
            </w:r>
          </w:p>
        </w:tc>
        <w:tc>
          <w:tcPr>
            <w:tcW w:w="10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40"/>
        </w:trPr>
        <w:tc>
          <w:tcPr>
            <w:tcW w:w="8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8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CompoSecure, Inc.</w:t>
            </w:r>
          </w:p>
        </w:tc>
        <w:tc>
          <w:tcPr>
            <w:tcW w:w="10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67"/>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in CompoSecure Holdings, LLC. at September 30, 2025</w:t>
            </w:r>
          </w:p>
        </w:tc>
        <w:tc>
          <w:tcPr>
            <w:tcW w:w="1060" w:type="dxa"/>
            <w:vAlign w:val="bottom"/>
            <w:tcBorders>
              <w:top w:val="single" w:sz="8" w:color="auto"/>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84,296</w:t>
            </w:r>
          </w:p>
        </w:tc>
      </w:tr>
      <w:tr>
        <w:trPr>
          <w:trHeight w:val="26"/>
        </w:trPr>
        <w:tc>
          <w:tcPr>
            <w:tcW w:w="8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position of Holdings is summarized in the following table: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40"/>
        </w:trPr>
        <w:tc>
          <w:tcPr>
            <w:tcW w:w="83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5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248,691</w:t>
            </w:r>
          </w:p>
        </w:tc>
      </w:tr>
      <w:tr>
        <w:trPr>
          <w:trHeight w:val="241"/>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2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32,911</w:t>
            </w:r>
          </w:p>
        </w:tc>
      </w:tr>
      <w:tr>
        <w:trPr>
          <w:trHeight w:val="40"/>
        </w:trPr>
        <w:tc>
          <w:tcPr>
            <w:tcW w:w="83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spacing w:after="0"/>
              <w:rPr>
                <w:sz w:val="24"/>
                <w:szCs w:val="24"/>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61"/>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70,721</w:t>
            </w:r>
          </w:p>
        </w:tc>
      </w:tr>
      <w:tr>
        <w:trPr>
          <w:trHeight w:val="241"/>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2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180,065</w:t>
            </w:r>
          </w:p>
        </w:tc>
      </w:tr>
      <w:tr>
        <w:trPr>
          <w:trHeight w:val="40"/>
        </w:trPr>
        <w:tc>
          <w:tcPr>
            <w:tcW w:w="83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7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250,786</w:t>
            </w: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42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30,816</w:t>
            </w:r>
          </w:p>
        </w:tc>
      </w:tr>
      <w:tr>
        <w:trPr>
          <w:trHeight w:val="40"/>
        </w:trPr>
        <w:tc>
          <w:tcPr>
            <w:tcW w:w="83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2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operations of Holdings subsequent to the Spin-Off and deconsolidation are summarized in the following table: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Period from February 28,</w:t>
            </w:r>
          </w:p>
        </w:tc>
      </w:tr>
      <w:tr>
        <w:trPr>
          <w:trHeight w:val="227"/>
        </w:trPr>
        <w:tc>
          <w:tcPr>
            <w:tcW w:w="6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2025 through September 30,</w:t>
            </w:r>
          </w:p>
        </w:tc>
      </w:tr>
      <w:tr>
        <w:trPr>
          <w:trHeight w:val="237"/>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 2025</w:t>
            </w:r>
          </w:p>
        </w:tc>
        <w:tc>
          <w:tcPr>
            <w:tcW w:w="140" w:type="dxa"/>
            <w:vAlign w:val="bottom"/>
          </w:tcPr>
          <w:p>
            <w:pPr>
              <w:spacing w:after="0"/>
              <w:rPr>
                <w:sz w:val="20"/>
                <w:szCs w:val="20"/>
                <w:color w:val="auto"/>
              </w:rPr>
            </w:pPr>
          </w:p>
        </w:tc>
        <w:tc>
          <w:tcPr>
            <w:tcW w:w="21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40"/>
        </w:trPr>
        <w:tc>
          <w:tcPr>
            <w:tcW w:w="63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5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284,522</w:t>
            </w:r>
          </w:p>
        </w:tc>
      </w:tr>
      <w:tr>
        <w:trPr>
          <w:trHeight w:val="241"/>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118,596</w:t>
            </w:r>
          </w:p>
        </w:tc>
      </w:tr>
      <w:tr>
        <w:trPr>
          <w:trHeight w:val="40"/>
        </w:trPr>
        <w:tc>
          <w:tcPr>
            <w:tcW w:w="63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54"/>
        </w:trPr>
        <w:tc>
          <w:tcPr>
            <w:tcW w:w="6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165,926</w:t>
            </w:r>
          </w:p>
        </w:tc>
      </w:tr>
      <w:tr>
        <w:trPr>
          <w:trHeight w:val="241"/>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0"/>
        </w:trPr>
        <w:tc>
          <w:tcPr>
            <w:tcW w:w="6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81"/>
        </w:trPr>
        <w:tc>
          <w:tcPr>
            <w:tcW w:w="6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67,469</w:t>
            </w:r>
          </w:p>
        </w:tc>
      </w:tr>
      <w:tr>
        <w:trPr>
          <w:trHeight w:val="234"/>
        </w:trPr>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98,457</w:t>
            </w:r>
          </w:p>
        </w:tc>
      </w:tr>
      <w:tr>
        <w:trPr>
          <w:trHeight w:val="40"/>
        </w:trPr>
        <w:tc>
          <w:tcPr>
            <w:tcW w:w="63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47"/>
        </w:trPr>
        <w:tc>
          <w:tcPr>
            <w:tcW w:w="6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r>
      <w:tr>
        <w:trPr>
          <w:trHeight w:val="241"/>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0"/>
        </w:trPr>
        <w:tc>
          <w:tcPr>
            <w:tcW w:w="6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61"/>
        </w:trPr>
        <w:tc>
          <w:tcPr>
            <w:tcW w:w="6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r>
      <w:tr>
        <w:trPr>
          <w:trHeight w:val="241"/>
        </w:trPr>
        <w:tc>
          <w:tcPr>
            <w:tcW w:w="6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40"/>
        </w:trPr>
        <w:tc>
          <w:tcPr>
            <w:tcW w:w="6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81"/>
        </w:trPr>
        <w:tc>
          <w:tcPr>
            <w:tcW w:w="6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4"/>
        </w:trPr>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r>
      <w:tr>
        <w:trPr>
          <w:trHeight w:val="40"/>
        </w:trPr>
        <w:tc>
          <w:tcPr>
            <w:tcW w:w="63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5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93,390</w:t>
            </w:r>
          </w:p>
        </w:tc>
      </w:tr>
      <w:tr>
        <w:trPr>
          <w:trHeight w:val="241"/>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2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92"/>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maximum exposure to loss as a result of its involvement with Holdings is limited to its equity method investment in Holdings.</w:t>
      </w:r>
    </w:p>
    <w:p>
      <w:pPr>
        <w:spacing w:after="0" w:line="243" w:lineRule="exact"/>
        <w:rPr>
          <w:sz w:val="20"/>
          <w:szCs w:val="20"/>
          <w:color w:val="auto"/>
        </w:rPr>
      </w:pPr>
    </w:p>
    <w:p>
      <w:pPr>
        <w:ind w:left="500" w:hanging="173"/>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7, 2024, Holdings, together with its operating subsidiaries, entered into a Fourth Amended and Restated Credit Agreement with JPMC</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 Holdings Credit Facility”). The Holdings Credit Facility had an initial maximum borrowing capacity of $330,000 comprised of a term loan of</w:t>
      </w:r>
    </w:p>
    <w:p>
      <w:pPr>
        <w:ind w:left="20"/>
        <w:spacing w:after="0" w:line="232" w:lineRule="auto"/>
        <w:rPr>
          <w:sz w:val="20"/>
          <w:szCs w:val="20"/>
          <w:color w:val="auto"/>
        </w:rPr>
      </w:pPr>
      <w:r>
        <w:rPr>
          <w:rFonts w:ascii="Times New Roman" w:cs="Times New Roman" w:eastAsia="Times New Roman" w:hAnsi="Times New Roman"/>
          <w:sz w:val="18"/>
          <w:szCs w:val="18"/>
          <w:color w:val="auto"/>
        </w:rPr>
        <w:t>$200,000 (the “ Holdings Term Loan”) and a revolving credit facility of $130,000 (the “ Holdings Revolver”). The Holdings Credit Facility has a maturity</w:t>
      </w:r>
    </w:p>
    <w:p>
      <w:pPr>
        <w:ind w:left="20"/>
        <w:spacing w:after="0"/>
        <w:rPr>
          <w:sz w:val="20"/>
          <w:szCs w:val="20"/>
          <w:color w:val="auto"/>
        </w:rPr>
      </w:pPr>
      <w:r>
        <w:rPr>
          <w:rFonts w:ascii="Times New Roman" w:cs="Times New Roman" w:eastAsia="Times New Roman" w:hAnsi="Times New Roman"/>
          <w:sz w:val="18"/>
          <w:szCs w:val="18"/>
          <w:color w:val="auto"/>
        </w:rPr>
        <w:t>date of August 7, 2029.</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ind w:right="260" w:firstLine="641"/>
        <w:spacing w:after="0" w:line="257" w:lineRule="auto"/>
        <w:rPr>
          <w:sz w:val="20"/>
          <w:szCs w:val="20"/>
          <w:color w:val="auto"/>
        </w:rPr>
      </w:pPr>
      <w:r>
        <w:rPr>
          <w:rFonts w:ascii="Times New Roman" w:cs="Times New Roman" w:eastAsia="Times New Roman" w:hAnsi="Times New Roman"/>
          <w:sz w:val="18"/>
          <w:szCs w:val="18"/>
          <w:color w:val="auto"/>
        </w:rPr>
        <w:t>On December 30, 2024, Holdings, together with its operating subsidiaries, executed Amendment No. 1 to the Holdings Credit Facility (the "December 2024 Amendment") to allow the Company to facilitate the Spin-Off. There were no changes to the lenders as a result of the December 2024 Amendment which was accounted for as a debt modification. In connection with the December 2024 Amendment, Holdings incurred $215 in lenders fees which were capitalized and are being amortized to interest expense through the maturity of the Holdings Credit Facility.</w:t>
      </w:r>
    </w:p>
    <w:p>
      <w:pPr>
        <w:spacing w:after="0" w:line="209"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18"/>
          <w:szCs w:val="18"/>
          <w:color w:val="auto"/>
        </w:rPr>
        <w:t>The Holdings Credit Facility requires Holdings to make quarterly principal payments until maturity, at which point a balloon principal payment is due for the outstanding principal. The Holdings Credit Facility also requires Holdings to make monthly interest payments as well as pay a quarterly unused commitment fee of 0.35% for any unused portion of the Holdings Revolver. The Holdings Credit Facility provides for Holdings to prepay the Holdings Term Loan without penalty or premium. The Holdings Credit Facility is secured by substantially all of the assets of Holdings.The Company has pledged its ownership interests in Holdings (representing 100% ownership) as collateral pursuant to a pledge and security agreement with the lenders under the Holdings Credit Facility.</w:t>
      </w:r>
    </w:p>
    <w:p>
      <w:pPr>
        <w:spacing w:after="0" w:line="200"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color w:val="auto"/>
        </w:rPr>
        <w:t>Interest on the Holdings Revolver and the Holdings Term Loan are based on outstanding principal amount during the interest period multiplied by the quoted Secured Overnight Financing Rate ("SOFR") plus an applicable margin of 1.75% to 2.75% based on Holdings' leverage ratio. As of December 31, 2024, the effective interest rate on the Holdings Revolver and Holdings Term Loan was 6.81% per year.</w:t>
      </w:r>
    </w:p>
    <w:p>
      <w:pPr>
        <w:spacing w:after="0" w:line="216" w:lineRule="exact"/>
        <w:rPr>
          <w:sz w:val="20"/>
          <w:szCs w:val="20"/>
          <w:color w:val="auto"/>
        </w:rPr>
      </w:pPr>
    </w:p>
    <w:p>
      <w:pPr>
        <w:ind w:right="60" w:firstLine="641"/>
        <w:spacing w:after="0" w:line="262" w:lineRule="auto"/>
        <w:rPr>
          <w:sz w:val="20"/>
          <w:szCs w:val="20"/>
          <w:color w:val="auto"/>
        </w:rPr>
      </w:pPr>
      <w:r>
        <w:rPr>
          <w:rFonts w:ascii="Times New Roman" w:cs="Times New Roman" w:eastAsia="Times New Roman" w:hAnsi="Times New Roman"/>
          <w:sz w:val="18"/>
          <w:szCs w:val="18"/>
          <w:color w:val="auto"/>
        </w:rPr>
        <w:t>The Company recognized $0 and $3,878 of interest expense relating to the Holdings Credit Facility for the three months ended September 30, 2025 and 2024, respectively. The Company recognized $1,688 and $12,046 of interest expense related to the Holdings Credit Facility for the nine months ended September 30, 2025 and 2024, respectively.</w:t>
      </w:r>
    </w:p>
    <w:p>
      <w:pPr>
        <w:spacing w:after="0" w:line="204" w:lineRule="exact"/>
        <w:rPr>
          <w:sz w:val="20"/>
          <w:szCs w:val="20"/>
          <w:color w:val="auto"/>
        </w:rPr>
      </w:pPr>
    </w:p>
    <w:p>
      <w:pPr>
        <w:ind w:right="40" w:firstLine="641"/>
        <w:spacing w:after="0" w:line="285" w:lineRule="auto"/>
        <w:rPr>
          <w:sz w:val="20"/>
          <w:szCs w:val="20"/>
          <w:color w:val="auto"/>
        </w:rPr>
      </w:pPr>
      <w:r>
        <w:rPr>
          <w:rFonts w:ascii="Times New Roman" w:cs="Times New Roman" w:eastAsia="Times New Roman" w:hAnsi="Times New Roman"/>
          <w:sz w:val="17"/>
          <w:szCs w:val="17"/>
          <w:color w:val="auto"/>
        </w:rPr>
        <w:t>The Holdings Credit Facility contains certain financial covenants including a minimum interest coverage ratio, a maximum total debt to EBITDA ratio and a minimum fixed charge coverage ratio relating to financial performance at Holdings. As of September 30, 2025 and December 31, 2024, Holdings was in compliance with all financial covenants. The fair value of the Holdings Credit Facility approximates the carrying value for all periods presented.</w:t>
      </w:r>
    </w:p>
    <w:p>
      <w:pPr>
        <w:spacing w:after="0" w:line="185" w:lineRule="exact"/>
        <w:rPr>
          <w:sz w:val="20"/>
          <w:szCs w:val="20"/>
          <w:color w:val="auto"/>
        </w:rPr>
      </w:pPr>
    </w:p>
    <w:p>
      <w:pPr>
        <w:ind w:left="20" w:right="100" w:firstLine="641"/>
        <w:spacing w:after="0" w:line="277" w:lineRule="auto"/>
        <w:rPr>
          <w:sz w:val="20"/>
          <w:szCs w:val="20"/>
          <w:color w:val="auto"/>
        </w:rPr>
      </w:pPr>
      <w:r>
        <w:rPr>
          <w:rFonts w:ascii="Times New Roman" w:cs="Times New Roman" w:eastAsia="Times New Roman" w:hAnsi="Times New Roman"/>
          <w:sz w:val="18"/>
          <w:szCs w:val="18"/>
          <w:color w:val="auto"/>
        </w:rPr>
        <w:t>As of September 30, 2025 and December 31, 2024, there were no balances outstanding on the Holdings Revolver. As of September 30, 2025, there was $130,000 of availability for borrowing at Holdings under the Holdings Revolver.</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Reflecting the change to equity method accounting, the balances payable under all borrowing facilities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Pr>
          <w:p>
            <w:pPr>
              <w:spacing w:after="0"/>
              <w:rPr>
                <w:sz w:val="20"/>
                <w:szCs w:val="20"/>
                <w:color w:val="auto"/>
              </w:rPr>
            </w:pPr>
          </w:p>
        </w:tc>
        <w:tc>
          <w:tcPr>
            <w:tcW w:w="22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40"/>
        </w:trPr>
        <w:tc>
          <w:tcPr>
            <w:tcW w:w="5880" w:type="dxa"/>
            <w:vAlign w:val="bottom"/>
            <w:tcBorders>
              <w:bottom w:val="single" w:sz="8" w:color="CCEEFF"/>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5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balance</w:t>
            </w:r>
          </w:p>
        </w:tc>
        <w:tc>
          <w:tcPr>
            <w:tcW w:w="2220" w:type="dxa"/>
            <w:vAlign w:val="bottom"/>
            <w:tcBorders>
              <w:bottom w:val="single" w:sz="8" w:color="CCEEFF"/>
            </w:tcBorders>
            <w:shd w:val="clear" w:color="auto" w:fill="CCEEFF"/>
          </w:tcPr>
          <w:p>
            <w:pPr>
              <w:jc w:val="right"/>
              <w:ind w:right="201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w:t>
            </w:r>
          </w:p>
        </w:tc>
      </w:tr>
      <w:tr>
        <w:trPr>
          <w:trHeight w:val="241"/>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term loan (scheduled payments)</w:t>
            </w:r>
          </w:p>
        </w:tc>
        <w:tc>
          <w:tcPr>
            <w:tcW w:w="222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40"/>
        </w:trPr>
        <w:tc>
          <w:tcPr>
            <w:tcW w:w="58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deferred financing and discount costs</w:t>
            </w:r>
          </w:p>
        </w:tc>
        <w:tc>
          <w:tcPr>
            <w:tcW w:w="2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6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 term debt</w:t>
            </w:r>
          </w:p>
        </w:tc>
        <w:tc>
          <w:tcPr>
            <w:tcW w:w="2220" w:type="dxa"/>
            <w:vAlign w:val="bottom"/>
            <w:tcBorders>
              <w:top w:val="single" w:sz="8" w:color="auto"/>
              <w:bottom w:val="single" w:sz="8" w:color="auto"/>
            </w:tcBorders>
          </w:tcPr>
          <w:p>
            <w:pPr>
              <w:jc w:val="right"/>
              <w:ind w:right="201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184,389</w:t>
            </w:r>
          </w:p>
        </w:tc>
      </w:tr>
      <w:tr>
        <w:trPr>
          <w:trHeight w:val="26"/>
        </w:trPr>
        <w:tc>
          <w:tcPr>
            <w:tcW w:w="58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In order to hedge Holdings’ exposure to variable interest rate fluctuations related to the borrowings under the Holdings Credit Facility, Holdings entered into an interest rate swap agreement with Bank of America on January 11, 2022, with an effective date of December 5, 2023 for a notional amount of $125,000 (the “Interest Rate Swap Agreement”). The Interest Rate Swap Agreement is set to expire in December 2025. The Interest Rate Swap is settled at the end of the month between the parties and is designated as a cash flow hedge for accounting purposes.</w:t>
      </w:r>
    </w:p>
    <w:p>
      <w:pPr>
        <w:spacing w:after="0" w:line="209" w:lineRule="exact"/>
        <w:rPr>
          <w:sz w:val="20"/>
          <w:szCs w:val="20"/>
          <w:color w:val="auto"/>
        </w:rPr>
      </w:pPr>
    </w:p>
    <w:p>
      <w:pPr>
        <w:ind w:right="660" w:firstLine="641"/>
        <w:spacing w:after="0" w:line="277" w:lineRule="auto"/>
        <w:rPr>
          <w:sz w:val="20"/>
          <w:szCs w:val="20"/>
          <w:color w:val="auto"/>
        </w:rPr>
      </w:pPr>
      <w:r>
        <w:rPr>
          <w:rFonts w:ascii="Times New Roman" w:cs="Times New Roman" w:eastAsia="Times New Roman" w:hAnsi="Times New Roman"/>
          <w:sz w:val="18"/>
          <w:szCs w:val="18"/>
          <w:color w:val="auto"/>
        </w:rPr>
        <w:t>The derivative assets related to the Interest Rate Swap Agreement are no longer reflected in the Company's balance sheet subsequent to the deconsolidation of Holdings. The Company determined the fair value of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7"/>
          <w:szCs w:val="17"/>
          <w:color w:val="auto"/>
        </w:rPr>
        <w:t>Rate Swap Agreement to be zero at its inception and $2,749 as of December 31, 2024. Holdings reflects the realized gains and losses of the actual monthly settlement activity of the Interest Rate Swap Agreements through interest income or expense in its consolidated statements of operations. The Company had historically reflected the unrealized changes in fair value of the Interest Rate Swap Agreement at each reporting period in other comprehensive income and a derivative asset or liability is recognized at each reporting period in the Company’s consolidated balance sheets for the Interest Rate Swap Agreement.</w:t>
      </w:r>
    </w:p>
    <w:p>
      <w:pPr>
        <w:spacing w:after="0" w:line="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Subsequent to the Spin-Off, the derivative asset or liability is no longer reflected on the Company's balance sheet due to the deconsolidation of Holdings. Interest related to the Interest Rate Swap Agreements converted from LIBOR to SOFR at the same time as the amendment of the Holdings Credit Facility in February 2023.</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Exchangeable Senior Notes</w:t>
      </w:r>
    </w:p>
    <w:p>
      <w:pPr>
        <w:spacing w:after="0" w:line="251" w:lineRule="exact"/>
        <w:rPr>
          <w:sz w:val="20"/>
          <w:szCs w:val="20"/>
          <w:color w:val="auto"/>
        </w:rPr>
      </w:pPr>
    </w:p>
    <w:p>
      <w:pPr>
        <w:ind w:left="20" w:right="120" w:firstLine="641"/>
        <w:spacing w:after="0" w:line="273" w:lineRule="auto"/>
        <w:rPr>
          <w:sz w:val="20"/>
          <w:szCs w:val="20"/>
          <w:color w:val="auto"/>
        </w:rPr>
      </w:pPr>
      <w:r>
        <w:rPr>
          <w:rFonts w:ascii="Times New Roman" w:cs="Times New Roman" w:eastAsia="Times New Roman" w:hAnsi="Times New Roman"/>
          <w:sz w:val="17"/>
          <w:szCs w:val="17"/>
          <w:color w:val="auto"/>
        </w:rPr>
        <w:t>On April 19, 2021 , the Company and Holdings entered into subscription agreements (the “Note Subscription Agreements”) with certain investors (“Notes Investors”) pursuant to which such Notes Investors, severally and not jointly, purchased on December 27, 2021, the Exchangeable Notes issued by Holdings and guaranteed by its operating subsidiaries, CompoSecure, L.L.C. and Arculus Holdings, L.L.C., in an aggregate principal amount of up to $130,000 that were exchangeable into shares of Class A common stock of the Company at an initial conversion price of $11.50 per share, subject to the terms and conditions of an indenture (the “Indenture”) entered into by the Company, Holdings, and the trustee under the Indenture (“Exchangeable Notes”).</w:t>
      </w:r>
    </w:p>
    <w:p>
      <w:pPr>
        <w:spacing w:after="0" w:line="197" w:lineRule="exact"/>
        <w:rPr>
          <w:sz w:val="20"/>
          <w:szCs w:val="20"/>
          <w:color w:val="auto"/>
        </w:rPr>
      </w:pPr>
    </w:p>
    <w:p>
      <w:pPr>
        <w:ind w:right="140" w:firstLine="641"/>
        <w:spacing w:after="0" w:line="262" w:lineRule="auto"/>
        <w:rPr>
          <w:sz w:val="20"/>
          <w:szCs w:val="20"/>
          <w:color w:val="auto"/>
        </w:rPr>
      </w:pPr>
      <w:r>
        <w:rPr>
          <w:rFonts w:ascii="Times New Roman" w:cs="Times New Roman" w:eastAsia="Times New Roman" w:hAnsi="Times New Roman"/>
          <w:sz w:val="18"/>
          <w:szCs w:val="18"/>
          <w:color w:val="auto"/>
        </w:rPr>
        <w:t>All Exchangeable Notes were exchanged prior to November 29, 2024. An aggregate of $130,000 of the Exchangeable Notes were surrendered and exchanged for an aggregate of 13,587,565 newly-issued shares of the Company's Class A Common Stock. As a result of the exchange, all Exchangeable Notes were extinguished.</w:t>
      </w:r>
    </w:p>
    <w:p>
      <w:pPr>
        <w:spacing w:after="0" w:line="204"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The Company assessed all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a derivative liability. The fair value of the optional redemption with a make-whole provision feature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liability upon issuance of the Exchangeable Notes and at the end of each reporting period when the derivative liability was remeasured to its fair value. The derivative liability was written off when the Exchangeable Notes were surrendered and exchanged in 2024.</w:t>
      </w:r>
    </w:p>
    <w:p>
      <w:pPr>
        <w:spacing w:after="0" w:line="212" w:lineRule="exact"/>
        <w:rPr>
          <w:sz w:val="20"/>
          <w:szCs w:val="20"/>
          <w:color w:val="auto"/>
        </w:rPr>
      </w:pPr>
    </w:p>
    <w:p>
      <w:pPr>
        <w:jc w:val="both"/>
        <w:ind w:right="120" w:firstLine="641"/>
        <w:spacing w:after="0" w:line="271"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2024, the Company recognized $2,425 of interest expense related to the Exchangeable Notes at the effective interest rate of 7.4%. During the </w:t>
      </w:r>
      <w:r>
        <w:rPr>
          <w:rFonts w:ascii="Times New Roman" w:cs="Times New Roman" w:eastAsia="Times New Roman" w:hAnsi="Times New Roman"/>
          <w:sz w:val="19"/>
          <w:szCs w:val="19"/>
          <w:color w:val="auto"/>
        </w:rPr>
        <w:t>nine</w:t>
      </w:r>
      <w:r>
        <w:rPr>
          <w:rFonts w:ascii="Times New Roman" w:cs="Times New Roman" w:eastAsia="Times New Roman" w:hAnsi="Times New Roman"/>
          <w:sz w:val="18"/>
          <w:szCs w:val="18"/>
          <w:color w:val="auto"/>
        </w:rPr>
        <w:t xml:space="preserve"> months ended September 30, 2024, the Company recognized $7,219 respectively, of interest expense related to the Exchangeable Notes at the effective interest rate of 7.4%.</w:t>
      </w:r>
    </w:p>
    <w:p>
      <w:pPr>
        <w:spacing w:after="0" w:line="200" w:lineRule="exact"/>
        <w:rPr>
          <w:sz w:val="20"/>
          <w:szCs w:val="20"/>
          <w:color w:val="auto"/>
        </w:rPr>
      </w:pPr>
    </w:p>
    <w:p>
      <w:pPr>
        <w:spacing w:after="0" w:line="231" w:lineRule="exact"/>
        <w:rPr>
          <w:sz w:val="20"/>
          <w:szCs w:val="20"/>
          <w:color w:val="auto"/>
        </w:rPr>
      </w:pPr>
    </w:p>
    <w:p>
      <w:pPr>
        <w:ind w:right="9120" w:firstLine="87"/>
        <w:spacing w:after="0" w:line="535" w:lineRule="auto"/>
        <w:tabs>
          <w:tab w:leader="none" w:pos="258"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STRUCTURE Shares Authorized</w:t>
      </w:r>
    </w:p>
    <w:p>
      <w:pPr>
        <w:spacing w:after="0" w:line="1" w:lineRule="exact"/>
        <w:rPr>
          <w:sz w:val="20"/>
          <w:szCs w:val="20"/>
          <w:color w:val="auto"/>
        </w:rPr>
      </w:pPr>
    </w:p>
    <w:p>
      <w:pPr>
        <w:ind w:right="100" w:firstLine="641"/>
        <w:spacing w:after="0" w:line="239" w:lineRule="auto"/>
        <w:rPr>
          <w:sz w:val="20"/>
          <w:szCs w:val="20"/>
          <w:color w:val="auto"/>
        </w:rPr>
      </w:pPr>
      <w:r>
        <w:rPr>
          <w:rFonts w:ascii="Times New Roman" w:cs="Times New Roman" w:eastAsia="Times New Roman" w:hAnsi="Times New Roman"/>
          <w:sz w:val="18"/>
          <w:szCs w:val="18"/>
          <w:color w:val="auto"/>
        </w:rPr>
        <w:t>In May 2025, the Company filed a Third Amended and Restated Certificate of Incorporation in the State of Delaware to (ii) increase the authorized number of shares of the Company’s Class A Common Stock from 250,000,000 shares to 1,000,000,000 shares, and (ii) eliminate obsolete provisions, including those related to the Company’s now-eliminated dual-class structure.</w:t>
      </w:r>
    </w:p>
    <w:p>
      <w:pPr>
        <w:spacing w:after="0" w:line="223" w:lineRule="exact"/>
        <w:rPr>
          <w:sz w:val="20"/>
          <w:szCs w:val="20"/>
          <w:color w:val="auto"/>
        </w:rPr>
      </w:pPr>
    </w:p>
    <w:p>
      <w:pPr>
        <w:ind w:right="80" w:firstLine="641"/>
        <w:spacing w:after="0" w:line="262" w:lineRule="auto"/>
        <w:rPr>
          <w:sz w:val="20"/>
          <w:szCs w:val="20"/>
          <w:color w:val="auto"/>
        </w:rPr>
      </w:pPr>
      <w:r>
        <w:rPr>
          <w:rFonts w:ascii="Times New Roman" w:cs="Times New Roman" w:eastAsia="Times New Roman" w:hAnsi="Times New Roman"/>
          <w:sz w:val="18"/>
          <w:szCs w:val="18"/>
          <w:color w:val="auto"/>
        </w:rPr>
        <w:t>As of September 30, 2025, the Company had authorized a total of 1,000,000,000 shares for issuance designated as Class A Common Stock, no shares designated as Class B Common Stock and 10,000,000 shares designated as preferred stock. As of September 30, 2025, there were 124,961,235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 no shares of Class B Common Stock issued and outstanding and no shares of Preferred Stock issued and outstanding.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51" w:lineRule="exact"/>
        <w:rPr>
          <w:sz w:val="20"/>
          <w:szCs w:val="20"/>
          <w:color w:val="auto"/>
        </w:rPr>
      </w:pPr>
    </w:p>
    <w:p>
      <w:pPr>
        <w:jc w:val="both"/>
        <w:ind w:right="40" w:firstLine="641"/>
        <w:spacing w:after="0" w:line="262" w:lineRule="auto"/>
        <w:rPr>
          <w:sz w:val="20"/>
          <w:szCs w:val="20"/>
          <w:color w:val="auto"/>
        </w:rPr>
      </w:pPr>
      <w:r>
        <w:rPr>
          <w:rFonts w:ascii="Times New Roman" w:cs="Times New Roman" w:eastAsia="Times New Roman" w:hAnsi="Times New Roman"/>
          <w:sz w:val="18"/>
          <w:szCs w:val="18"/>
          <w:color w:val="auto"/>
        </w:rPr>
        <w:t>During the quarter ended September 30, 2025, the Company issued 253,118 new shares of Class A Common Stock pursuant primarily to the vesting of certain restricted stock units ("RSUs") and exercises of stock options. The Class A Common Stock issued pursuant to the vesting of RSUs were issued net of shares withheld for applicable taxes.</w:t>
      </w:r>
    </w:p>
    <w:p>
      <w:pPr>
        <w:spacing w:after="0" w:line="204" w:lineRule="exact"/>
        <w:rPr>
          <w:sz w:val="20"/>
          <w:szCs w:val="20"/>
          <w:color w:val="auto"/>
        </w:rPr>
      </w:pPr>
    </w:p>
    <w:p>
      <w:pPr>
        <w:jc w:val="both"/>
        <w:ind w:right="20" w:firstLine="641"/>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issued 1,721,906 new shares of Class A Common Stock pursuant primarily to the vesting of certain RSUs, exercises of stock options, and employee stock purchase plan ("ESPP") transactions. The Class A Common Stock issued pursuant to the vesting of RSUs were issued net of shares withheld for applicable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38" w:lineRule="exact"/>
        <w:rPr>
          <w:sz w:val="20"/>
          <w:szCs w:val="20"/>
          <w:color w:val="auto"/>
        </w:rPr>
      </w:pPr>
    </w:p>
    <w:p>
      <w:pPr>
        <w:jc w:val="both"/>
        <w:ind w:firstLine="641"/>
        <w:spacing w:after="0" w:line="234"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3,236,509 and 22,415,179 warrants outstanding, respectively. Until the expiration date of December 27, 2026, each warrant entitled the registered holder to purchase one share of the Company’s Class A Common Stock at a price of $11.50 per share, subject to adjustment. The exercise price of the warrants was adjusted to $7.97 as the result of the spin-off of Resolute Holdings. See Note 1 for additional discussion of the Spin-Off. Pursuant to the warrant agreement, a warrant holder may exercise its warrants only for a whole number of shares. The Company has the ability to redeem the warrants at any time prior to their expiration, at $0.01 per warrant, provided that the last reported sales price (or the closing bid price of our Class A Common Stock in the event the shares of our Class A Common Stock are not traded on any specific trading day) of the Class A Common Stock equals or exceeds $14.47 per share (as adjusted effective February 28, 2025) on each of 20 trading days within the 30 trading-day period ending on the third business day prior to the date on which the Company sends notice of such redemption to the holders of warrants. 18,752,570 and 19,178,670 warrants were exercised during the three and nine months ending September 30, 2025, respectively. The exercise of warrants provided $154,356 in proceeds and resulted in the issuance of 19,178,670 shares. For the remaining outstanding warrants, if the Company calls the warrants for redemption, its board of directors will have the option to require all holders that wish to exercise warrants to do so on a “cashless basis.” On and after the redemption date, the holders of warrants will have no further rights except to receive the redemption price for the warrants upon surrender of such warrant. The right to exercise will be forfeited unless the warrants are exercised prior to the date specified in the notice of redemption.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51" w:lineRule="exact"/>
        <w:rPr>
          <w:sz w:val="20"/>
          <w:szCs w:val="20"/>
          <w:color w:val="auto"/>
        </w:rPr>
      </w:pPr>
    </w:p>
    <w:p>
      <w:pPr>
        <w:ind w:right="160" w:firstLine="641"/>
        <w:spacing w:after="0" w:line="255" w:lineRule="auto"/>
        <w:rPr>
          <w:sz w:val="20"/>
          <w:szCs w:val="20"/>
          <w:color w:val="auto"/>
        </w:rPr>
      </w:pPr>
      <w:r>
        <w:rPr>
          <w:rFonts w:ascii="Times New Roman" w:cs="Times New Roman" w:eastAsia="Times New Roman" w:hAnsi="Times New Roman"/>
          <w:sz w:val="18"/>
          <w:szCs w:val="18"/>
          <w:color w:val="auto"/>
        </w:rPr>
        <w:t xml:space="preserve">Non-controlling interest represented the direct interests held in Holdings other than by the Company. The non-controlling interest in the Company was represented by Class B Units. Since the potential cash redemptions of the non-controlling interest was outside the control of the Company, the non-controlling interest was classified as temporary equity on the consolidated balance sheet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Income tax benefits or provisions were applied to the income attributable to the controlling interest as the income attributable to the non-controlling interest was pass-through income.</w:t>
      </w:r>
    </w:p>
    <w:p>
      <w:pPr>
        <w:spacing w:after="0" w:line="210" w:lineRule="exact"/>
        <w:rPr>
          <w:sz w:val="20"/>
          <w:szCs w:val="20"/>
          <w:color w:val="auto"/>
        </w:rPr>
      </w:pPr>
    </w:p>
    <w:p>
      <w:pPr>
        <w:ind w:right="240" w:firstLine="641"/>
        <w:spacing w:after="0" w:line="257" w:lineRule="auto"/>
        <w:rPr>
          <w:sz w:val="20"/>
          <w:szCs w:val="20"/>
          <w:color w:val="auto"/>
        </w:rPr>
      </w:pPr>
      <w:r>
        <w:rPr>
          <w:rFonts w:ascii="Times New Roman" w:cs="Times New Roman" w:eastAsia="Times New Roman" w:hAnsi="Times New Roman"/>
          <w:sz w:val="18"/>
          <w:szCs w:val="18"/>
          <w:color w:val="auto"/>
        </w:rPr>
        <w:t>As of September 30, 2025 and December 31, 2024, the Company did not have a non-controlling interest as a result of the exchange of all Class B shares for Class A shares in connection with the Tungsten Transactions. The non-controlling interest was historically adjusted to redemption value at each balance sheet date and in accordance with ASC 480-10. This measurement adjustment resulted in a corresponding adjustment to shareholders’ deficit through adjustments to additional paid-in capital and retained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51" w:lineRule="exact"/>
        <w:rPr>
          <w:sz w:val="20"/>
          <w:szCs w:val="20"/>
          <w:color w:val="auto"/>
        </w:rPr>
      </w:pPr>
    </w:p>
    <w:p>
      <w:pPr>
        <w:ind w:right="380" w:firstLine="641"/>
        <w:spacing w:after="0" w:line="277" w:lineRule="auto"/>
        <w:rPr>
          <w:sz w:val="20"/>
          <w:szCs w:val="20"/>
          <w:color w:val="auto"/>
        </w:rPr>
      </w:pPr>
      <w:r>
        <w:rPr>
          <w:rFonts w:ascii="Times New Roman" w:cs="Times New Roman" w:eastAsia="Times New Roman" w:hAnsi="Times New Roman"/>
          <w:sz w:val="18"/>
          <w:szCs w:val="18"/>
          <w:color w:val="auto"/>
        </w:rPr>
        <w:t>On February 10, 2025, the Company announced that the Board of Directors approved an increase to an existing share repurchase program from $40,000 up to $100,000. During the quarter ended September 30, 2025,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Company repurchased 647,782 shares of Class A Common Stock through open market transactions as treasury stock at an aggregate cost of $12,247. The ultimate use of the repurchased shares has not been determined and are therefore being presented separately as a reduction to shareholders' equity.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COMPENSATION</w:t>
      </w:r>
    </w:p>
    <w:p>
      <w:pPr>
        <w:spacing w:after="0" w:line="224"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selling, general and administrative expenses within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306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2"/>
        </w:trPr>
        <w:tc>
          <w:tcPr>
            <w:tcW w:w="43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5"/>
        </w:trPr>
        <w:tc>
          <w:tcPr>
            <w:tcW w:w="438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
        </w:trPr>
        <w:tc>
          <w:tcPr>
            <w:tcW w:w="43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 expense</w:t>
            </w:r>
          </w:p>
        </w:tc>
        <w:tc>
          <w:tcPr>
            <w:tcW w:w="114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w:t>
            </w: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 expense</w:t>
            </w:r>
          </w:p>
        </w:tc>
        <w:tc>
          <w:tcPr>
            <w:tcW w:w="11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40"/>
        </w:trPr>
        <w:tc>
          <w:tcPr>
            <w:tcW w:w="4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1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1"/>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0"/>
        </w:trPr>
        <w:tc>
          <w:tcPr>
            <w:tcW w:w="43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9"/>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CCEEFF"/>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0" w:right="180" w:firstLine="641"/>
        <w:spacing w:after="0" w:line="255" w:lineRule="auto"/>
        <w:rPr>
          <w:sz w:val="20"/>
          <w:szCs w:val="20"/>
          <w:color w:val="auto"/>
        </w:rPr>
      </w:pPr>
      <w:r>
        <w:rPr>
          <w:rFonts w:ascii="Times New Roman" w:cs="Times New Roman" w:eastAsia="Times New Roman" w:hAnsi="Times New Roman"/>
          <w:sz w:val="18"/>
          <w:szCs w:val="18"/>
          <w:color w:val="auto"/>
        </w:rPr>
        <w:t>Employees of Holdings and Resolute Holdings were granted equity awards from the Company's plan. Prior to the Spin-Off and execution of the Management Agreement, the expense related to these awards was recognized as expense by the Company. Subsequent to the Spin-Off and execution of the Management Agreement, the expense related to the awards is presented as an expense at Holdings and Resolute Holdings due to common control. The increase in the Company's additional paid-in capital arising from equity awards expensed at Holdings amounted to $5,646 and $0 during the three months ended September 30, 2025 and 2024, respectively and $12,565 and $0 during the nine months ended September 30, 2025 and 2024, respectively.</w:t>
      </w:r>
    </w:p>
    <w:p>
      <w:pPr>
        <w:spacing w:after="0" w:line="76" w:lineRule="exact"/>
        <w:rPr>
          <w:sz w:val="20"/>
          <w:szCs w:val="20"/>
          <w:color w:val="auto"/>
        </w:rPr>
      </w:pPr>
    </w:p>
    <w:p>
      <w:pPr>
        <w:jc w:val="both"/>
        <w:ind w:left="20" w:firstLine="641"/>
        <w:spacing w:after="0" w:line="285" w:lineRule="auto"/>
        <w:rPr>
          <w:sz w:val="20"/>
          <w:szCs w:val="20"/>
          <w:color w:val="auto"/>
        </w:rPr>
      </w:pPr>
      <w:r>
        <w:rPr>
          <w:rFonts w:ascii="Times New Roman" w:cs="Times New Roman" w:eastAsia="Times New Roman" w:hAnsi="Times New Roman"/>
          <w:sz w:val="17"/>
          <w:szCs w:val="17"/>
          <w:color w:val="auto"/>
        </w:rPr>
        <w:t>Equity awards to Resolute Holdings employees that were made prior to the Spin-Off were reflected as a dividend of $20,020 at the time of the Spin-Off. Subsequent to the Spin-Off, 449,775 RSUs were granted to affiliates of Resolute Holdings. The awards had a grant date fair value of $13.34. As the awards were granted from the Company's plan, the related share information is reflected in this footnote. The awards were treated as a dividend of $6,000.</w:t>
      </w:r>
    </w:p>
    <w:p>
      <w:pPr>
        <w:spacing w:after="0" w:line="279" w:lineRule="exact"/>
        <w:rPr>
          <w:sz w:val="20"/>
          <w:szCs w:val="20"/>
          <w:color w:val="auto"/>
        </w:rPr>
      </w:pPr>
    </w:p>
    <w:p>
      <w:pPr>
        <w:ind w:right="60" w:firstLine="641"/>
        <w:spacing w:after="0" w:line="242" w:lineRule="auto"/>
        <w:rPr>
          <w:sz w:val="20"/>
          <w:szCs w:val="20"/>
          <w:color w:val="auto"/>
        </w:rPr>
      </w:pPr>
      <w:r>
        <w:rPr>
          <w:rFonts w:ascii="Times New Roman" w:cs="Times New Roman" w:eastAsia="Times New Roman" w:hAnsi="Times New Roman"/>
          <w:sz w:val="18"/>
          <w:szCs w:val="18"/>
          <w:color w:val="auto"/>
        </w:rPr>
        <w:t>As a result of the Spin-Off, outstanding performance and market based restricted stock units (“PSUs”), RSUs and stock options were adjusted as required by the Company's equity plan. These equity awards were adjusted to maintain equal value for award holders immediately prior to and subsequent to the Spin-Off. As the awards were considered to be an equitable adjustment, no incremental compensation cost was recognized. The incremental shares related to the Spin-Off are reflected in the below tables.</w:t>
      </w:r>
    </w:p>
    <w:p>
      <w:pPr>
        <w:spacing w:after="0" w:line="327" w:lineRule="exact"/>
        <w:rPr>
          <w:sz w:val="20"/>
          <w:szCs w:val="20"/>
          <w:color w:val="auto"/>
        </w:rPr>
      </w:pPr>
    </w:p>
    <w:p>
      <w:pPr>
        <w:ind w:left="20" w:right="180" w:firstLine="641"/>
        <w:spacing w:after="0" w:line="277" w:lineRule="auto"/>
        <w:rPr>
          <w:sz w:val="20"/>
          <w:szCs w:val="20"/>
          <w:color w:val="auto"/>
        </w:rPr>
      </w:pPr>
      <w:r>
        <w:rPr>
          <w:rFonts w:ascii="Times New Roman" w:cs="Times New Roman" w:eastAsia="Times New Roman" w:hAnsi="Times New Roman"/>
          <w:sz w:val="18"/>
          <w:szCs w:val="18"/>
          <w:color w:val="auto"/>
        </w:rPr>
        <w:t>A summary of RSUs, PSUs and stock option activity under the Company's CompoSecure, Inc. 2021 Incentive Equity Plan during the nine months ended September 30, 2025 is presented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 Activity</w:t>
            </w:r>
          </w:p>
        </w:tc>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51"/>
        </w:trPr>
        <w:tc>
          <w:tcPr>
            <w:tcW w:w="5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Weighted Average Grant Date Fair</w:t>
            </w:r>
          </w:p>
        </w:tc>
      </w:tr>
      <w:tr>
        <w:trPr>
          <w:trHeight w:val="237"/>
        </w:trPr>
        <w:tc>
          <w:tcPr>
            <w:tcW w:w="5240" w:type="dxa"/>
            <w:vAlign w:val="bottom"/>
          </w:tcPr>
          <w:p>
            <w:pPr>
              <w:spacing w:after="0"/>
              <w:rPr>
                <w:sz w:val="20"/>
                <w:szCs w:val="20"/>
                <w:color w:val="auto"/>
              </w:rPr>
            </w:pPr>
          </w:p>
        </w:tc>
        <w:tc>
          <w:tcPr>
            <w:tcW w:w="300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2840" w:type="dxa"/>
            <w:vAlign w:val="bottom"/>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Value Per Share</w:t>
            </w:r>
          </w:p>
        </w:tc>
      </w:tr>
      <w:tr>
        <w:trPr>
          <w:trHeight w:val="40"/>
        </w:trPr>
        <w:tc>
          <w:tcPr>
            <w:tcW w:w="5240" w:type="dxa"/>
            <w:vAlign w:val="bottom"/>
            <w:tcBorders>
              <w:bottom w:val="single" w:sz="8" w:color="CCEEFF"/>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6,216,661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4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1,355,148</w:t>
            </w:r>
          </w:p>
        </w:tc>
        <w:tc>
          <w:tcPr>
            <w:tcW w:w="1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40"/>
        </w:trPr>
        <w:tc>
          <w:tcPr>
            <w:tcW w:w="52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6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Spin-Off Adjustments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783,008</w:t>
            </w:r>
          </w:p>
        </w:tc>
        <w:tc>
          <w:tcPr>
            <w:tcW w:w="14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4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(2,432,230)</w:t>
            </w:r>
          </w:p>
        </w:tc>
        <w:tc>
          <w:tcPr>
            <w:tcW w:w="1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40"/>
        </w:trPr>
        <w:tc>
          <w:tcPr>
            <w:tcW w:w="524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8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w:t>
            </w:r>
          </w:p>
        </w:tc>
        <w:tc>
          <w:tcPr>
            <w:tcW w:w="140" w:type="dxa"/>
            <w:vAlign w:val="bottom"/>
            <w:tcBorders>
              <w:bottom w:val="single" w:sz="8" w:color="CCEEFF"/>
            </w:tcBorders>
            <w:shd w:val="clear" w:color="auto" w:fill="CCEEFF"/>
          </w:tcPr>
          <w:p>
            <w:pPr>
              <w:spacing w:after="0"/>
              <w:rPr>
                <w:sz w:val="24"/>
                <w:szCs w:val="24"/>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6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3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5,816,068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6"/>
        </w:trPr>
        <w:tc>
          <w:tcPr>
            <w:tcW w:w="524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40" w:firstLine="641"/>
        <w:spacing w:after="0" w:line="277" w:lineRule="auto"/>
        <w:rPr>
          <w:sz w:val="20"/>
          <w:szCs w:val="20"/>
          <w:color w:val="auto"/>
        </w:rPr>
      </w:pPr>
      <w:r>
        <w:rPr>
          <w:rFonts w:ascii="Times New Roman" w:cs="Times New Roman" w:eastAsia="Times New Roman" w:hAnsi="Times New Roman"/>
          <w:sz w:val="18"/>
          <w:szCs w:val="18"/>
          <w:color w:val="auto"/>
        </w:rPr>
        <w:t>There is no unrecognized compensation expense for RSUs as of September 30, 2025. Of the nonvested RSUs outstanding at September 30, 2025, 1,270,610 were for Resolute Holdings employees and 4,545,458 were for Holdings employees.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and Market Based Stock Units Activity</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4"/>
                <w:szCs w:val="24"/>
                <w:color w:val="auto"/>
              </w:rPr>
            </w:pPr>
          </w:p>
        </w:tc>
        <w:tc>
          <w:tcPr>
            <w:tcW w:w="28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6"/>
            <w:vMerge w:val="continue"/>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0" w:type="dxa"/>
            <w:vAlign w:val="bottom"/>
          </w:tcPr>
          <w:p>
            <w:pPr>
              <w:spacing w:after="0"/>
              <w:rPr>
                <w:sz w:val="1"/>
                <w:szCs w:val="1"/>
                <w:color w:val="auto"/>
              </w:rPr>
            </w:pPr>
          </w:p>
        </w:tc>
      </w:tr>
      <w:tr>
        <w:trPr>
          <w:trHeight w:val="26"/>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1,755,531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Spin-Off Adjustments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297,783</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(262,803)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8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1,790,511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3"/>
          </w:tcPr>
          <w:p>
            <w:pPr>
              <w:spacing w:after="0" w:line="20" w:lineRule="exact"/>
              <w:rPr>
                <w:sz w:val="1"/>
                <w:szCs w:val="1"/>
                <w:color w:val="auto"/>
              </w:rPr>
            </w:pPr>
          </w:p>
        </w:tc>
        <w:tc>
          <w:tcPr>
            <w:tcW w:w="160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11240" w:type="dxa"/>
            <w:vAlign w:val="bottom"/>
            <w:gridSpan w:val="14"/>
          </w:tcPr>
          <w:p>
            <w:pPr>
              <w:ind w:left="640"/>
              <w:spacing w:after="0"/>
              <w:rPr>
                <w:sz w:val="20"/>
                <w:szCs w:val="20"/>
                <w:color w:val="auto"/>
              </w:rPr>
            </w:pPr>
            <w:r>
              <w:rPr>
                <w:rFonts w:ascii="Times New Roman" w:cs="Times New Roman" w:eastAsia="Times New Roman" w:hAnsi="Times New Roman"/>
                <w:sz w:val="18"/>
                <w:szCs w:val="18"/>
                <w:color w:val="auto"/>
                <w:w w:val="99"/>
              </w:rPr>
              <w:t>There is no unrecognized compensation expense for PSUs as of September 30, 2025. All of the nonvested PSUs outstanding at September 30, 2025</w:t>
            </w:r>
          </w:p>
        </w:tc>
        <w:tc>
          <w:tcPr>
            <w:tcW w:w="0" w:type="dxa"/>
            <w:vAlign w:val="bottom"/>
          </w:tcPr>
          <w:p>
            <w:pPr>
              <w:spacing w:after="0"/>
              <w:rPr>
                <w:sz w:val="1"/>
                <w:szCs w:val="1"/>
                <w:color w:val="auto"/>
              </w:rPr>
            </w:pPr>
          </w:p>
        </w:tc>
      </w:tr>
      <w:tr>
        <w:trPr>
          <w:trHeight w:val="23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were for employees of Holdings.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82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options activity for the nine months ended September 30, 2025:</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6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27"/>
        </w:trPr>
        <w:tc>
          <w:tcPr>
            <w:tcW w:w="4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9"/>
                <w:szCs w:val="19"/>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Per Shares</w:t>
            </w:r>
          </w:p>
        </w:tc>
        <w:tc>
          <w:tcPr>
            <w:tcW w:w="12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6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40"/>
        </w:trPr>
        <w:tc>
          <w:tcPr>
            <w:tcW w:w="486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2,275,671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295,697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Spin-Off Adjustments</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6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2025</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220" w:firstLine="641"/>
        <w:spacing w:after="0" w:line="262" w:lineRule="auto"/>
        <w:rPr>
          <w:sz w:val="20"/>
          <w:szCs w:val="20"/>
          <w:color w:val="auto"/>
        </w:rPr>
      </w:pPr>
      <w:r>
        <w:rPr>
          <w:rFonts w:ascii="Times New Roman" w:cs="Times New Roman" w:eastAsia="Times New Roman" w:hAnsi="Times New Roman"/>
          <w:sz w:val="18"/>
          <w:szCs w:val="18"/>
          <w:color w:val="auto"/>
        </w:rPr>
        <w:t>Unrecognized compensation expense for options was $3,305 as of September 30, 2025 and is expected to be recognized over a remaining term of 3.1 years. Of the vested and expected to vest options outstanding at September 30, 2025, 1,958,040 were related to Resolute Holdings employees and 793,106 were related to Holdings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Consideration</w:t>
      </w:r>
    </w:p>
    <w:p>
      <w:pPr>
        <w:spacing w:after="0" w:line="118" w:lineRule="exact"/>
        <w:rPr>
          <w:sz w:val="20"/>
          <w:szCs w:val="20"/>
          <w:color w:val="auto"/>
        </w:rPr>
      </w:pPr>
    </w:p>
    <w:p>
      <w:pPr>
        <w:ind w:right="20" w:firstLine="641"/>
        <w:spacing w:after="0" w:line="252" w:lineRule="auto"/>
        <w:rPr>
          <w:sz w:val="20"/>
          <w:szCs w:val="20"/>
          <w:color w:val="auto"/>
        </w:rPr>
      </w:pPr>
      <w:r>
        <w:rPr>
          <w:rFonts w:ascii="Times New Roman" w:cs="Times New Roman" w:eastAsia="Times New Roman" w:hAnsi="Times New Roman"/>
          <w:sz w:val="18"/>
          <w:szCs w:val="18"/>
          <w:color w:val="auto"/>
        </w:rPr>
        <w:t>Certain of the equity holders of Holdings (including certain employees) have the right to receive an aggregate of up to 7,500,000 additional shares of the Company's Class A Common Stock in earnout consideration based on the achievement of certain stock price thresholds (collectively, the “Earnouts”). The Earnouts were subject to two price thresholds and required half of the shares to be awarded upon the achievement of each threshold. The Earnouts expire in two phases if the achievement thresholds are not met. The earnouts under the first phase were achieved on December 13, 2024. The second phase of the Earnouts, which was achieved on September 8, 2025, was earned when shares of the Company's Class A Common Stock traded at a price that was equal to or greater than $17.10 per share (lowered from $20.00 per share as a result of the Spin-Off) on each of 20 trading days within any 30 consecutive trading day period.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firstLine="641"/>
        <w:spacing w:after="0" w:line="308" w:lineRule="auto"/>
        <w:rPr>
          <w:sz w:val="20"/>
          <w:szCs w:val="20"/>
          <w:color w:val="auto"/>
        </w:rPr>
      </w:pPr>
      <w:r>
        <w:rPr>
          <w:rFonts w:ascii="Times New Roman" w:cs="Times New Roman" w:eastAsia="Times New Roman" w:hAnsi="Times New Roman"/>
          <w:sz w:val="17"/>
          <w:szCs w:val="17"/>
          <w:color w:val="auto"/>
        </w:rPr>
        <w:t>A total of 657,160 shares, or 328,580 shares for each phase, were issued to employees and were accounted for in accordance with ASC 718 as they were considered to be compensation. The following is a summary of the earnout activity for employees for the nine months ended September 30,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0" w:type="dxa"/>
            <w:vAlign w:val="bottom"/>
          </w:tcPr>
          <w:p>
            <w:pPr>
              <w:spacing w:after="0"/>
              <w:rPr>
                <w:sz w:val="20"/>
                <w:szCs w:val="20"/>
                <w:color w:val="auto"/>
              </w:rPr>
            </w:pPr>
          </w:p>
        </w:tc>
        <w:tc>
          <w:tcPr>
            <w:tcW w:w="3040" w:type="dxa"/>
            <w:vAlign w:val="bottom"/>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40"/>
        </w:trPr>
        <w:tc>
          <w:tcPr>
            <w:tcW w:w="8200" w:type="dxa"/>
            <w:vAlign w:val="bottom"/>
            <w:tcBorders>
              <w:bottom w:val="single" w:sz="8" w:color="CCEEFF"/>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5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328,580</w:t>
            </w:r>
          </w:p>
        </w:tc>
      </w:tr>
      <w:tr>
        <w:trPr>
          <w:trHeight w:val="241"/>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Spin-Off Adjustment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55,737</w:t>
            </w:r>
          </w:p>
        </w:tc>
      </w:tr>
      <w:tr>
        <w:trPr>
          <w:trHeight w:val="40"/>
        </w:trPr>
        <w:tc>
          <w:tcPr>
            <w:tcW w:w="8200" w:type="dxa"/>
            <w:vAlign w:val="bottom"/>
          </w:tcPr>
          <w:p>
            <w:pPr>
              <w:spacing w:after="0"/>
              <w:rPr>
                <w:sz w:val="3"/>
                <w:szCs w:val="3"/>
                <w:color w:val="auto"/>
              </w:rPr>
            </w:pPr>
          </w:p>
        </w:tc>
        <w:tc>
          <w:tcPr>
            <w:tcW w:w="3040" w:type="dxa"/>
            <w:vAlign w:val="bottom"/>
          </w:tcPr>
          <w:p>
            <w:pPr>
              <w:spacing w:after="0"/>
              <w:rPr>
                <w:sz w:val="3"/>
                <w:szCs w:val="3"/>
                <w:color w:val="auto"/>
              </w:rPr>
            </w:pPr>
          </w:p>
        </w:tc>
      </w:tr>
      <w:tr>
        <w:trPr>
          <w:trHeight w:val="28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(384,317)</w:t>
            </w:r>
          </w:p>
        </w:tc>
      </w:tr>
      <w:tr>
        <w:trPr>
          <w:trHeight w:val="26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2025</w:t>
            </w:r>
          </w:p>
        </w:tc>
        <w:tc>
          <w:tcPr>
            <w:tcW w:w="3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82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 RETIREMENT PLAN</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18"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Holdings has a 401(k) profit sharing plan for all full-time employees who have attained the age of 21 and have completed 90 days of service. Through December 31, 2024, the Company matched 100% of the first 1% and then 50% of the next 5% of employee contributions. On January 1, 2025, the Company began matching 100% of the first 3% and then 50% of the next 2% of employee contributions. Retirement plan expense for the three months ended September 30, 2025 and 2024 was $0 and $431, respectively. Retirement plan expense for the nine months ended September 30, 2025 and 2024 was $563, and $1,483,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51" w:lineRule="exact"/>
        <w:rPr>
          <w:sz w:val="20"/>
          <w:szCs w:val="20"/>
          <w:color w:val="auto"/>
        </w:rPr>
      </w:pPr>
    </w:p>
    <w:p>
      <w:pPr>
        <w:ind w:right="180" w:firstLine="641"/>
        <w:spacing w:after="0" w:line="308" w:lineRule="auto"/>
        <w:rPr>
          <w:sz w:val="20"/>
          <w:szCs w:val="20"/>
          <w:color w:val="auto"/>
        </w:rPr>
      </w:pPr>
      <w:r>
        <w:rPr>
          <w:rFonts w:ascii="Times New Roman" w:cs="Times New Roman" w:eastAsia="Times New Roman" w:hAnsi="Times New Roman"/>
          <w:sz w:val="17"/>
          <w:szCs w:val="17"/>
          <w:color w:val="auto"/>
        </w:rPr>
        <w:t>In accordance with ASC 820-10, the Company evaluates assets and liabilities subject to fair value measurements on a recurring basis to determine the appropriate level at which to classify them for each reporting period. This determination requires the Company to make significant judgments.</w:t>
      </w:r>
    </w:p>
    <w:p>
      <w:pPr>
        <w:spacing w:after="0" w:line="166" w:lineRule="exact"/>
        <w:rPr>
          <w:sz w:val="20"/>
          <w:szCs w:val="20"/>
          <w:color w:val="auto"/>
        </w:rPr>
      </w:pPr>
    </w:p>
    <w:p>
      <w:pPr>
        <w:ind w:right="180" w:firstLine="641"/>
        <w:spacing w:after="0" w:line="277"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consisted of the following types of instruments as of the following dates: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2"/>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9"/>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15"/>
        </w:trPr>
        <w:tc>
          <w:tcPr>
            <w:tcW w:w="5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 Carried at Fair Value:</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2"/>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 - interest rate swap</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Carried at Fair Value: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41,427</w:t>
            </w:r>
          </w:p>
        </w:tc>
      </w:tr>
      <w:tr>
        <w:trPr>
          <w:trHeight w:val="22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9"/>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15"/>
        </w:trPr>
        <w:tc>
          <w:tcPr>
            <w:tcW w:w="5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 Carried at Fair Value:</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2"/>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 - interest rate swap</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r>
      <w:tr>
        <w:trPr>
          <w:trHeight w:val="22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Carried at Fair Value: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104,231</w:t>
            </w:r>
          </w:p>
        </w:tc>
      </w:tr>
      <w:tr>
        <w:trPr>
          <w:trHeight w:val="222"/>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20,533</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asset - interest rate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firstLine="641"/>
        <w:spacing w:after="0" w:line="277" w:lineRule="auto"/>
        <w:rPr>
          <w:sz w:val="20"/>
          <w:szCs w:val="20"/>
          <w:color w:val="auto"/>
        </w:rPr>
      </w:pPr>
      <w:r>
        <w:rPr>
          <w:rFonts w:ascii="Times New Roman" w:cs="Times New Roman" w:eastAsia="Times New Roman" w:hAnsi="Times New Roman"/>
          <w:sz w:val="18"/>
          <w:szCs w:val="18"/>
          <w:color w:val="auto"/>
        </w:rPr>
        <w:t>Holdings is exposed to interest rate risk on variable interest rate debt obligations. To manage interest rate risk, Holdings entered into an interest rate swap agreement on January 5, 2022. See Note 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251" w:lineRule="exact"/>
        <w:rPr>
          <w:sz w:val="20"/>
          <w:szCs w:val="20"/>
          <w:color w:val="auto"/>
        </w:rPr>
      </w:pPr>
    </w:p>
    <w:p>
      <w:pPr>
        <w:ind w:left="20" w:right="180" w:firstLine="641"/>
        <w:spacing w:after="0" w:line="257" w:lineRule="auto"/>
        <w:rPr>
          <w:sz w:val="20"/>
          <w:szCs w:val="20"/>
          <w:color w:val="auto"/>
        </w:rPr>
      </w:pPr>
      <w:r>
        <w:rPr>
          <w:rFonts w:ascii="Times New Roman" w:cs="Times New Roman" w:eastAsia="Times New Roman" w:hAnsi="Times New Roman"/>
          <w:sz w:val="18"/>
          <w:szCs w:val="18"/>
          <w:color w:val="auto"/>
        </w:rPr>
        <w:t>As a result of a 2021 business combination, the Company had assumed a warrant liability related to previously issued warrants in connection with Roman DBDR's initial public offering. The warrants were accounted for as liabilities in accordance with ASC 815-40 and are presented within warrant liabilities on the consolidated balance sheets. The warrant liabilities were remeasured at September 30, 2025 with changes in fair value presented within revaluation of warrant liabilities in the consolidated statement of operations.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ending balances for the warrant liabilities remeasured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Warrant Liabilities</w:t>
            </w:r>
          </w:p>
        </w:tc>
      </w:tr>
      <w:tr>
        <w:trPr>
          <w:trHeight w:val="40"/>
        </w:trPr>
        <w:tc>
          <w:tcPr>
            <w:tcW w:w="8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4"/>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December 31, 2024</w:t>
            </w: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104,231</w:t>
            </w:r>
          </w:p>
        </w:tc>
      </w:tr>
      <w:tr>
        <w:trPr>
          <w:trHeight w:val="241"/>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 of warrant liability</w:t>
            </w:r>
          </w:p>
        </w:tc>
        <w:tc>
          <w:tcPr>
            <w:tcW w:w="32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152,782</w:t>
            </w:r>
          </w:p>
        </w:tc>
      </w:tr>
      <w:tr>
        <w:trPr>
          <w:trHeight w:val="40"/>
        </w:trPr>
        <w:tc>
          <w:tcPr>
            <w:tcW w:w="8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81"/>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exercise of warrants</w:t>
            </w:r>
          </w:p>
        </w:tc>
        <w:tc>
          <w:tcPr>
            <w:tcW w:w="3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(215,586)</w:t>
            </w:r>
          </w:p>
        </w:tc>
      </w:tr>
      <w:tr>
        <w:trPr>
          <w:trHeight w:val="267"/>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at September 30, 2025</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41,427</w:t>
            </w:r>
          </w:p>
        </w:tc>
      </w:tr>
      <w:tr>
        <w:trPr>
          <w:trHeight w:val="26"/>
        </w:trPr>
        <w:tc>
          <w:tcPr>
            <w:tcW w:w="8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bl>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Warrants were valued using the quoted market price as the fair value as of each balance sheet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Consideration</w:t>
      </w:r>
    </w:p>
    <w:p>
      <w:pPr>
        <w:spacing w:after="0" w:line="251" w:lineRule="exact"/>
        <w:rPr>
          <w:sz w:val="20"/>
          <w:szCs w:val="20"/>
          <w:color w:val="auto"/>
        </w:rPr>
      </w:pPr>
    </w:p>
    <w:p>
      <w:pPr>
        <w:ind w:right="100" w:firstLine="641"/>
        <w:spacing w:after="0" w:line="255" w:lineRule="auto"/>
        <w:rPr>
          <w:sz w:val="20"/>
          <w:szCs w:val="20"/>
          <w:color w:val="auto"/>
        </w:rPr>
      </w:pPr>
      <w:r>
        <w:rPr>
          <w:rFonts w:ascii="Times New Roman" w:cs="Times New Roman" w:eastAsia="Times New Roman" w:hAnsi="Times New Roman"/>
          <w:sz w:val="18"/>
          <w:szCs w:val="18"/>
          <w:color w:val="auto"/>
        </w:rPr>
        <w:t>Earnout consideration liabilities held by former holders of interests in Holdings (not including the holders under ASC 718) were determined to be derivative instruments in accordance with ASC 815 and were accounted as derivative liabilities. The earnout consideration liabilities were initially valued at fair value in accordance with ASC 815-40-30-1 and are subsequently remeasured at each reporting period with changes in fair value recorded in earnings in accordance with ASC 815-40-35-4. The Company established the initial fair value for the earnout consideration liabilities at the closing date on December 27, 2021 using a Monte Carlo simulation model.</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reconciliation of the ending balances for the earnout consideration liabilities remeasured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Earnout Consideration Liability</w:t>
            </w:r>
          </w:p>
        </w:tc>
      </w:tr>
      <w:tr>
        <w:trPr>
          <w:trHeight w:val="40"/>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5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December 31, 2024</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w:t>
            </w:r>
          </w:p>
        </w:tc>
      </w:tr>
      <w:tr>
        <w:trPr>
          <w:trHeight w:val="241"/>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Phase two on achievement date</w:t>
            </w:r>
          </w:p>
        </w:tc>
        <w:tc>
          <w:tcPr>
            <w:tcW w:w="26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57,101</w:t>
            </w:r>
          </w:p>
        </w:tc>
      </w:tr>
      <w:tr>
        <w:trPr>
          <w:trHeight w:val="40"/>
        </w:trPr>
        <w:tc>
          <w:tcPr>
            <w:tcW w:w="7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40" w:type="dxa"/>
            <w:vAlign w:val="bottom"/>
          </w:tcPr>
          <w:p>
            <w:pPr>
              <w:spacing w:after="0"/>
              <w:rPr>
                <w:sz w:val="3"/>
                <w:szCs w:val="3"/>
                <w:color w:val="auto"/>
              </w:rPr>
            </w:pPr>
          </w:p>
        </w:tc>
      </w:tr>
      <w:tr>
        <w:trPr>
          <w:trHeight w:val="28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Phase two on September 08, 2025</w:t>
            </w:r>
          </w:p>
        </w:tc>
        <w:tc>
          <w:tcPr>
            <w:tcW w:w="260" w:type="dxa"/>
            <w:vAlign w:val="bottom"/>
            <w:tcBorders>
              <w:bottom w:val="single" w:sz="8" w:color="CCEEFF"/>
            </w:tcBorders>
            <w:shd w:val="clear" w:color="auto" w:fill="CCEEFF"/>
          </w:tcPr>
          <w:p>
            <w:pPr>
              <w:spacing w:after="0"/>
              <w:rPr>
                <w:sz w:val="24"/>
                <w:szCs w:val="24"/>
                <w:color w:val="auto"/>
              </w:rPr>
            </w:pPr>
          </w:p>
        </w:tc>
        <w:tc>
          <w:tcPr>
            <w:tcW w:w="3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(77,634)</w:t>
            </w:r>
          </w:p>
        </w:tc>
      </w:tr>
      <w:tr>
        <w:trPr>
          <w:trHeight w:val="26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at September 30, 2025</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7"/>
          <w:szCs w:val="17"/>
          <w:color w:val="auto"/>
        </w:rPr>
        <w:t>The fair value of earnout consideration liabilities have been classified as a Level 3 liability as its valuation requires substantial judgment and estimation of factors that are not currently readily observable in the market. The expected term assumption reflected the period for which the instrument will remain outstanding. To determine volatility, the Company had used the historical closing values of comparable publicly held entities to estimate volatility. The risk-free rate reflected the U.S. Treasury yield curve for a similar expected life instrument in effect at the reporting date. If different assumptions were used for the various inputs to the valuation approach, the estimated fair value could be significantly higher or lower than the fair value determined.</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9" w:name="page30"/>
    <w:bookmarkEnd w:id="29"/>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11. GEOGRAPHIC INFORMATION AND CONCENTRATIONS</w:t>
      </w:r>
    </w:p>
    <w:p>
      <w:pPr>
        <w:spacing w:after="0" w:line="224" w:lineRule="exact"/>
        <w:rPr>
          <w:sz w:val="20"/>
          <w:szCs w:val="20"/>
          <w:color w:val="auto"/>
        </w:rPr>
      </w:pPr>
    </w:p>
    <w:p>
      <w:pPr>
        <w:jc w:val="both"/>
        <w:ind w:right="100" w:firstLine="641"/>
        <w:spacing w:after="0" w:line="277" w:lineRule="auto"/>
        <w:rPr>
          <w:sz w:val="20"/>
          <w:szCs w:val="20"/>
          <w:color w:val="auto"/>
        </w:rPr>
      </w:pPr>
      <w:r>
        <w:rPr>
          <w:rFonts w:ascii="Times New Roman" w:cs="Times New Roman" w:eastAsia="Times New Roman" w:hAnsi="Times New Roman"/>
          <w:sz w:val="18"/>
          <w:szCs w:val="18"/>
          <w:color w:val="auto"/>
        </w:rPr>
        <w:t>The Company and its wholly-owned subsidiary, Holdings, is headquartered in and substantially all of its operations, including its long-lived assets, are located in the United States. Geographical revenue information based on the location of the customer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33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0"/>
                <w:szCs w:val="20"/>
                <w:color w:val="auto"/>
              </w:rPr>
            </w:pPr>
          </w:p>
        </w:tc>
        <w:tc>
          <w:tcPr>
            <w:tcW w:w="3020" w:type="dxa"/>
            <w:vAlign w:val="bottom"/>
            <w:gridSpan w:val="4"/>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40"/>
        </w:trPr>
        <w:tc>
          <w:tcPr>
            <w:tcW w:w="46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4"/>
        </w:trPr>
        <w:tc>
          <w:tcPr>
            <w:tcW w:w="466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46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1"/>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country</w:t>
            </w: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1"/>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80,033</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54,480</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258,007</w:t>
            </w:r>
          </w:p>
        </w:tc>
      </w:tr>
      <w:tr>
        <w:trPr>
          <w:trHeight w:val="40"/>
        </w:trPr>
        <w:tc>
          <w:tcPr>
            <w:tcW w:w="4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1"/>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61,705</w:t>
            </w:r>
          </w:p>
        </w:tc>
      </w:tr>
      <w:tr>
        <w:trPr>
          <w:trHeight w:val="26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top w:val="single" w:sz="8" w:color="auto"/>
              <w:bottom w:val="single" w:sz="8" w:color="auto"/>
            </w:tcBorders>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107,135</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59,824</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319,712</w:t>
            </w:r>
          </w:p>
        </w:tc>
      </w:tr>
      <w:tr>
        <w:trPr>
          <w:trHeight w:val="26"/>
        </w:trPr>
        <w:tc>
          <w:tcPr>
            <w:tcW w:w="4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16" w:lineRule="exact"/>
        <w:rPr>
          <w:sz w:val="20"/>
          <w:szCs w:val="20"/>
          <w:color w:val="auto"/>
        </w:rPr>
      </w:pPr>
    </w:p>
    <w:p>
      <w:pPr>
        <w:jc w:val="both"/>
        <w:ind w:right="100" w:firstLine="641"/>
        <w:spacing w:after="0" w:line="262" w:lineRule="auto"/>
        <w:rPr>
          <w:sz w:val="20"/>
          <w:szCs w:val="20"/>
          <w:color w:val="auto"/>
        </w:rPr>
      </w:pPr>
      <w:r>
        <w:rPr>
          <w:rFonts w:ascii="Times New Roman" w:cs="Times New Roman" w:eastAsia="Times New Roman" w:hAnsi="Times New Roman"/>
          <w:sz w:val="18"/>
          <w:szCs w:val="18"/>
          <w:color w:val="auto"/>
        </w:rPr>
        <w:t>The Company’s principal direct customers as of September 30, 2025 consist primarily of leading international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spacing w:after="0" w:line="204" w:lineRule="exact"/>
        <w:rPr>
          <w:sz w:val="20"/>
          <w:szCs w:val="20"/>
          <w:color w:val="auto"/>
        </w:rPr>
      </w:pPr>
    </w:p>
    <w:p>
      <w:pPr>
        <w:ind w:left="20" w:right="220" w:firstLine="641"/>
        <w:spacing w:after="0" w:line="285" w:lineRule="auto"/>
        <w:rPr>
          <w:sz w:val="20"/>
          <w:szCs w:val="20"/>
          <w:color w:val="auto"/>
        </w:rPr>
      </w:pPr>
      <w:r>
        <w:rPr>
          <w:rFonts w:ascii="Times New Roman" w:cs="Times New Roman" w:eastAsia="Times New Roman" w:hAnsi="Times New Roman"/>
          <w:sz w:val="17"/>
          <w:szCs w:val="17"/>
          <w:color w:val="auto"/>
        </w:rPr>
        <w:t>Four customers individually accounted for more than 10% of the Company’s revenue, or 70.0% of total revenue, for the nine months ended September 30, 2025. Two customers individually accounted for more than 10% of the Company’s revenue, or 65.4% of total revenue, for the nine months ended September 30, 2024. Four customers individually accounted for 10% of total accounts receivable, or approximately 61%, as of December 31, 2024.</w:t>
      </w:r>
    </w:p>
    <w:p>
      <w:pPr>
        <w:spacing w:after="0" w:line="185" w:lineRule="exact"/>
        <w:rPr>
          <w:sz w:val="20"/>
          <w:szCs w:val="20"/>
          <w:color w:val="auto"/>
        </w:rPr>
      </w:pPr>
    </w:p>
    <w:p>
      <w:pPr>
        <w:ind w:firstLine="641"/>
        <w:spacing w:after="0" w:line="263" w:lineRule="auto"/>
        <w:rPr>
          <w:sz w:val="20"/>
          <w:szCs w:val="20"/>
          <w:color w:val="auto"/>
        </w:rPr>
      </w:pPr>
      <w:r>
        <w:rPr>
          <w:rFonts w:ascii="Times New Roman" w:cs="Times New Roman" w:eastAsia="Times New Roman" w:hAnsi="Times New Roman"/>
          <w:sz w:val="18"/>
          <w:szCs w:val="18"/>
          <w:color w:val="auto"/>
        </w:rPr>
        <w:t xml:space="preserve">Three individual vendors accounted for more than 10% of purchases of supplies, or approximately 31% of total purchases, for the nine months ended September 30, 2025. </w:t>
      </w:r>
      <w:r>
        <w:rPr>
          <w:rFonts w:ascii="Times New Roman" w:cs="Times New Roman" w:eastAsia="Times New Roman" w:hAnsi="Times New Roman"/>
          <w:sz w:val="19"/>
          <w:szCs w:val="19"/>
          <w:color w:val="auto"/>
        </w:rPr>
        <w:t>One</w:t>
      </w:r>
      <w:r>
        <w:rPr>
          <w:rFonts w:ascii="Times New Roman" w:cs="Times New Roman" w:eastAsia="Times New Roman" w:hAnsi="Times New Roman"/>
          <w:sz w:val="18"/>
          <w:szCs w:val="18"/>
          <w:color w:val="auto"/>
        </w:rPr>
        <w:t xml:space="preserve"> vendor accounted for more than 10% of purchases of supplies, or approximately 12% of total purchases, for the nine months ended September 30, 2024.</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38" w:lineRule="exact"/>
        <w:rPr>
          <w:sz w:val="20"/>
          <w:szCs w:val="20"/>
          <w:color w:val="auto"/>
        </w:rPr>
      </w:pPr>
    </w:p>
    <w:p>
      <w:pPr>
        <w:ind w:right="400" w:firstLine="641"/>
        <w:spacing w:after="0" w:line="262" w:lineRule="auto"/>
        <w:rPr>
          <w:sz w:val="20"/>
          <w:szCs w:val="20"/>
          <w:color w:val="auto"/>
        </w:rPr>
      </w:pPr>
      <w:r>
        <w:rPr>
          <w:rFonts w:ascii="Times New Roman" w:cs="Times New Roman" w:eastAsia="Times New Roman" w:hAnsi="Times New Roman"/>
          <w:sz w:val="18"/>
          <w:szCs w:val="18"/>
          <w:color w:val="auto"/>
        </w:rPr>
        <w:t>The Company recorded income tax provision of $29,804 and $629 for the three months ended September 30, 2025 and 2024, respectively. The Company recorded income tax provision of $55,046 and $51 for the nine months ended September 30, 2025 and 2024, respectively.</w:t>
      </w:r>
    </w:p>
    <w:p>
      <w:pPr>
        <w:spacing w:after="0" w:line="203" w:lineRule="exact"/>
        <w:rPr>
          <w:sz w:val="20"/>
          <w:szCs w:val="20"/>
          <w:color w:val="auto"/>
        </w:rPr>
      </w:pPr>
    </w:p>
    <w:p>
      <w:pPr>
        <w:ind w:left="20" w:right="340" w:firstLine="641"/>
        <w:spacing w:after="0" w:line="277" w:lineRule="auto"/>
        <w:rPr>
          <w:sz w:val="20"/>
          <w:szCs w:val="20"/>
          <w:color w:val="auto"/>
        </w:rPr>
      </w:pPr>
      <w:r>
        <w:rPr>
          <w:rFonts w:ascii="Times New Roman" w:cs="Times New Roman" w:eastAsia="Times New Roman" w:hAnsi="Times New Roman"/>
          <w:sz w:val="18"/>
          <w:szCs w:val="18"/>
          <w:color w:val="auto"/>
        </w:rPr>
        <w:t>Federal, state and local income tax returns for years prior to 2020 are no longer subject to examination by tax authorities. During the year 2024, federal tax authorities completed their audit of fiscal 2020. There were no proposed adjustments resulting from the examination.</w:t>
      </w:r>
    </w:p>
    <w:p>
      <w:pPr>
        <w:spacing w:after="0" w:line="190"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In calculating the provision for income taxes on an interim basis, the Company uses an estimate of the annual effective tax rate based upon currently known facts and circumstances and applies that rate to its year-to-date earnings or losses. The Company’s estimated annual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estimated annual effective tax rate, before any discrete items, was (32.5)% for the nine months ended September 30, 2025. The impact of discrete items was (13.5)% for the nine months ended September 30, 2025. The Company's interim effective tax rate for September 30, 2024, was (0.2)%.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 w:firstLine="641"/>
        <w:spacing w:after="0" w:line="285" w:lineRule="auto"/>
        <w:rPr>
          <w:sz w:val="20"/>
          <w:szCs w:val="20"/>
          <w:color w:val="auto"/>
        </w:rPr>
      </w:pPr>
      <w:r>
        <w:rPr>
          <w:rFonts w:ascii="Times New Roman" w:cs="Times New Roman" w:eastAsia="Times New Roman" w:hAnsi="Times New Roman"/>
          <w:sz w:val="17"/>
          <w:szCs w:val="17"/>
          <w:color w:val="auto"/>
        </w:rPr>
        <w:t>The Company’s overall effective tax rate was affected by the elimination of the Up-C structure discussed in Note 1, which resulted in the Company owning 100% of Holdings and fair value adjustments for warrants and earnouts. At September 30, 2025 and December 31, 2024, the Company had $38,990 and $444 of income taxes payable, respectively. Income taxes payable are a component of accrued expenses in the consolidated balance sheet.</w:t>
      </w:r>
    </w:p>
    <w:p>
      <w:pPr>
        <w:spacing w:after="0" w:line="185" w:lineRule="exact"/>
        <w:rPr>
          <w:sz w:val="20"/>
          <w:szCs w:val="20"/>
          <w:color w:val="auto"/>
        </w:rPr>
      </w:pPr>
    </w:p>
    <w:p>
      <w:pPr>
        <w:ind w:right="140" w:firstLine="641"/>
        <w:spacing w:after="0" w:line="277" w:lineRule="auto"/>
        <w:rPr>
          <w:sz w:val="20"/>
          <w:szCs w:val="20"/>
          <w:color w:val="auto"/>
        </w:rPr>
      </w:pPr>
      <w:r>
        <w:rPr>
          <w:rFonts w:ascii="Times New Roman" w:cs="Times New Roman" w:eastAsia="Times New Roman" w:hAnsi="Times New Roman"/>
          <w:sz w:val="18"/>
          <w:szCs w:val="18"/>
          <w:color w:val="auto"/>
        </w:rPr>
        <w:t>The Spin-Off resulted in a taxable gain to the Company related to the distribution of appreciated property which resulted in an increase in income tax expense.</w:t>
      </w:r>
    </w:p>
    <w:p>
      <w:pPr>
        <w:spacing w:after="0" w:line="190"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Act includes significant provisions, such as the permanent extension of certain expiring provisions of the Tax Cuts and Jobs Act and the restoration of favorable tax treatment for certain business provisions. The legislation has multiple effective dates, with certain provisions effective in 2025 and others implemented through 2027. We evaluated the potential effects of the new legislation on our tax positions and financial reporting and believe it may have a material impact on our consolidated financial statements.</w:t>
      </w:r>
    </w:p>
    <w:p>
      <w:pPr>
        <w:spacing w:after="0" w:line="169" w:lineRule="exact"/>
        <w:rPr>
          <w:sz w:val="20"/>
          <w:szCs w:val="20"/>
          <w:color w:val="auto"/>
        </w:rPr>
      </w:pPr>
    </w:p>
    <w:p>
      <w:pPr>
        <w:jc w:val="both"/>
        <w:ind w:right="60" w:firstLine="641"/>
        <w:spacing w:after="0" w:line="247" w:lineRule="auto"/>
        <w:rPr>
          <w:sz w:val="20"/>
          <w:szCs w:val="20"/>
          <w:color w:val="auto"/>
        </w:rPr>
      </w:pPr>
      <w:r>
        <w:rPr>
          <w:rFonts w:ascii="Times New Roman" w:cs="Times New Roman" w:eastAsia="Times New Roman" w:hAnsi="Times New Roman"/>
          <w:sz w:val="18"/>
          <w:szCs w:val="18"/>
          <w:color w:val="auto"/>
        </w:rPr>
        <w:t>As discussed in Note 8, On September 8, 2025, the second and final phase of the Earnouts, was achieved. Upon achievement, 4,245,597 net shares were issued with a value of approximately $85.0 million. This resulted in an increase in amortizable tax goodwill and a related increase to the TRA liability and related deferred tax asset.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51" w:lineRule="exact"/>
        <w:rPr>
          <w:sz w:val="20"/>
          <w:szCs w:val="20"/>
          <w:color w:val="auto"/>
        </w:rPr>
      </w:pPr>
    </w:p>
    <w:p>
      <w:pPr>
        <w:ind w:right="80" w:firstLine="641"/>
        <w:spacing w:after="0" w:line="257" w:lineRule="auto"/>
        <w:rPr>
          <w:sz w:val="20"/>
          <w:szCs w:val="20"/>
          <w:color w:val="auto"/>
        </w:rPr>
      </w:pPr>
      <w:r>
        <w:rPr>
          <w:rFonts w:ascii="Times New Roman" w:cs="Times New Roman" w:eastAsia="Times New Roman" w:hAnsi="Times New Roman"/>
          <w:sz w:val="18"/>
          <w:szCs w:val="18"/>
          <w:color w:val="auto"/>
        </w:rPr>
        <w:t>Basic net loss per share has been computed by dividing net loss attributable to Class A common shareholders by the weighted average number of shares of common stock outstanding for the same period. Diluted net loss per share of Class A Common Stock was computed by dividing net loss available to CompoSecure, Inc. by the weighted-average number of shares of Class A Common Stock outstanding adjusted to give effect to potentially dilutive securities.</w:t>
      </w:r>
    </w:p>
    <w:p>
      <w:pPr>
        <w:spacing w:after="0" w:line="209"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used to compute basic net loss per share of Class A Common Stock for the three and nine months ended September 30, 2025 and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51435</wp:posOffset>
            </wp:positionV>
            <wp:extent cx="21545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4555" cy="8255"/>
                    </a:xfrm>
                    <a:prstGeom prst="rect">
                      <a:avLst/>
                    </a:prstGeom>
                    <a:noFill/>
                  </pic:spPr>
                </pic:pic>
              </a:graphicData>
            </a:graphic>
          </wp:anchor>
        </w:drawing>
      </w:r>
    </w:p>
    <w:p>
      <w:pPr>
        <w:spacing w:after="0" w:line="78" w:lineRule="exact"/>
        <w:rPr>
          <w:sz w:val="20"/>
          <w:szCs w:val="20"/>
          <w:color w:val="auto"/>
        </w:rPr>
      </w:pPr>
    </w:p>
    <w:p>
      <w:pPr>
        <w:ind w:left="50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178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51435</wp:posOffset>
            </wp:positionV>
            <wp:extent cx="21628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78" w:lineRule="exact"/>
        <w:rPr>
          <w:sz w:val="20"/>
          <w:szCs w:val="20"/>
          <w:color w:val="auto"/>
        </w:rPr>
      </w:pPr>
    </w:p>
    <w:p>
      <w:pPr>
        <w:ind w:left="260"/>
        <w:spacing w:after="0"/>
        <w:tabs>
          <w:tab w:leader="none" w:pos="20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74" w:lineRule="exact"/>
        <w:rPr>
          <w:sz w:val="20"/>
          <w:szCs w:val="20"/>
          <w:color w:val="auto"/>
        </w:rPr>
      </w:pPr>
    </w:p>
    <w:p>
      <w:pPr>
        <w:sectPr>
          <w:pgSz w:w="11900" w:h="16838" w:orient="portrait"/>
          <w:cols w:equalWidth="0" w:num="2">
            <w:col w:w="7500" w:space="720"/>
            <w:col w:w="3020"/>
          </w:cols>
          <w:pgMar w:left="320" w:top="175"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(174,696)</w:t>
            </w:r>
          </w:p>
        </w:tc>
        <w:tc>
          <w:tcPr>
            <w:tcW w:w="10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(85,474)</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(179,329)</w:t>
            </w:r>
          </w:p>
        </w:tc>
        <w:tc>
          <w:tcPr>
            <w:tcW w:w="80" w:type="dxa"/>
            <w:vAlign w:val="bottom"/>
            <w:tcBorders>
              <w:bottom w:val="single" w:sz="8" w:color="auto"/>
            </w:tcBorders>
          </w:tcPr>
          <w:p>
            <w:pPr>
              <w:spacing w:after="0"/>
              <w:rPr>
                <w:sz w:val="20"/>
                <w:szCs w:val="20"/>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Common shareholders</w:t>
            </w:r>
          </w:p>
        </w:tc>
        <w:tc>
          <w:tcPr>
            <w:tcW w:w="4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(174,696)</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(179,329)</w:t>
            </w: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adjustment due to net effect of equity awards,</w:t>
            </w: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revaluation, Exchangeable Notes and Class B</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to net loss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Common shareholders</w:t>
            </w:r>
          </w:p>
        </w:tc>
        <w:tc>
          <w:tcPr>
            <w:tcW w:w="42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(174,696)</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(179,329)</w:t>
            </w:r>
          </w:p>
        </w:tc>
        <w:tc>
          <w:tcPr>
            <w:tcW w:w="80" w:type="dxa"/>
            <w:vAlign w:val="bottom"/>
          </w:tcPr>
          <w:p>
            <w:pPr>
              <w:spacing w:after="0"/>
              <w:rPr>
                <w:sz w:val="18"/>
                <w:szCs w:val="18"/>
                <w:color w:val="auto"/>
              </w:rPr>
            </w:pPr>
          </w:p>
        </w:tc>
        <w:tc>
          <w:tcPr>
            <w:tcW w:w="460" w:type="dxa"/>
            <w:vAlign w:val="bottom"/>
            <w:tcBorders>
              <w:top w:val="single" w:sz="8" w:color="auto"/>
            </w:tcBorders>
            <w:vMerge w:val="restart"/>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0" w:type="dxa"/>
            <w:vAlign w:val="bottom"/>
          </w:tcPr>
          <w:p>
            <w:pPr>
              <w:spacing w:after="0"/>
              <w:rPr>
                <w:sz w:val="1"/>
                <w:szCs w:val="1"/>
                <w:color w:val="auto"/>
              </w:rPr>
            </w:pPr>
          </w:p>
        </w:tc>
      </w:tr>
      <w:tr>
        <w:trPr>
          <w:trHeight w:val="23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adjustment</w:t>
            </w:r>
          </w:p>
        </w:tc>
        <w:tc>
          <w:tcPr>
            <w:tcW w:w="4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4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used in</w:t>
            </w:r>
          </w:p>
        </w:tc>
        <w:tc>
          <w:tcPr>
            <w:tcW w:w="42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110,264,531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38,212,440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105,280,363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net loss per share - basic</w:t>
            </w:r>
          </w:p>
        </w:tc>
        <w:tc>
          <w:tcPr>
            <w:tcW w:w="4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28,109,632</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net effect of dilutive equity awards, Exchangeable</w:t>
            </w:r>
          </w:p>
        </w:tc>
        <w:tc>
          <w:tcPr>
            <w:tcW w:w="420" w:type="dxa"/>
            <w:vAlign w:val="bottom"/>
            <w:shd w:val="clear" w:color="auto" w:fill="CCEEFF"/>
          </w:tcPr>
          <w:p>
            <w:pPr>
              <w:spacing w:after="0"/>
              <w:rPr>
                <w:sz w:val="20"/>
                <w:szCs w:val="20"/>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Class B units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used in</w:t>
            </w:r>
          </w:p>
        </w:tc>
        <w:tc>
          <w:tcPr>
            <w:tcW w:w="4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110,264,531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38,212,440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105,280,363</w:t>
            </w: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28,109,632</w:t>
            </w:r>
          </w:p>
        </w:tc>
        <w:tc>
          <w:tcPr>
            <w:tcW w:w="0" w:type="dxa"/>
            <w:vAlign w:val="bottom"/>
          </w:tcPr>
          <w:p>
            <w:pPr>
              <w:spacing w:after="0"/>
              <w:rPr>
                <w:sz w:val="1"/>
                <w:szCs w:val="1"/>
                <w:color w:val="auto"/>
              </w:rPr>
            </w:pPr>
          </w:p>
        </w:tc>
      </w:tr>
      <w:tr>
        <w:trPr>
          <w:trHeight w:val="23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net loss per share - diluted</w:t>
            </w:r>
          </w:p>
        </w:tc>
        <w:tc>
          <w:tcPr>
            <w:tcW w:w="4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share—basic</w:t>
            </w: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0"/>
                <w:szCs w:val="20"/>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share—diluted</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40"/>
        </w:trPr>
        <w:tc>
          <w:tcPr>
            <w:tcW w:w="43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right="100" w:firstLine="641"/>
        <w:spacing w:after="0" w:line="285" w:lineRule="auto"/>
        <w:rPr>
          <w:sz w:val="20"/>
          <w:szCs w:val="20"/>
          <w:color w:val="auto"/>
        </w:rPr>
      </w:pPr>
      <w:r>
        <w:rPr>
          <w:rFonts w:ascii="Times New Roman" w:cs="Times New Roman" w:eastAsia="Times New Roman" w:hAnsi="Times New Roman"/>
          <w:sz w:val="17"/>
          <w:szCs w:val="17"/>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securities were not included in the calculation of net loss per diluted share because their effects were anti-dilutive: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Three Months Ended September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40" w:type="dxa"/>
            <w:vAlign w:val="bottom"/>
            <w:gridSpan w:val="3"/>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40"/>
        </w:trPr>
        <w:tc>
          <w:tcPr>
            <w:tcW w:w="3520" w:type="dxa"/>
            <w:vAlign w:val="bottom"/>
            <w:tcBorders>
              <w:bottom w:val="single" w:sz="8" w:color="CCEEFF"/>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74"/>
        </w:trPr>
        <w:tc>
          <w:tcPr>
            <w:tcW w:w="35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1"/>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Potentially dilutive securities:</w:t>
            </w:r>
          </w:p>
        </w:tc>
        <w:tc>
          <w:tcPr>
            <w:tcW w:w="1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r>
      <w:tr>
        <w:trPr>
          <w:trHeight w:val="40"/>
        </w:trPr>
        <w:tc>
          <w:tcPr>
            <w:tcW w:w="35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61"/>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3,236,509</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22,415,200</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3,236,509</w:t>
            </w: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22,415,200</w:t>
            </w:r>
          </w:p>
        </w:tc>
      </w:tr>
      <w:tr>
        <w:trPr>
          <w:trHeight w:val="241"/>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consideration shares</w:t>
            </w:r>
          </w:p>
        </w:tc>
        <w:tc>
          <w:tcPr>
            <w:tcW w:w="27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10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r>
      <w:tr>
        <w:trPr>
          <w:trHeight w:val="40"/>
        </w:trPr>
        <w:tc>
          <w:tcPr>
            <w:tcW w:w="35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r>
      <w:tr>
        <w:trPr>
          <w:trHeight w:val="24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332,750</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2,479,118</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80,978</w:t>
            </w:r>
          </w:p>
        </w:tc>
      </w:tr>
      <w:tr>
        <w:trPr>
          <w:trHeight w:val="40"/>
        </w:trPr>
        <w:tc>
          <w:tcPr>
            <w:tcW w:w="35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18" w:lineRule="exact"/>
        <w:rPr>
          <w:sz w:val="20"/>
          <w:szCs w:val="20"/>
          <w:color w:val="auto"/>
        </w:rPr>
      </w:pPr>
    </w:p>
    <w:p>
      <w:pPr>
        <w:ind w:firstLine="641"/>
        <w:spacing w:after="0" w:line="262" w:lineRule="auto"/>
        <w:rPr>
          <w:sz w:val="20"/>
          <w:szCs w:val="20"/>
          <w:color w:val="auto"/>
        </w:rPr>
      </w:pPr>
      <w:r>
        <w:rPr>
          <w:rFonts w:ascii="Times New Roman" w:cs="Times New Roman" w:eastAsia="Times New Roman" w:hAnsi="Times New Roman"/>
          <w:sz w:val="18"/>
          <w:szCs w:val="18"/>
          <w:color w:val="auto"/>
        </w:rPr>
        <w:t>The Company is obligated to make payments under the tax receivable agreement to the TRA Holders. Although the actual timing and amount of any payments that may be made under the agreement will vary, the Company expects the cash obligation required will be significant. Any payments made under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2" w:name="page33"/>
    <w:bookmarkEnd w:id="32"/>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w:t>
      </w:r>
    </w:p>
    <w:p>
      <w:pPr>
        <w:spacing w:after="0" w:line="210"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18"/>
          <w:szCs w:val="18"/>
          <w:color w:val="auto"/>
        </w:rPr>
        <w:t>The Company made a $4,735 payment related to the tax receivable agreement liability during the three and nine months ended September 30, 2025. Pursuant to the Holdings agreement, the Company makes pro rata tax distributions to the holders of interests in Holdings (i.e. non-controlling interest) in an amount sufficient to fund all or part of their tax obligations with respect to the taxable income of Holdings that is allocated to them. As a result of the Tungsten Transactions, the Company became the sole member of Holdings, eliminating the requirement for further tax distributions to members other than the Company. For the three months ended September 30, 2024, Holdings distributed a total of $13,699 of tax distributions to its members, of which $5,003 was paid to the Company, resulting in a net tax distribution to all other members of $8,696. For the nine months ended September 30, 2024, Holdings distributed a total of $50,082 of tax distributions to its members, of which $15,219 was paid to the Company, resulting in a net tax distribution to all other members of $34,863.</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connection with the special distribution, $15,573 was disbursed to Class B unitholders of Holdings on June 11, 2024.</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September 30, 2025, the Company had the following obligations expected to be paid pursuant to the tax receivable agreement:</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(excluding the nine months ended September 30, 2025)</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41"/>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15,282</w:t>
            </w:r>
          </w:p>
        </w:tc>
      </w:tr>
      <w:tr>
        <w:trPr>
          <w:trHeight w:val="40"/>
        </w:trPr>
        <w:tc>
          <w:tcPr>
            <w:tcW w:w="8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61"/>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w:t>
            </w:r>
          </w:p>
        </w:tc>
      </w:tr>
      <w:tr>
        <w:trPr>
          <w:trHeight w:val="241"/>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r>
      <w:tr>
        <w:trPr>
          <w:trHeight w:val="40"/>
        </w:trPr>
        <w:tc>
          <w:tcPr>
            <w:tcW w:w="8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61"/>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w:t>
            </w:r>
          </w:p>
        </w:tc>
      </w:tr>
      <w:tr>
        <w:trPr>
          <w:trHeight w:val="241"/>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10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205,918</w:t>
            </w:r>
          </w:p>
        </w:tc>
      </w:tr>
      <w:tr>
        <w:trPr>
          <w:trHeight w:val="40"/>
        </w:trPr>
        <w:tc>
          <w:tcPr>
            <w:tcW w:w="86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92"/>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In addition to the above, the Company's tax receivable agreement liability and future payments thereunder are expected to increase as the Company realizes (or are deemed to realize) an increase in the tax basis of Holdings’ assets resulting from any future purchases, redemptions or exchanges of Holdings' interests by holders. The Company currently expects to fund these future tax receivable agreement liability payments from some of the realized cash tax savings as a result of this increase in tax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51" w:lineRule="exact"/>
        <w:rPr>
          <w:sz w:val="20"/>
          <w:szCs w:val="20"/>
          <w:color w:val="auto"/>
        </w:rPr>
      </w:pPr>
    </w:p>
    <w:p>
      <w:pPr>
        <w:jc w:val="both"/>
        <w:ind w:right="300" w:firstLine="641"/>
        <w:spacing w:after="0" w:line="262" w:lineRule="auto"/>
        <w:rPr>
          <w:sz w:val="20"/>
          <w:szCs w:val="20"/>
          <w:color w:val="auto"/>
        </w:rPr>
      </w:pPr>
      <w:r>
        <w:rPr>
          <w:rFonts w:ascii="Times New Roman" w:cs="Times New Roman" w:eastAsia="Times New Roman" w:hAnsi="Times New Roman"/>
          <w:sz w:val="18"/>
          <w:szCs w:val="18"/>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Litigation costs are expensed as incurred.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11" w:lineRule="exact"/>
        <w:rPr>
          <w:sz w:val="20"/>
          <w:szCs w:val="20"/>
          <w:color w:val="auto"/>
        </w:rPr>
      </w:pPr>
    </w:p>
    <w:p>
      <w:pPr>
        <w:ind w:right="20" w:firstLine="641"/>
        <w:spacing w:after="0" w:line="236" w:lineRule="auto"/>
        <w:rPr>
          <w:sz w:val="20"/>
          <w:szCs w:val="20"/>
          <w:color w:val="auto"/>
        </w:rPr>
      </w:pPr>
      <w:r>
        <w:rPr>
          <w:rFonts w:ascii="Times New Roman" w:cs="Times New Roman" w:eastAsia="Times New Roman" w:hAnsi="Times New Roman"/>
          <w:sz w:val="18"/>
          <w:szCs w:val="18"/>
          <w:color w:val="auto"/>
        </w:rPr>
        <w:t>Subsequent to the Spin-Off, the Company has one operating segment and one reportable segment, the equity method investment in Holdings. This is a change from the presentation as of and for the year ended December 31, 2024, where the Company had two operating segments and two reportable segments: Payment Card and Arculus. As reported below, for the three and nine months ended September 30, 2025, the Company's corporate entity is not considered an operating segment because it does not generate revenues and its activities are limited to corporate administrative activities, costs related to the board of directors, income tax expense and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78"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adjustments for warrant liability and earnout liability. For the three and nine months ended September 30, 2024, the Company's reportable segment was represented by the consolidated balance sheet and the consolidated statement of operations.</w:t>
      </w:r>
    </w:p>
    <w:p>
      <w:pPr>
        <w:spacing w:after="0" w:line="203" w:lineRule="exact"/>
        <w:rPr>
          <w:sz w:val="20"/>
          <w:szCs w:val="20"/>
          <w:color w:val="auto"/>
        </w:rPr>
      </w:pPr>
    </w:p>
    <w:p>
      <w:pPr>
        <w:ind w:right="60" w:firstLine="641"/>
        <w:spacing w:after="0" w:line="262"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of the Company. The CODM evaluates the performance of the equity method investment in Holdings primarily based on net sales, gross profit and net (loss) income and does not review discrete financial information at a level lower than consolidated Holdings. The Company does not have any intra-entity sales.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05"/>
        </w:trPr>
        <w:tc>
          <w:tcPr>
            <w:tcW w:w="34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Equity Method Investment</w:t>
            </w:r>
          </w:p>
        </w:tc>
        <w:tc>
          <w:tcPr>
            <w:tcW w:w="1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00"/>
        </w:trPr>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CompoSecure Holdings,</w:t>
            </w:r>
          </w:p>
        </w:tc>
        <w:tc>
          <w:tcPr>
            <w:tcW w:w="100" w:type="dxa"/>
            <w:vAlign w:val="bottom"/>
          </w:tcPr>
          <w:p>
            <w:pPr>
              <w:spacing w:after="0"/>
              <w:rPr>
                <w:sz w:val="17"/>
                <w:szCs w:val="17"/>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Elimination of</w:t>
            </w:r>
          </w:p>
        </w:tc>
        <w:tc>
          <w:tcPr>
            <w:tcW w:w="160" w:type="dxa"/>
            <w:vAlign w:val="bottom"/>
          </w:tcPr>
          <w:p>
            <w:pPr>
              <w:spacing w:after="0"/>
              <w:rPr>
                <w:sz w:val="17"/>
                <w:szCs w:val="17"/>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Consolidated Total of</w:t>
            </w:r>
          </w:p>
        </w:tc>
      </w:tr>
      <w:tr>
        <w:trPr>
          <w:trHeight w:val="211"/>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LLC.</w:t>
            </w:r>
          </w:p>
        </w:tc>
        <w:tc>
          <w:tcPr>
            <w:tcW w:w="100" w:type="dxa"/>
            <w:vAlign w:val="bottom"/>
          </w:tcPr>
          <w:p>
            <w:pPr>
              <w:spacing w:after="0"/>
              <w:rPr>
                <w:sz w:val="18"/>
                <w:szCs w:val="18"/>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Unconsolidated Affiliate</w:t>
            </w:r>
          </w:p>
        </w:tc>
        <w:tc>
          <w:tcPr>
            <w:tcW w:w="160" w:type="dxa"/>
            <w:vAlign w:val="bottom"/>
          </w:tcPr>
          <w:p>
            <w:pPr>
              <w:spacing w:after="0"/>
              <w:rPr>
                <w:sz w:val="18"/>
                <w:szCs w:val="18"/>
                <w:color w:val="auto"/>
              </w:rPr>
            </w:pPr>
          </w:p>
        </w:tc>
        <w:tc>
          <w:tcPr>
            <w:tcW w:w="172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CompoSecure, Inc.</w:t>
            </w:r>
          </w:p>
        </w:tc>
      </w:tr>
      <w:tr>
        <w:trPr>
          <w:trHeight w:val="32"/>
        </w:trPr>
        <w:tc>
          <w:tcPr>
            <w:tcW w:w="3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7"/>
        </w:trPr>
        <w:tc>
          <w:tcPr>
            <w:tcW w:w="3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2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120,865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3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7"/>
        </w:trPr>
        <w:tc>
          <w:tcPr>
            <w:tcW w:w="3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2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9,939</w:t>
            </w:r>
          </w:p>
        </w:tc>
      </w:tr>
      <w:tr>
        <w:trPr>
          <w:trHeight w:val="32"/>
        </w:trPr>
        <w:tc>
          <w:tcPr>
            <w:tcW w:w="3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7"/>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w:t>
            </w:r>
          </w:p>
        </w:tc>
      </w:tr>
      <w:tr>
        <w:trPr>
          <w:trHeight w:val="247"/>
        </w:trPr>
        <w:tc>
          <w:tcPr>
            <w:tcW w:w="34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3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earnout consideration</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9"/>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(57,610)</w:t>
            </w:r>
          </w:p>
        </w:tc>
      </w:tr>
      <w:tr>
        <w:trPr>
          <w:trHeight w:val="32"/>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Revaluation of warrant liability</w:t>
            </w:r>
          </w:p>
        </w:tc>
        <w:tc>
          <w:tcPr>
            <w:tcW w:w="3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(117,267)</w:t>
            </w:r>
          </w:p>
        </w:tc>
      </w:tr>
      <w:tr>
        <w:trPr>
          <w:trHeight w:val="22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2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3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7"/>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(174,590)</w:t>
            </w:r>
          </w:p>
        </w:tc>
      </w:tr>
      <w:tr>
        <w:trPr>
          <w:trHeight w:val="215"/>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(184,529)</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(184,529)</w:t>
            </w:r>
          </w:p>
        </w:tc>
      </w:tr>
      <w:tr>
        <w:trPr>
          <w:trHeight w:val="32"/>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(29,804)</w:t>
            </w:r>
          </w:p>
        </w:tc>
      </w:tr>
      <w:tr>
        <w:trPr>
          <w:trHeight w:val="215"/>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(214,333)</w:t>
            </w:r>
          </w:p>
        </w:tc>
        <w:tc>
          <w:tcPr>
            <w:tcW w:w="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(214,333)</w:t>
            </w:r>
          </w:p>
        </w:tc>
      </w:tr>
      <w:tr>
        <w:trPr>
          <w:trHeight w:val="32"/>
        </w:trPr>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in CompoSecure Holdings, LLC. equity</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41"/>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method investment</w:t>
            </w:r>
          </w:p>
        </w:tc>
        <w:tc>
          <w:tcPr>
            <w:tcW w:w="3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39,637</w:t>
            </w:r>
          </w:p>
        </w:tc>
      </w:tr>
      <w:tr>
        <w:trPr>
          <w:trHeight w:val="244"/>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of CompoSecure, Inc.</w:t>
            </w: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(174,696)</w:t>
            </w: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397"/>
        </w:trPr>
        <w:tc>
          <w:tcPr>
            <w:tcW w:w="3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22"/>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related to segment assets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05"/>
        </w:trPr>
        <w:tc>
          <w:tcPr>
            <w:tcW w:w="33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Equity Method Investment</w:t>
            </w:r>
          </w:p>
        </w:tc>
        <w:tc>
          <w:tcPr>
            <w:tcW w:w="1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00"/>
        </w:trPr>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CompoSecure Holdings,</w:t>
            </w:r>
          </w:p>
        </w:tc>
        <w:tc>
          <w:tcPr>
            <w:tcW w:w="100" w:type="dxa"/>
            <w:vAlign w:val="bottom"/>
          </w:tcPr>
          <w:p>
            <w:pPr>
              <w:spacing w:after="0"/>
              <w:rPr>
                <w:sz w:val="17"/>
                <w:szCs w:val="17"/>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Elimination of</w:t>
            </w:r>
          </w:p>
        </w:tc>
        <w:tc>
          <w:tcPr>
            <w:tcW w:w="140" w:type="dxa"/>
            <w:vAlign w:val="bottom"/>
          </w:tcPr>
          <w:p>
            <w:pPr>
              <w:spacing w:after="0"/>
              <w:rPr>
                <w:sz w:val="17"/>
                <w:szCs w:val="17"/>
                <w:color w:val="auto"/>
              </w:rPr>
            </w:pPr>
          </w:p>
        </w:tc>
        <w:tc>
          <w:tcPr>
            <w:tcW w:w="17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Consolidated Total of</w:t>
            </w:r>
          </w:p>
        </w:tc>
      </w:tr>
      <w:tr>
        <w:trPr>
          <w:trHeight w:val="211"/>
        </w:trPr>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LLC.</w:t>
            </w:r>
          </w:p>
        </w:tc>
        <w:tc>
          <w:tcPr>
            <w:tcW w:w="10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Unconsolidated Affiliate</w:t>
            </w:r>
          </w:p>
        </w:tc>
        <w:tc>
          <w:tcPr>
            <w:tcW w:w="140" w:type="dxa"/>
            <w:vAlign w:val="bottom"/>
          </w:tcPr>
          <w:p>
            <w:pPr>
              <w:spacing w:after="0"/>
              <w:rPr>
                <w:sz w:val="18"/>
                <w:szCs w:val="18"/>
                <w:color w:val="auto"/>
              </w:rPr>
            </w:pPr>
          </w:p>
        </w:tc>
        <w:tc>
          <w:tcPr>
            <w:tcW w:w="1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CompoSecure, Inc.</w:t>
            </w:r>
          </w:p>
        </w:tc>
      </w:tr>
      <w:tr>
        <w:trPr>
          <w:trHeight w:val="32"/>
        </w:trPr>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3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2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59,824</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284,522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59,824</w:t>
            </w:r>
          </w:p>
        </w:tc>
      </w:tr>
      <w:tr>
        <w:trPr>
          <w:trHeight w:val="32"/>
        </w:trPr>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31,075</w:t>
            </w: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28,749</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165,926</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(165,926)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28,749</w:t>
            </w:r>
          </w:p>
        </w:tc>
      </w:tr>
      <w:tr>
        <w:trPr>
          <w:trHeight w:val="32"/>
        </w:trPr>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3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2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35,300</w:t>
            </w:r>
          </w:p>
        </w:tc>
      </w:tr>
      <w:tr>
        <w:trPr>
          <w:trHeight w:val="32"/>
        </w:trPr>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(6,551)</w:t>
            </w:r>
          </w:p>
        </w:tc>
      </w:tr>
      <w:tr>
        <w:trPr>
          <w:trHeight w:val="247"/>
        </w:trPr>
        <w:tc>
          <w:tcPr>
            <w:tcW w:w="33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earnout consideration</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09"/>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(57,101)</w:t>
            </w:r>
          </w:p>
        </w:tc>
      </w:tr>
      <w:tr>
        <w:trPr>
          <w:trHeight w:val="32"/>
        </w:trPr>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Revaluation of warrant liability</w:t>
            </w:r>
          </w:p>
        </w:tc>
        <w:tc>
          <w:tcPr>
            <w:tcW w:w="3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(152,782)</w:t>
            </w:r>
          </w:p>
        </w:tc>
      </w:tr>
      <w:tr>
        <w:trPr>
          <w:trHeight w:val="22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r>
      <w:tr>
        <w:trPr>
          <w:trHeight w:val="32"/>
        </w:trPr>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2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32"/>
        </w:trPr>
        <w:tc>
          <w:tcPr>
            <w:tcW w:w="3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(211,122)</w:t>
            </w: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(217,673)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93,390</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(93,390)</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(217,673)</w:t>
            </w:r>
          </w:p>
        </w:tc>
      </w:tr>
      <w:tr>
        <w:trPr>
          <w:trHeight w:val="32"/>
        </w:trPr>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(55,046)</w:t>
            </w:r>
          </w:p>
        </w:tc>
      </w:t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(272,719)</w:t>
            </w:r>
          </w:p>
        </w:tc>
        <w:tc>
          <w:tcPr>
            <w:tcW w:w="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93,390</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(93,390)</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(272,719)</w:t>
            </w:r>
          </w:p>
        </w:tc>
      </w:tr>
      <w:tr>
        <w:trPr>
          <w:trHeight w:val="32"/>
        </w:trPr>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in CompoSecure Holdings, LLC. equity</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41"/>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method investment</w:t>
            </w:r>
          </w:p>
        </w:tc>
        <w:tc>
          <w:tcPr>
            <w:tcW w:w="3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93,390</w:t>
            </w:r>
          </w:p>
        </w:tc>
      </w:tr>
      <w:tr>
        <w:trPr>
          <w:trHeight w:val="24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of CompoSecure, Inc.</w:t>
            </w: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(179,329)</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67"/>
        </w:trPr>
        <w:tc>
          <w:tcPr>
            <w:tcW w:w="3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316"/>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505,475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281,602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505,475</w:t>
            </w:r>
          </w:p>
        </w:tc>
      </w:tr>
      <w:tr>
        <w:trPr>
          <w:trHeight w:val="227"/>
        </w:trPr>
        <w:tc>
          <w:tcPr>
            <w:tcW w:w="3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(353,006)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(250,786)</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250,786</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(353,006)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related to segment assets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32"/>
        </w:trPr>
        <w:tc>
          <w:tcPr>
            <w:tcW w:w="3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80"/>
          </w:cols>
          <w:pgMar w:left="320" w:top="17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type w:val="continuous"/>
        </w:sectPr>
      </w:pPr>
    </w:p>
    <w:bookmarkStart w:id="35" w:name="page36"/>
    <w:bookmarkEnd w:id="35"/>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4" w:lineRule="exact"/>
        <w:rPr>
          <w:sz w:val="20"/>
          <w:szCs w:val="20"/>
          <w:color w:val="auto"/>
        </w:rPr>
      </w:pPr>
    </w:p>
    <w:p>
      <w:pPr>
        <w:ind w:right="20" w:firstLine="641"/>
        <w:spacing w:after="0" w:line="251" w:lineRule="auto"/>
        <w:rPr>
          <w:sz w:val="20"/>
          <w:szCs w:val="20"/>
          <w:color w:val="auto"/>
        </w:rPr>
      </w:pPr>
      <w:r>
        <w:rPr>
          <w:rFonts w:ascii="Times New Roman" w:cs="Times New Roman" w:eastAsia="Times New Roman" w:hAnsi="Times New Roman"/>
          <w:sz w:val="18"/>
          <w:szCs w:val="18"/>
          <w:color w:val="auto"/>
        </w:rPr>
        <w:t>In connection with the completion of the Spin-Off, the Company and Resolute Holdings entered into a Separation and Distribution Agreement (the "Separation and Distribution Agreement") pursuant to which the Company delivered 100% of the issued and outstanding shares of Resolute Holdings’ Common Stock to the distribution agent for the Spin-Off to effectuate the delivery of the shares of Resolute Holdings’ Common Stock to the Company’s stockholders by means of a pro rata dividend. The Separation and Distribution Agreement also set out the principal actions to be taken in connection with the Spin-Off, including the transfer of assets and assumption of liabilities, and certain adjustments of existing CompoSecure awards, and establishes certain rights and obligations between Resolute Holdings and the Company following the Spin-Off, including procedures with respect to claims subject to indemnification, the exchange of information between Resolute Holdings and the Company, and tax and other matters. After the Spin-Off and execution of the Management Agreement, the Company and Resolute Holdings are under common control by Tungsten. Below is a summary of the significant agreements executed in connection with the Spin-Off.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36" w:lineRule="exact"/>
        <w:rPr>
          <w:sz w:val="20"/>
          <w:szCs w:val="20"/>
          <w:color w:val="auto"/>
        </w:rPr>
      </w:pPr>
    </w:p>
    <w:p>
      <w:pPr>
        <w:ind w:right="20" w:firstLine="641"/>
        <w:spacing w:after="0" w:line="234" w:lineRule="auto"/>
        <w:rPr>
          <w:sz w:val="20"/>
          <w:szCs w:val="20"/>
          <w:color w:val="auto"/>
        </w:rPr>
      </w:pPr>
      <w:r>
        <w:rPr>
          <w:rFonts w:ascii="Times New Roman" w:cs="Times New Roman" w:eastAsia="Times New Roman" w:hAnsi="Times New Roman"/>
          <w:sz w:val="18"/>
          <w:szCs w:val="18"/>
          <w:color w:val="auto"/>
        </w:rPr>
        <w:t>Pursuant to the CompoSecure Management Agreement, Holdings pays Resolute Holdings a quarterly management fee (the “CompoSecure Management Fee”), payable in arrears, in a cash amount equal to 2.5% of Holdings’ last twelve months' Adjusted EBITDA, as defined in the Management Agreement, measured for the period ending on the fiscal quarter then ended (“Management Agreement Adjusted EBITDA”). Management Agreement Adjusted EBITDA reflects a) Holdings’ earnings before interest, taxes, depreciation, depletion and amortization, extraordinary losses and expenses, one-time and non-recurring expenses, and the CompoSecure Management Fee, less b) the Company’s selling, general and administrative expenses, adjusted for the same items above (“Parent Allocated Expense”, as defined in the Management Agreement). Holdings is also required to reimburse Resolute Holdings and its affiliates for Resolute Holdings’ documented costs and expenses incurred on behalf of Holdings other than those expenses related to Resolute Holdings’ or its affiliates’ personnel who provide services to Holdings under the Management Agreement. Resolute Holdings will determine, in its sole and absolute discretion, whether a cost or expense will be borne by Resolute Holdings or by Holdings.</w:t>
      </w:r>
    </w:p>
    <w:p>
      <w:pPr>
        <w:spacing w:after="0" w:line="214" w:lineRule="exact"/>
        <w:rPr>
          <w:sz w:val="20"/>
          <w:szCs w:val="20"/>
          <w:color w:val="auto"/>
        </w:rPr>
      </w:pPr>
    </w:p>
    <w:p>
      <w:pPr>
        <w:ind w:firstLine="641"/>
        <w:spacing w:after="0" w:line="237" w:lineRule="auto"/>
        <w:rPr>
          <w:sz w:val="20"/>
          <w:szCs w:val="20"/>
          <w:color w:val="auto"/>
        </w:rPr>
      </w:pPr>
      <w:r>
        <w:rPr>
          <w:rFonts w:ascii="Times New Roman" w:cs="Times New Roman" w:eastAsia="Times New Roman" w:hAnsi="Times New Roman"/>
          <w:sz w:val="18"/>
          <w:szCs w:val="18"/>
          <w:color w:val="auto"/>
        </w:rPr>
        <w:t>The Management Agreement has an initial term of 10 years and shall automatically renew for successive ten-year terms unless terminated in accordance with its terms. Resolute Holdings and Holdings may each terminate the Management Agreement upon the occurrence of certain other limited events, and in connection with certain of these limited events, Resolute Holdings has the right to require Holdings to pay a termination fee, which may be paid in cash, shares of the Company's common stock or a combination of cash and stock. The Management Agreement also provides for certain indemnification rights in Resolute Holdings’ favor, as well as certain additional covenants, representations and warranties. The Management Fee for the three months ended September 30, 2025 was $3,698 and for the period from the date of the Spin-Off to September 30, 2025 was $8,246. Management Fees of $8,246 were paid by Holdings through November 3, 2025. Holdings incurred $603.8 of reimbursable expenses to Resolute Holdings.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Agreement</w:t>
      </w:r>
    </w:p>
    <w:p>
      <w:pPr>
        <w:spacing w:after="0" w:line="249" w:lineRule="exact"/>
        <w:rPr>
          <w:sz w:val="20"/>
          <w:szCs w:val="20"/>
          <w:color w:val="auto"/>
        </w:rPr>
      </w:pPr>
    </w:p>
    <w:p>
      <w:pPr>
        <w:ind w:right="40" w:firstLine="641"/>
        <w:spacing w:after="0" w:line="251" w:lineRule="auto"/>
        <w:rPr>
          <w:sz w:val="20"/>
          <w:szCs w:val="20"/>
          <w:color w:val="auto"/>
        </w:rPr>
      </w:pPr>
      <w:r>
        <w:rPr>
          <w:rFonts w:ascii="Times New Roman" w:cs="Times New Roman" w:eastAsia="Times New Roman" w:hAnsi="Times New Roman"/>
          <w:sz w:val="18"/>
          <w:szCs w:val="18"/>
          <w:color w:val="auto"/>
        </w:rPr>
        <w:t>Resolute Holdings entered into a U.S. State and Local Tax Sharing Agreement (the “Tax Sharing Agreement”) with the Company that governs the respective rights, responsibilities, and obligations of the Company and Resolute Holdings after the Spin-Off with respect to certain state and local tax matters in jurisdictions and for taxable periods in which Resolute Holdings is required to file tax returns on a consolidated, combined, unitary or other group basis with the Company (the “Combined Returns”). Among other things, the Tax Sharing Agreement (i) allocates responsibility for the preparation and filing of the Combined Returns and the payment of taxes due in connection therewith, (ii) determines the appropriate allocation of any such tax liability between Resolute Holdings and the Company, (iii) requires compensation to be paid by the Company to Resolute Holdings to the extent the Company uses any tax attributes properly allocable to Resolute Holdings to offset taxes otherwise allocable to the Company and vice versa, (iv) allocates responsibility for the conduct of tax contests arising with respect to the Combined Returns, and (v) ensures that the parties are aligned on cooperating and coordinating with respect to the Combined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249"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Resolute Holdings entered into a Letter Agreement (the “Letter Agreement”) with the Company pursuant to which the Company will (i) delegate by resolution of the Company's board of directors the authority to Resolute Holdings to approve issuances of the Company's equity for mergers, acquisitions and equity awards, (ii) issue the Company's equity pursuant to those delegations, (iii) make customary representations, warranties and covenants in connection with any acquisition, business combination transaction or other transaction that is intended to qualify in whole or in part as a tax-free for U.S. federal income tax purposes, and is entered into, in each case, in accordance with the Management Agreement and (iv) make filings and deliver notices in connection with the performance of Resolute Holdings’ duties and obligations under the Management Agreement. The Letter Agreement is coterminous with the Management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Agreements</w:t>
      </w:r>
    </w:p>
    <w:p>
      <w:pPr>
        <w:spacing w:after="0" w:line="222"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On February 28, 2025, upon the completion of the Spin-Off and the transfer of his employment to Resolute Holdings, we entered into a consulting agreement with David M. Cote, under which Mr. Cote will be eligible to receive grants of restricted stock units or other equity incentive awards as determined by the Company and will remain eligible to vest in equity incentive awards previously granted by CompoSecure, in exchange for his provision of certain consulting and advisory services with respect to executing strategic corporate transactions and related activities, and such other similar services as reasonably requested by the Company. We also entered into a similar agreement with Mr. Knott.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Adviser Agreement</w:t>
      </w:r>
    </w:p>
    <w:p>
      <w:pPr>
        <w:spacing w:after="0" w:line="249" w:lineRule="exact"/>
        <w:rPr>
          <w:sz w:val="20"/>
          <w:szCs w:val="20"/>
          <w:color w:val="auto"/>
        </w:rPr>
      </w:pPr>
    </w:p>
    <w:p>
      <w:pPr>
        <w:ind w:right="40" w:firstLine="641"/>
        <w:spacing w:after="0" w:line="251" w:lineRule="auto"/>
        <w:rPr>
          <w:sz w:val="20"/>
          <w:szCs w:val="20"/>
          <w:color w:val="auto"/>
        </w:rPr>
      </w:pPr>
      <w:r>
        <w:rPr>
          <w:rFonts w:ascii="Times New Roman" w:cs="Times New Roman" w:eastAsia="Times New Roman" w:hAnsi="Times New Roman"/>
          <w:sz w:val="18"/>
          <w:szCs w:val="18"/>
          <w:color w:val="auto"/>
        </w:rPr>
        <w:t>On February 28, 2025 and upon the completion of the Spin-Off, Roger Fradin resigned from the Company's board of directors for personal reasons and not as a result of any disagreement with management or any matter relating to the Company’s operations, policies or practices. In connection with Mr. Fradin’s resignation, the Company entered into a Board Adviser Agreement with Fradin Consulting LLC (“Fradin Consulting”) and Resolute Holdings (the “Board Adviser Agreement”), effective as of the date of Mr. Fradin’s resignation, for a period of 12 months subject to automatic renewal for 12-month periods unless earlier terminated in accordance therewith. Pursuant to the Board Adviser Agreement, Mr. Fradin, as the representative of Fradin Consulting, will provide advisory services to the Company's board of directors in exchange for which Fradin Consulting will receive an annual cash retainer fee of $50, payable quarterly in arrears, and Mr. Fradin, on behalf of Fradin Consulting, will be granted an annual award of options to purchase shares of the Company's common stock with a fair market value, as defined in the Third Amended and Restated CompoSecure, Inc. Non-Employee Director Compensation Policy, of $150.</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2"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18"/>
          <w:szCs w:val="18"/>
          <w:color w:val="auto"/>
        </w:rPr>
        <w:t>The Company's primary sources of liquidity are its existing cash and cash equivalents balances and funding from its wholly-owned subsidiary, Holdings. Holdings' primary sources of liquidity are its existing cash and cash equivalents balances, short - term investments, cash flows from operations and borrowings on its term loan and revolving credit facility. The Company’s primary cash requirements include limited operating expenses relating primarily to public company expenses such as D&amp;O insurance, professional fees, payments to taxing authorities, payments related to the tax receivable agreement and stock exchange listing fees. The Company anticipates that its operations will continue to be funded by Holdings. Funds transferred from Holdings to the Company will be treated as distributions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w:t>
      </w:r>
    </w:p>
    <w:p>
      <w:pPr>
        <w:spacing w:after="0" w:line="238" w:lineRule="exact"/>
        <w:rPr>
          <w:sz w:val="20"/>
          <w:szCs w:val="20"/>
          <w:color w:val="auto"/>
        </w:rPr>
      </w:pPr>
    </w:p>
    <w:p>
      <w:pPr>
        <w:ind w:firstLine="641"/>
        <w:spacing w:after="0" w:line="236" w:lineRule="auto"/>
        <w:rPr>
          <w:sz w:val="20"/>
          <w:szCs w:val="20"/>
          <w:color w:val="auto"/>
        </w:rPr>
      </w:pPr>
      <w:r>
        <w:rPr>
          <w:rFonts w:ascii="Times New Roman" w:cs="Times New Roman" w:eastAsia="Times New Roman" w:hAnsi="Times New Roman"/>
          <w:sz w:val="18"/>
          <w:szCs w:val="18"/>
          <w:color w:val="auto"/>
        </w:rPr>
        <w:t>On November 2, 2025, the Company entered into a Share Purchase Agreement with entities affiliated with Platinum Equity pursuant to which the Company will combine with Husky Technologies Limited (“Husky”) for aggregate consideration of approximately $4.976 billion, comprised of cash and shares of CompoSecure Class A Common Stock. In conjunction with the closing of the Company’s planned business combination with Husky, Husky will become a wholly owned subsidiary of Holdings and Resolute Holdings will enter into a management agreement with Husky, on substantially the same terms as the CompoSecure Management Agreement. Concurrently with the execution of the Share Purchase Agreement, the Company entered into purchase agreements with certain investors named therein pursuant to which the Company agreed to issue and sell to such investors in a private placement an aggregate of approximately 106 million shares of CompoSecure Common Stock at a purchase price of $18.50 per share, for an aggregate purchase price of approximately $1.96 billion. The closing of the private placements is conditioned upon the substantially concurrent consummation of the business combination with Husky. The transaction is expected to close in the first quarter of 2026, subject to customary closing conditions, including regulatory approval.</w:t>
      </w:r>
    </w:p>
    <w:p>
      <w:pPr>
        <w:spacing w:after="0" w:line="222" w:lineRule="exact"/>
        <w:rPr>
          <w:sz w:val="20"/>
          <w:szCs w:val="20"/>
          <w:color w:val="auto"/>
        </w:rPr>
      </w:pPr>
    </w:p>
    <w:p>
      <w:pPr>
        <w:ind w:left="20" w:right="80" w:firstLine="641"/>
        <w:spacing w:after="0" w:line="277" w:lineRule="auto"/>
        <w:rPr>
          <w:sz w:val="20"/>
          <w:szCs w:val="20"/>
          <w:color w:val="auto"/>
        </w:rPr>
      </w:pPr>
      <w:r>
        <w:rPr>
          <w:rFonts w:ascii="Times New Roman" w:cs="Times New Roman" w:eastAsia="Times New Roman" w:hAnsi="Times New Roman"/>
          <w:sz w:val="18"/>
          <w:szCs w:val="18"/>
          <w:color w:val="auto"/>
        </w:rPr>
        <w:t>On November 3, 2025, the Company called for redemption all of its issued and outstanding warrants to purchase shares of the Company’s Class A Common Stock, par value $0.0001 per share that were issued under a warrant agreement, dated as of November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38" w:name="page39"/>
    <w:bookmarkEnd w:id="38"/>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4" w:lineRule="exact"/>
        <w:rPr>
          <w:sz w:val="20"/>
          <w:szCs w:val="20"/>
          <w:color w:val="auto"/>
        </w:rPr>
      </w:pPr>
    </w:p>
    <w:p>
      <w:pPr>
        <w:ind w:right="40" w:firstLine="641"/>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the Company's audited consolidated financial statements and related notes thereto included in the Annual Report on Form 10-K for the year ended December 31, 2024 filed with the SEC. In addition to historical consolidated financial information,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1" w:lineRule="exact"/>
        <w:rPr>
          <w:sz w:val="20"/>
          <w:szCs w:val="20"/>
          <w:color w:val="auto"/>
        </w:rPr>
      </w:pPr>
    </w:p>
    <w:p>
      <w:pPr>
        <w:ind w:right="80" w:firstLine="641"/>
        <w:spacing w:after="0" w:line="251" w:lineRule="auto"/>
        <w:rPr>
          <w:sz w:val="20"/>
          <w:szCs w:val="20"/>
          <w:color w:val="auto"/>
        </w:rPr>
      </w:pPr>
      <w:r>
        <w:rPr>
          <w:rFonts w:ascii="Times New Roman" w:cs="Times New Roman" w:eastAsia="Times New Roman" w:hAnsi="Times New Roman"/>
          <w:sz w:val="18"/>
          <w:szCs w:val="18"/>
          <w:color w:val="auto"/>
        </w:rPr>
        <w:t>The Company, together with its wholly owned subsidiary, CompoSecure Holdings, L.L.C. ("Holdings") and its operating subsidiaries, creates innovative, highly differentiated and customized financial payment card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8" w:lineRule="exact"/>
        <w:rPr>
          <w:sz w:val="20"/>
          <w:szCs w:val="20"/>
          <w:color w:val="auto"/>
        </w:rPr>
      </w:pPr>
    </w:p>
    <w:p>
      <w:pPr>
        <w:ind w:right="20" w:firstLine="641"/>
        <w:spacing w:after="0" w:line="233" w:lineRule="auto"/>
        <w:rPr>
          <w:sz w:val="20"/>
          <w:szCs w:val="20"/>
          <w:color w:val="auto"/>
        </w:rPr>
      </w:pPr>
      <w:r>
        <w:rPr>
          <w:rFonts w:ascii="Times New Roman" w:cs="Times New Roman" w:eastAsia="Times New Roman" w:hAnsi="Times New Roman"/>
          <w:sz w:val="18"/>
          <w:szCs w:val="18"/>
          <w:color w:val="auto"/>
        </w:rPr>
        <w:t>On September 27, 2024, Resolute Holdings Management, Inc. ("Resolute Holdings") was created as a wholly owned subsidiary of Holdings. On February 28, 2025, the Company completed the previously-announced spin-off (the "Spin-Off") of Resolute Holdings. In connection with the Spin-Off, Holdings entered into a management agreement (the "Management Agreement") pursuant to which Resolute Holdings provides management and other related services to Holdings in exchange for payment of quarterly management fees based on 2.5% of Holdings last twelve-months' Adjusted EBITDA as defined in the Management Agreement, measured for the period ending on the fiscal quarter then ended (“Management Agreement Adjusted EBITDA”). Management Agreement Adjusted EBITDA reflects a) Holdings’ earnings before interest, taxes, depreciation, depletion and amortization, extraordinary losses and expenses, one-time and non-recurring expenses, and the CompoSecure Management Fee, less b) CompoSecure’s selling, general and administrative expenses, adjusted for the same items above (“Parent Allocated Expense”, as defined in the CompoSecure Management Agreement). Holdings is also required to reimburse Resolute Holdings and its affiliates for Resolute Holdings’ documented costs and expenses incurred on behalf of Holdings other than those expenses related to Resolute Holdings’ or its affiliates’ personnel who provide services to Holdings under the Management Agreement. Resolute Holdings will determine, in its sole and absolute discretion, whether a cost or expense will be borne by Resolute Holdings or by Holdings. The Spin-Off of Resolute Holdings from the Company was achieved through the distribution of all outstanding shares of common stock, par value $0.0001 per share, of Resolute Holdings (the "Resolute Holdings Common Stock"), on a pro rata basis, to holders of record of the Company’s Class A Common Stock, par value $0.0001 per share (the “CompoSecure Common Stock”). Each holder of record of CompoSecure Common Stock received one share of Resolute Holdings Common Stock for every twelve shares of CompoSecure Common Stock held on February 20, 2025, the record date for the Spin-Off. In lieu of fractional shares of Resolute Holdings Common Stock, holders of CompoSecure Common Stock received cash.</w:t>
      </w:r>
    </w:p>
    <w:p>
      <w:pPr>
        <w:spacing w:after="0" w:line="218" w:lineRule="exact"/>
        <w:rPr>
          <w:sz w:val="20"/>
          <w:szCs w:val="20"/>
          <w:color w:val="auto"/>
        </w:rPr>
      </w:pPr>
    </w:p>
    <w:p>
      <w:pPr>
        <w:jc w:val="both"/>
        <w:ind w:firstLine="641"/>
        <w:spacing w:after="0" w:line="247" w:lineRule="auto"/>
        <w:rPr>
          <w:sz w:val="20"/>
          <w:szCs w:val="20"/>
          <w:color w:val="auto"/>
        </w:rPr>
      </w:pPr>
      <w:r>
        <w:rPr>
          <w:rFonts w:ascii="Times New Roman" w:cs="Times New Roman" w:eastAsia="Times New Roman" w:hAnsi="Times New Roman"/>
          <w:sz w:val="18"/>
          <w:szCs w:val="18"/>
          <w:color w:val="auto"/>
        </w:rPr>
        <w:t>The distribution of shares in connection with the Spin-Off constituted an Extraordinary Dividend as defined in the agreement governing the Company's outstanding warrants (the "warrant agreement"). As a result, the warrant price was decreased from $11.50 per share of CompoSecure Common Stock to $7.97 per share of CompoSecure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Common Stock, and the redemption trigger price was decreased from $18.00 per share of CompoSecure Common Stock to $14.47 per share of CompoSecure Common Stock, effective as of February 28, 2025.</w:t>
      </w:r>
    </w:p>
    <w:p>
      <w:pPr>
        <w:spacing w:after="0" w:line="189" w:lineRule="exact"/>
        <w:rPr>
          <w:sz w:val="20"/>
          <w:szCs w:val="20"/>
          <w:color w:val="auto"/>
        </w:rPr>
      </w:pPr>
    </w:p>
    <w:p>
      <w:pPr>
        <w:jc w:val="both"/>
        <w:ind w:firstLine="645"/>
        <w:spacing w:after="0" w:line="242" w:lineRule="auto"/>
        <w:rPr>
          <w:sz w:val="20"/>
          <w:szCs w:val="20"/>
          <w:color w:val="auto"/>
        </w:rPr>
      </w:pPr>
      <w:r>
        <w:rPr>
          <w:rFonts w:ascii="Times New Roman" w:cs="Times New Roman" w:eastAsia="Times New Roman" w:hAnsi="Times New Roman"/>
          <w:sz w:val="18"/>
          <w:szCs w:val="18"/>
          <w:color w:val="auto"/>
        </w:rPr>
        <w:t>By virtue of control of the board of managers of Holdings, the Company historically operated and controlled the business and affairs of Holdings and thus consolidated Holdings. As of February 28, 2025 and subsequent to the Spin-Off and execution of the Management Agreement, control of Holdings transferred to Resolute Holdings and the Company no longer consolidates Holdings. Rather, the Company accounts for the investment in Holdings as an equity method investment.</w:t>
      </w:r>
    </w:p>
    <w:p>
      <w:pPr>
        <w:spacing w:after="0" w:line="207" w:lineRule="exact"/>
        <w:rPr>
          <w:sz w:val="20"/>
          <w:szCs w:val="20"/>
          <w:color w:val="auto"/>
        </w:rPr>
      </w:pPr>
    </w:p>
    <w:p>
      <w:pPr>
        <w:jc w:val="both"/>
        <w:ind w:firstLine="641"/>
        <w:spacing w:after="0" w:line="236" w:lineRule="auto"/>
        <w:rPr>
          <w:sz w:val="20"/>
          <w:szCs w:val="20"/>
          <w:color w:val="auto"/>
        </w:rPr>
      </w:pPr>
      <w:r>
        <w:rPr>
          <w:rFonts w:ascii="Times New Roman" w:cs="Times New Roman" w:eastAsia="Times New Roman" w:hAnsi="Times New Roman"/>
          <w:sz w:val="18"/>
          <w:szCs w:val="18"/>
          <w:color w:val="auto"/>
        </w:rPr>
        <w:t>Certain of Holdings' formal equity holders had the right to receive additional shares of the Company's Class A Common Stock ("Earnout Shares") in earnout consideration (collectively, the “Earnouts”). The Earnouts were subject to two stock price thresholds, with half of the Earnout Shares awarded upon the achievement of each threshold. The first Earnout threshold was achieved, and approximately 3,600,000 Earnout Shares were issued on December 17, 2024. The second Earnout threshold was achieved on September 8, 2025, and approximately 4,400,000 (as adjusted for the Spin-Off) Earnout Shares were issued.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238" w:lineRule="exact"/>
        <w:rPr>
          <w:sz w:val="20"/>
          <w:szCs w:val="20"/>
          <w:color w:val="auto"/>
        </w:rPr>
      </w:pPr>
    </w:p>
    <w:p>
      <w:pPr>
        <w:ind w:right="100" w:firstLine="641"/>
        <w:spacing w:after="0" w:line="237" w:lineRule="auto"/>
        <w:rPr>
          <w:sz w:val="20"/>
          <w:szCs w:val="20"/>
          <w:color w:val="auto"/>
        </w:rPr>
      </w:pPr>
      <w:r>
        <w:rPr>
          <w:rFonts w:ascii="Times New Roman" w:cs="Times New Roman" w:eastAsia="Times New Roman" w:hAnsi="Times New Roman"/>
          <w:sz w:val="18"/>
          <w:szCs w:val="18"/>
          <w:color w:val="auto"/>
        </w:rPr>
        <w:t>U.S. and international markets, and particularly the rapidly evolving digital assets industry, are experiencing uncertain and volatile economic conditions, including the war in Ukraine, the ongoing conflict in Israel, Gaza and the surrounding areas, sustained inflation, international trade restrictions and tariffs,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spacing w:after="0" w:line="226" w:lineRule="exact"/>
        <w:rPr>
          <w:sz w:val="20"/>
          <w:szCs w:val="20"/>
          <w:color w:val="auto"/>
        </w:rPr>
      </w:pPr>
    </w:p>
    <w:p>
      <w:pPr>
        <w:ind w:firstLine="641"/>
        <w:spacing w:after="0" w:line="250" w:lineRule="auto"/>
        <w:rPr>
          <w:sz w:val="20"/>
          <w:szCs w:val="20"/>
          <w:color w:val="auto"/>
        </w:rPr>
      </w:pPr>
      <w:r>
        <w:rPr>
          <w:rFonts w:ascii="Times New Roman" w:cs="Times New Roman" w:eastAsia="Times New Roman" w:hAnsi="Times New Roman"/>
          <w:sz w:val="18"/>
          <w:szCs w:val="18"/>
          <w:color w:val="auto"/>
        </w:rPr>
        <w:t>In particular, a portion of the raw materials used by us to manufacture our products are obtained, directly or indirectly, from companies located outside of the United States. There is currently significant uncertainty about the future relationship between the U.S. and various other countries with respect to trade policies and tariffs. Recently, tariffs have been imposed on imports from certain countries outside of the U.S.. For example, the Trump administration has instituted substantial changes to U.S. foreign trade policy with respect to China and other countries, including a significant increase in tariffs on goods imported into the U.S., and has signaled possibly imposing further restrictions on international trade.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increase the costs of certain raw materials we purchase, and/or materially and adversely affect our business, financial condition and results of operations. These and future tariffs, including any retaliatory tariffs that may be imposed by other countries on U.S. exports, as well as uncertainties surrounding domestic and foreign tariffs and any other global trade developments, bring with them uncertainty. We cannot predict future changes to imports covered by tariffs or which countries will be included or excluded from such tariffs. The reactions of other countries and resulting actions on the U.S. and similarly situated companies could negatively impact our business, financial condition and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below components of results of operations primarily relate to the operations of Holdings prior to the Spin-Off and when the Company</w:t>
      </w:r>
    </w:p>
    <w:p>
      <w:pPr>
        <w:spacing w:after="0" w:line="13"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consolidated the operating results of Holdings. Subsequent to the Spin-Off, the Company's operations have been limited to non-revenue generating activities such as its stock market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ind w:right="280"/>
        <w:spacing w:after="0" w:line="262" w:lineRule="auto"/>
        <w:rPr>
          <w:sz w:val="20"/>
          <w:szCs w:val="20"/>
          <w:color w:val="auto"/>
        </w:rPr>
      </w:pPr>
      <w:r>
        <w:rPr>
          <w:rFonts w:ascii="Times New Roman" w:cs="Times New Roman" w:eastAsia="Times New Roman" w:hAnsi="Times New Roman"/>
          <w:sz w:val="18"/>
          <w:szCs w:val="18"/>
          <w:color w:val="auto"/>
        </w:rPr>
        <w:t>compliance with public company reporting obligations, obligations under the tax receivable agreement, warrant liability reevaluation, income recognized from equity method investment, and the earnout considerations.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4"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4" w:lineRule="exact"/>
        <w:rPr>
          <w:sz w:val="20"/>
          <w:szCs w:val="20"/>
          <w:color w:val="auto"/>
        </w:rPr>
      </w:pPr>
    </w:p>
    <w:p>
      <w:pPr>
        <w:ind w:right="40" w:firstLine="641"/>
        <w:spacing w:after="0" w:line="252" w:lineRule="auto"/>
        <w:rPr>
          <w:sz w:val="20"/>
          <w:szCs w:val="20"/>
          <w:color w:val="auto"/>
        </w:rPr>
      </w:pPr>
      <w:r>
        <w:rPr>
          <w:rFonts w:ascii="Times New Roman" w:cs="Times New Roman" w:eastAsia="Times New Roman" w:hAnsi="Times New Roman"/>
          <w:sz w:val="17"/>
          <w:szCs w:val="17"/>
          <w:color w:val="auto"/>
        </w:rPr>
        <w:t>The Company’s cost of sales includes the direct and indirect costs related to manufacturing products and providing related services. Product costs include the cost of raw materials and supplies, including various metals, EMV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gross profit represents its net sales less cost of sales, and its gross margin represents gross profit as a percentage of its net sales.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ind w:right="300" w:firstLine="641"/>
        <w:spacing w:after="0" w:line="262" w:lineRule="auto"/>
        <w:rPr>
          <w:sz w:val="20"/>
          <w:szCs w:val="20"/>
          <w:color w:val="auto"/>
        </w:rPr>
      </w:pPr>
      <w:r>
        <w:rPr>
          <w:rFonts w:ascii="Times New Roman" w:cs="Times New Roman" w:eastAsia="Times New Roman" w:hAnsi="Times New Roman"/>
          <w:sz w:val="18"/>
          <w:szCs w:val="18"/>
          <w:color w:val="auto"/>
        </w:rPr>
        <w:t>The Company’s operating expenses are comprised of selling, general, and administrative expenses, which generally consist of personnel-related expenses for its corporate, executive, finance, information technology, and other administrative functions, expenses for outside professional services, including legal, audit and accounting services, as well as expenses for facilities, depreciation, amortization, travel, sales and marketing.</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(Loss) Income from Operations and Operating Margin</w:t>
      </w:r>
    </w:p>
    <w:p>
      <w:pPr>
        <w:spacing w:after="0" w:line="224" w:lineRule="exact"/>
        <w:rPr>
          <w:sz w:val="20"/>
          <w:szCs w:val="20"/>
          <w:color w:val="auto"/>
        </w:rPr>
      </w:pPr>
    </w:p>
    <w:p>
      <w:pPr>
        <w:ind w:right="540" w:firstLine="641"/>
        <w:spacing w:after="0" w:line="277" w:lineRule="auto"/>
        <w:rPr>
          <w:sz w:val="20"/>
          <w:szCs w:val="20"/>
          <w:color w:val="auto"/>
        </w:rPr>
      </w:pPr>
      <w:r>
        <w:rPr>
          <w:rFonts w:ascii="Times New Roman" w:cs="Times New Roman" w:eastAsia="Times New Roman" w:hAnsi="Times New Roman"/>
          <w:sz w:val="18"/>
          <w:szCs w:val="18"/>
          <w:color w:val="auto"/>
        </w:rPr>
        <w:t>Income from operations consists of the Company’s gross profit less its operating expenses. Operating margin is income from the Company’s operations as a percentage of its net sales.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Other expense primarily consists of changes in fair value of warrant liability, earnout consideration liability and interest expense, net of any interest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Earnings in Equity Method Investment</w:t>
      </w:r>
    </w:p>
    <w:p>
      <w:pPr>
        <w:spacing w:after="0" w:line="251" w:lineRule="exact"/>
        <w:rPr>
          <w:sz w:val="20"/>
          <w:szCs w:val="20"/>
          <w:color w:val="auto"/>
        </w:rPr>
      </w:pPr>
    </w:p>
    <w:p>
      <w:pPr>
        <w:ind w:right="100" w:firstLine="641"/>
        <w:spacing w:after="0" w:line="277" w:lineRule="auto"/>
        <w:rPr>
          <w:sz w:val="20"/>
          <w:szCs w:val="20"/>
          <w:color w:val="auto"/>
        </w:rPr>
      </w:pPr>
      <w:r>
        <w:rPr>
          <w:rFonts w:ascii="Times New Roman" w:cs="Times New Roman" w:eastAsia="Times New Roman" w:hAnsi="Times New Roman"/>
          <w:sz w:val="18"/>
          <w:szCs w:val="18"/>
          <w:color w:val="auto"/>
        </w:rPr>
        <w:t>Earnings in Holdings Equity Method Investment consists of the net income of Holdings attributable to the Company resulting from the Company's equity method investment in Holdings.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loss consists of the Company’s (loss) income from operations, less other expenses and income tax provision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41" w:name="page42"/>
    <w:bookmarkEnd w:id="41"/>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Company’s Operating Results</w:t>
      </w:r>
    </w:p>
    <w:p>
      <w:pPr>
        <w:spacing w:after="0" w:line="238" w:lineRule="exact"/>
        <w:rPr>
          <w:sz w:val="20"/>
          <w:szCs w:val="20"/>
          <w:color w:val="auto"/>
        </w:rPr>
      </w:pPr>
    </w:p>
    <w:p>
      <w:pPr>
        <w:ind w:firstLine="641"/>
        <w:spacing w:after="0" w:line="247"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Please see the factors discussed elsewhere in this Quarterly Report on Form 10-Q, including those discussed in “Risk Factors” and “Cautionary Note Regarding Forward-Looking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with Three Months Ended September 30, 2024</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Reflecting the change to equity method accounting, the following table presents the Company’s results of operations for the periods indicated: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0" w:type="dxa"/>
            <w:vAlign w:val="bottom"/>
          </w:tcPr>
          <w:p>
            <w:pPr>
              <w:spacing w:after="0"/>
              <w:rPr>
                <w:sz w:val="20"/>
                <w:szCs w:val="20"/>
                <w:color w:val="auto"/>
              </w:rPr>
            </w:pPr>
          </w:p>
        </w:tc>
      </w:tr>
      <w:tr>
        <w:trPr>
          <w:trHeight w:val="40"/>
        </w:trPr>
        <w:tc>
          <w:tcPr>
            <w:tcW w:w="58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74"/>
        </w:trPr>
        <w:tc>
          <w:tcPr>
            <w:tcW w:w="5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4"/>
        </w:trPr>
        <w:tc>
          <w:tcPr>
            <w:tcW w:w="58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tcBorders>
              <w:top w:val="single" w:sz="8" w:color="auto"/>
            </w:tcBorders>
          </w:tcPr>
          <w:p>
            <w:pPr>
              <w:spacing w:after="0"/>
              <w:rPr>
                <w:sz w:val="20"/>
                <w:szCs w:val="20"/>
                <w:color w:val="auto"/>
              </w:rPr>
            </w:pP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107,135</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1"/>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58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1"/>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29,092</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(113,937)</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(84,845)</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earnings in equity method investment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(214,333)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(85,474)</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(128,859)</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in equity method investment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(174,696)</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(85,474)</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(89,222)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(43,414)</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CompoSecure, Inc</w:t>
            </w:r>
          </w:p>
        </w:tc>
        <w:tc>
          <w:tcPr>
            <w:tcW w:w="2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(174,696)</w:t>
            </w:r>
          </w:p>
        </w:tc>
        <w:tc>
          <w:tcPr>
            <w:tcW w:w="100" w:type="dxa"/>
            <w:vAlign w:val="bottom"/>
          </w:tcPr>
          <w:p>
            <w:pPr>
              <w:spacing w:after="0"/>
              <w:rPr>
                <w:sz w:val="23"/>
                <w:szCs w:val="23"/>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4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(132,636)</w:t>
            </w:r>
          </w:p>
        </w:tc>
        <w:tc>
          <w:tcPr>
            <w:tcW w:w="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6"/>
        </w:trPr>
        <w:tc>
          <w:tcPr>
            <w:tcW w:w="58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500380</wp:posOffset>
            </wp:positionV>
            <wp:extent cx="7133590" cy="178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43815</wp:posOffset>
            </wp:positionV>
            <wp:extent cx="2459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r>
      <w:tr>
        <w:trPr>
          <w:trHeight w:val="40"/>
        </w:trPr>
        <w:tc>
          <w:tcPr>
            <w:tcW w:w="622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4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78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7"/>
        </w:trPr>
        <w:tc>
          <w:tcPr>
            <w:tcW w:w="6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80" w:type="dxa"/>
            <w:vAlign w:val="bottom"/>
            <w:gridSpan w:val="11"/>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0"/>
        </w:trPr>
        <w:tc>
          <w:tcPr>
            <w:tcW w:w="6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r>
      <w:tr>
        <w:trPr>
          <w:trHeight w:val="274"/>
        </w:trPr>
        <w:tc>
          <w:tcPr>
            <w:tcW w:w="6220" w:type="dxa"/>
            <w:vAlign w:val="bottom"/>
            <w:tcBorders>
              <w:top w:val="single" w:sz="8" w:color="CCEEFF"/>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300" w:type="dxa"/>
            <w:vAlign w:val="bottom"/>
            <w:tcBorders>
              <w:top w:val="single" w:sz="8" w:color="auto"/>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23"/>
                <w:szCs w:val="23"/>
                <w:color w:val="auto"/>
              </w:rPr>
            </w:pPr>
          </w:p>
        </w:tc>
      </w:tr>
      <w:tr>
        <w:trPr>
          <w:trHeight w:val="234"/>
        </w:trPr>
        <w:tc>
          <w:tcPr>
            <w:tcW w:w="62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40"/>
        </w:trPr>
        <w:tc>
          <w:tcPr>
            <w:tcW w:w="6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1"/>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region</w:t>
            </w:r>
          </w:p>
        </w:tc>
        <w:tc>
          <w:tcPr>
            <w:tcW w:w="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1"/>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80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80,033</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(80,033)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p>
        </w:tc>
      </w:tr>
      <w:tr>
        <w:trPr>
          <w:trHeight w:val="40"/>
        </w:trPr>
        <w:tc>
          <w:tcPr>
            <w:tcW w:w="6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81"/>
        </w:trPr>
        <w:tc>
          <w:tcPr>
            <w:tcW w:w="6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8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(27,102)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r>
      <w:tr>
        <w:trPr>
          <w:trHeight w:val="26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3"/>
                <w:szCs w:val="23"/>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107,135</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(107,135)</w:t>
            </w:r>
          </w:p>
        </w:tc>
        <w:tc>
          <w:tcPr>
            <w:tcW w:w="8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3"/>
                <w:szCs w:val="23"/>
                <w:color w:val="auto"/>
              </w:rPr>
            </w:pPr>
          </w:p>
        </w:tc>
      </w:tr>
      <w:tr>
        <w:trPr>
          <w:trHeight w:val="26"/>
        </w:trPr>
        <w:tc>
          <w:tcPr>
            <w:tcW w:w="6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89" w:lineRule="exact"/>
        <w:rPr>
          <w:sz w:val="20"/>
          <w:szCs w:val="20"/>
          <w:color w:val="auto"/>
        </w:rPr>
      </w:pPr>
    </w:p>
    <w:p>
      <w:pPr>
        <w:ind w:right="100" w:firstLine="641"/>
        <w:spacing w:after="0" w:line="277" w:lineRule="auto"/>
        <w:rPr>
          <w:sz w:val="20"/>
          <w:szCs w:val="20"/>
          <w:color w:val="auto"/>
        </w:rPr>
      </w:pPr>
      <w:r>
        <w:rPr>
          <w:rFonts w:ascii="Times New Roman" w:cs="Times New Roman" w:eastAsia="Times New Roman" w:hAnsi="Times New Roman"/>
          <w:sz w:val="18"/>
          <w:szCs w:val="18"/>
          <w:color w:val="auto"/>
        </w:rPr>
        <w:t>The Company’s net sales for the three months ended September 30, 2025 decreased by $107.1 million, or 100%, to $0. The decrease was driven by the deconsolidation of Holdings on February 28, 2025. Holdings generated $120.9 million of net sales for the three months ended September 30, 2025.</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43" w:name="page44"/>
    <w:bookmarkEnd w:id="43"/>
    <w:p>
      <w:pPr>
        <w:ind w:right="280"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Domestic: </w:t>
      </w:r>
      <w:r>
        <w:rPr>
          <w:rFonts w:ascii="Times New Roman" w:cs="Times New Roman" w:eastAsia="Times New Roman" w:hAnsi="Times New Roman"/>
          <w:sz w:val="18"/>
          <w:szCs w:val="18"/>
          <w:color w:val="auto"/>
        </w:rPr>
        <w:t>The Company’s domestic net sales for the three months ended September 30, 2025 decreased $80.0 million, or 100%, to $0.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$105.1 million of domestic net sales for the three months ended September 30, 2025.</w:t>
      </w:r>
    </w:p>
    <w:p>
      <w:pPr>
        <w:spacing w:after="0" w:line="53" w:lineRule="exact"/>
        <w:rPr>
          <w:sz w:val="20"/>
          <w:szCs w:val="20"/>
          <w:color w:val="auto"/>
        </w:rPr>
      </w:pPr>
    </w:p>
    <w:p>
      <w:pPr>
        <w:ind w:right="80" w:firstLine="6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Company’s international net sales for the three months ended September 30, 2025 decreased $27.1 million , or 100%, to $0.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customer base is comprised of a larger population of smaller customers relative to the domestic customer base. Holdings generated $15.8 million of international net sales for the three months ended September 30, 2025.</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1" w:lineRule="exact"/>
        <w:rPr>
          <w:sz w:val="20"/>
          <w:szCs w:val="20"/>
          <w:color w:val="auto"/>
        </w:rPr>
      </w:pPr>
    </w:p>
    <w:p>
      <w:pPr>
        <w:ind w:right="120" w:firstLine="641"/>
        <w:spacing w:after="0" w:line="262" w:lineRule="auto"/>
        <w:rPr>
          <w:sz w:val="20"/>
          <w:szCs w:val="20"/>
          <w:color w:val="auto"/>
        </w:rPr>
      </w:pPr>
      <w:r>
        <w:rPr>
          <w:rFonts w:ascii="Times New Roman" w:cs="Times New Roman" w:eastAsia="Times New Roman" w:hAnsi="Times New Roman"/>
          <w:sz w:val="18"/>
          <w:szCs w:val="18"/>
          <w:color w:val="auto"/>
        </w:rPr>
        <w:t>The Company’s gross profit for the three months ended September 30, 2025 decreased $55.4 million, or 100%, to $0, while the gross profit margin decreased from 52% to 0%. The decrease in gross profit was due to the deconsolidation of Holdings as a result of the Spin-Off on February 28, 2025. Holdings generated $71.3 million of gross profit for the three months ended September 30, 2025.</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jc w:val="both"/>
        <w:ind w:right="100" w:firstLine="641"/>
        <w:spacing w:after="0" w:line="262" w:lineRule="auto"/>
        <w:rPr>
          <w:sz w:val="20"/>
          <w:szCs w:val="20"/>
          <w:color w:val="auto"/>
        </w:rPr>
      </w:pPr>
      <w:r>
        <w:rPr>
          <w:rFonts w:ascii="Times New Roman" w:cs="Times New Roman" w:eastAsia="Times New Roman" w:hAnsi="Times New Roman"/>
          <w:sz w:val="18"/>
          <w:szCs w:val="18"/>
          <w:color w:val="auto"/>
        </w:rPr>
        <w:t>The Company’s operating expenses for the three months ended September 30, 2025 decreased $16.4 million, or 62%, to $9.9 million compared to $26.3 million for the three months ended September 30, 2024. The decrease was driven primarily by the deconsolidation of Holdings as a result of the Spin-Off on February 28, 2025. Holdings incurred $29.6 million of operating expenses for the three months ended September 30, 2025.</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(Loss) Income from Operations and Operating Margin</w:t>
      </w:r>
    </w:p>
    <w:p>
      <w:pPr>
        <w:spacing w:after="0" w:line="251"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had a loss from operations of $9.9 million compared to income from operations of $29.1 million for the three months ended September 30, 2024. The Company’s operating margin for the three months ended September 30, 2025 decreased to 0% compared to 27% for the three months ended September 30, 2024. The decrease in income from operations and operating margin was driven primarily by the deconsolidation of Holdings as a result of the Spin-Off on February 28, 2025.</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4" w:lineRule="exact"/>
        <w:rPr>
          <w:sz w:val="20"/>
          <w:szCs w:val="20"/>
          <w:color w:val="auto"/>
        </w:rPr>
      </w:pPr>
    </w:p>
    <w:p>
      <w:pPr>
        <w:ind w:right="80" w:firstLine="641"/>
        <w:spacing w:after="0" w:line="252" w:lineRule="auto"/>
        <w:rPr>
          <w:sz w:val="20"/>
          <w:szCs w:val="20"/>
          <w:color w:val="auto"/>
        </w:rPr>
      </w:pPr>
      <w:r>
        <w:rPr>
          <w:rFonts w:ascii="Times New Roman" w:cs="Times New Roman" w:eastAsia="Times New Roman" w:hAnsi="Times New Roman"/>
          <w:sz w:val="18"/>
          <w:szCs w:val="18"/>
          <w:color w:val="auto"/>
        </w:rPr>
        <w:t>Other expenses for the three months ended September 30, 2025 was $174.6 million as compared to $113.9 million for the three months ended September 30, 2024. The increase in other expense was primarily due to changes in the fair value of earnout consideration liability, warrant liability and make-whole liability resulting in non-cash expense of $174.9 million for the three months ended September 30, 2025, compared to $108.4 million for the three months ended September 30, 2024. The increase was partially offset by a decrease in net interest expense of $5.4 million resulting from the conversion of all Exchangeable Notes into shares of Class A Common Stock during the fourth quarter of 2024 and the deconsolidation of Holdings as a result of the Spin-Off on February 28, 2025. As a result of the deconsolidation, all debt and related interest expense of Holdings was removed from the Company's balance sheet and results of operations.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Earnings in Equity Method Investment</w:t>
      </w:r>
    </w:p>
    <w:p>
      <w:pPr>
        <w:spacing w:after="0" w:line="224" w:lineRule="exact"/>
        <w:rPr>
          <w:sz w:val="20"/>
          <w:szCs w:val="20"/>
          <w:color w:val="auto"/>
        </w:rPr>
      </w:pPr>
    </w:p>
    <w:p>
      <w:pPr>
        <w:ind w:right="140" w:firstLine="641"/>
        <w:spacing w:after="0" w:line="262" w:lineRule="auto"/>
        <w:rPr>
          <w:sz w:val="20"/>
          <w:szCs w:val="20"/>
          <w:color w:val="auto"/>
        </w:rPr>
      </w:pPr>
      <w:r>
        <w:rPr>
          <w:rFonts w:ascii="Times New Roman" w:cs="Times New Roman" w:eastAsia="Times New Roman" w:hAnsi="Times New Roman"/>
          <w:sz w:val="18"/>
          <w:szCs w:val="18"/>
          <w:color w:val="auto"/>
        </w:rPr>
        <w:t>Earnings in Holdings equity method investment consists of $39.6 million of the net income of Holdings attributable to the Company. The equity method investment resulted from the deconsolidation associated with the Spin-Off and related Management Agreement. Refer to Note 5 in the consolidated financial statements for the operating results of Holdings.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4" w:lineRule="exact"/>
        <w:rPr>
          <w:sz w:val="20"/>
          <w:szCs w:val="20"/>
          <w:color w:val="auto"/>
        </w:rPr>
      </w:pPr>
    </w:p>
    <w:p>
      <w:pPr>
        <w:ind w:right="480" w:firstLine="641"/>
        <w:spacing w:after="0" w:line="277" w:lineRule="auto"/>
        <w:rPr>
          <w:sz w:val="20"/>
          <w:szCs w:val="20"/>
          <w:color w:val="auto"/>
        </w:rPr>
      </w:pPr>
      <w:r>
        <w:rPr>
          <w:rFonts w:ascii="Times New Roman" w:cs="Times New Roman" w:eastAsia="Times New Roman" w:hAnsi="Times New Roman"/>
          <w:sz w:val="18"/>
          <w:szCs w:val="18"/>
          <w:color w:val="auto"/>
        </w:rPr>
        <w:t>The Company's income tax expense for the three months ended September 30, 2025 was $29.8 million, compared to $0.6 million 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with Nine Months Ended September 30, 2024</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Reflecting the change to equity method accounting, the following table presents the Company’s results of operations for the periods indicated: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220" w:type="dxa"/>
            <w:vAlign w:val="bottom"/>
          </w:tcPr>
          <w:p>
            <w:pPr>
              <w:spacing w:after="0"/>
              <w:rPr>
                <w:sz w:val="20"/>
                <w:szCs w:val="20"/>
                <w:color w:val="auto"/>
              </w:rPr>
            </w:pPr>
          </w:p>
        </w:tc>
      </w:tr>
      <w:tr>
        <w:trPr>
          <w:trHeight w:val="40"/>
        </w:trPr>
        <w:tc>
          <w:tcPr>
            <w:tcW w:w="58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74"/>
        </w:trPr>
        <w:tc>
          <w:tcPr>
            <w:tcW w:w="5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4"/>
        </w:trPr>
        <w:tc>
          <w:tcPr>
            <w:tcW w:w="58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20" w:type="dxa"/>
            <w:vAlign w:val="bottom"/>
            <w:tcBorders>
              <w:top w:val="single" w:sz="8" w:color="auto"/>
            </w:tcBorders>
          </w:tcPr>
          <w:p>
            <w:pPr>
              <w:spacing w:after="0"/>
              <w:rPr>
                <w:sz w:val="20"/>
                <w:szCs w:val="20"/>
                <w:color w:val="auto"/>
              </w:rPr>
            </w:pP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6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319,712</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(259,888)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1"/>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0"/>
        </w:trPr>
        <w:tc>
          <w:tcPr>
            <w:tcW w:w="58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4"/>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166,693</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1"/>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74,673</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92,020</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(98,571)</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(211,122)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(126,773)</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(34,753)</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(182,920)</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107833%</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earnings in equity method investment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(237,915)</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in equity method investment</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(179,329)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(144,525)</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40"/>
        </w:trPr>
        <w:tc>
          <w:tcPr>
            <w:tcW w:w="5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81"/>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CompoSecure, Inc</w:t>
            </w:r>
          </w:p>
        </w:tc>
        <w:tc>
          <w:tcPr>
            <w:tcW w:w="2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(179,329)</w:t>
            </w:r>
          </w:p>
        </w:tc>
        <w:tc>
          <w:tcPr>
            <w:tcW w:w="100" w:type="dxa"/>
            <w:vAlign w:val="bottom"/>
          </w:tcPr>
          <w:p>
            <w:pPr>
              <w:spacing w:after="0"/>
              <w:rPr>
                <w:sz w:val="23"/>
                <w:szCs w:val="23"/>
                <w:color w:val="auto"/>
              </w:rPr>
            </w:pPr>
          </w:p>
        </w:tc>
        <w:tc>
          <w:tcPr>
            <w:tcW w:w="2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4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(162,939)</w:t>
            </w: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6"/>
        </w:trPr>
        <w:tc>
          <w:tcPr>
            <w:tcW w:w="58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500380</wp:posOffset>
            </wp:positionV>
            <wp:extent cx="7133590" cy="178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7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4652645</wp:posOffset>
            </wp:positionH>
            <wp:positionV relativeFrom="paragraph">
              <wp:posOffset>43815</wp:posOffset>
            </wp:positionV>
            <wp:extent cx="24853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85390" cy="825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73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254"/>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1"/>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6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099935" cy="186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9935" cy="186690"/>
                    </a:xfrm>
                    <a:prstGeom prst="rect">
                      <a:avLst/>
                    </a:prstGeom>
                    <a:noFill/>
                  </pic:spPr>
                </pic:pic>
              </a:graphicData>
            </a:graphic>
          </wp:anchor>
        </w:drawing>
      </w:r>
    </w:p>
    <w:p>
      <w:pPr>
        <w:spacing w:after="0" w:line="67" w:lineRule="exact"/>
        <w:rPr>
          <w:sz w:val="20"/>
          <w:szCs w:val="20"/>
          <w:color w:val="auto"/>
        </w:rPr>
      </w:pPr>
    </w:p>
    <w:p>
      <w:pPr>
        <w:ind w:left="6580"/>
        <w:spacing w:after="0"/>
        <w:tabs>
          <w:tab w:leader="none" w:pos="7780" w:val="left"/>
          <w:tab w:leader="none" w:pos="8820" w:val="left"/>
          <w:tab w:leader="none" w:pos="101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 Change</w:t>
      </w:r>
      <w:r>
        <w:rPr>
          <w:sz w:val="20"/>
          <w:szCs w:val="20"/>
          <w:color w:val="auto"/>
        </w:rPr>
        <w:tab/>
      </w:r>
      <w:r>
        <w:rPr>
          <w:rFonts w:ascii="Times New Roman" w:cs="Times New Roman" w:eastAsia="Times New Roman" w:hAnsi="Times New Roman"/>
          <w:sz w:val="17"/>
          <w:szCs w:val="17"/>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43815</wp:posOffset>
            </wp:positionV>
            <wp:extent cx="31642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64205" cy="8255"/>
                    </a:xfrm>
                    <a:prstGeom prst="rect">
                      <a:avLst/>
                    </a:prstGeom>
                    <a:noFill/>
                  </pic:spPr>
                </pic:pic>
              </a:graphicData>
            </a:graphic>
          </wp:anchor>
        </w:drawing>
      </w:r>
    </w:p>
    <w:p>
      <w:pPr>
        <w:spacing w:after="0" w:line="6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099935" cy="178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9935" cy="17843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 by region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54,480</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258,007</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(203,527)</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0"/>
        </w:trPr>
        <w:tc>
          <w:tcPr>
            <w:tcW w:w="6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1"/>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(56,361)</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6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59,824</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319,712</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(259,888)</w:t>
            </w:r>
          </w:p>
        </w:tc>
        <w:tc>
          <w:tcPr>
            <w:tcW w:w="8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
        </w:trPr>
        <w:tc>
          <w:tcPr>
            <w:tcW w:w="6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89" w:lineRule="exact"/>
        <w:rPr>
          <w:sz w:val="20"/>
          <w:szCs w:val="20"/>
          <w:color w:val="auto"/>
        </w:rPr>
      </w:pPr>
    </w:p>
    <w:p>
      <w:pPr>
        <w:jc w:val="both"/>
        <w:ind w:right="60" w:firstLine="641"/>
        <w:spacing w:after="0" w:line="277" w:lineRule="auto"/>
        <w:rPr>
          <w:sz w:val="20"/>
          <w:szCs w:val="20"/>
          <w:color w:val="auto"/>
        </w:rPr>
      </w:pPr>
      <w:r>
        <w:rPr>
          <w:rFonts w:ascii="Times New Roman" w:cs="Times New Roman" w:eastAsia="Times New Roman" w:hAnsi="Times New Roman"/>
          <w:sz w:val="18"/>
          <w:szCs w:val="18"/>
          <w:color w:val="auto"/>
        </w:rPr>
        <w:t>The Company’s net sales for the nine months ended September 30, 2025 decreased by $259.9 million, or 81%, to $59.8 million compared to $319.7 million for the nine months ended September 30, 2024. The decrease was driven by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ind w:right="1020"/>
        <w:spacing w:after="0" w:line="277" w:lineRule="auto"/>
        <w:rPr>
          <w:sz w:val="20"/>
          <w:szCs w:val="20"/>
          <w:color w:val="auto"/>
        </w:rPr>
      </w:pPr>
      <w:r>
        <w:rPr>
          <w:rFonts w:ascii="Times New Roman" w:cs="Times New Roman" w:eastAsia="Times New Roman" w:hAnsi="Times New Roman"/>
          <w:sz w:val="18"/>
          <w:szCs w:val="18"/>
          <w:color w:val="auto"/>
        </w:rPr>
        <w:t>deconsolidation of Holdings on February 28, 2025. Holdings generated $284.5 million of net sales during the period from February 28, 2025 to September 30, 2025.</w:t>
      </w:r>
    </w:p>
    <w:p>
      <w:pPr>
        <w:spacing w:after="0" w:line="161" w:lineRule="exact"/>
        <w:rPr>
          <w:sz w:val="20"/>
          <w:szCs w:val="20"/>
          <w:color w:val="auto"/>
        </w:rPr>
      </w:pPr>
    </w:p>
    <w:p>
      <w:pPr>
        <w:ind w:right="120" w:firstLine="6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Domestic: </w:t>
      </w:r>
      <w:r>
        <w:rPr>
          <w:rFonts w:ascii="Times New Roman" w:cs="Times New Roman" w:eastAsia="Times New Roman" w:hAnsi="Times New Roman"/>
          <w:sz w:val="18"/>
          <w:szCs w:val="18"/>
          <w:color w:val="auto"/>
        </w:rPr>
        <w:t>The Company’s domestic net sales for the nine months ended September 30, 2025 decreased $203.5 million, or 79%, to $54.5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$258.0 million for the nine months ended September 30, 2024. Holdings generated $244.5 million of domestic net sales during the period from February 28, 2025 to September 30, 2025.</w:t>
      </w:r>
    </w:p>
    <w:p>
      <w:pPr>
        <w:spacing w:after="0" w:line="68" w:lineRule="exact"/>
        <w:rPr>
          <w:sz w:val="20"/>
          <w:szCs w:val="20"/>
          <w:color w:val="auto"/>
        </w:rPr>
      </w:pPr>
    </w:p>
    <w:p>
      <w:pPr>
        <w:ind w:right="280" w:firstLine="6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Company’s international net sales for the nine months ended September 30, 2025 decreased $56.4 million, or 91%, to $5.3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$61.7 million for the nine months ended September 30, 2024. The international customer base is comprised of a larger population of smaller customers relative to the domestic customer base. Holdings generated $40.1 million of international net sales during the period from February 28, 2025 to September 30, 2025.</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1" w:lineRule="exact"/>
        <w:rPr>
          <w:sz w:val="20"/>
          <w:szCs w:val="20"/>
          <w:color w:val="auto"/>
        </w:rPr>
      </w:pPr>
    </w:p>
    <w:p>
      <w:pPr>
        <w:ind w:right="40" w:firstLine="641"/>
        <w:spacing w:after="0" w:line="277" w:lineRule="auto"/>
        <w:rPr>
          <w:sz w:val="20"/>
          <w:szCs w:val="20"/>
          <w:color w:val="auto"/>
        </w:rPr>
      </w:pPr>
      <w:r>
        <w:rPr>
          <w:rFonts w:ascii="Times New Roman" w:cs="Times New Roman" w:eastAsia="Times New Roman" w:hAnsi="Times New Roman"/>
          <w:sz w:val="17"/>
          <w:szCs w:val="17"/>
          <w:color w:val="auto"/>
        </w:rPr>
        <w:t>The Company’s gross profit for the nine months ended September 30, 2025 decreased $137.9 million, or 83%, to $28.7 million compared to $166.7 million for the nine months ended September 30, 2024, while the gross profit margin decreased from 52% to 48%. The decrease in gross profit was primarily driven by the deconsolidation of Holdings as a result of the Spin-Off on February 28, 2025. Holdings generated $165.9 million of gross profit during the period from February 28, 2025 to September 30, 2025. Gross margin declined as a result of inefficiencies associated with new card constructions.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jc w:val="both"/>
        <w:ind w:right="160" w:firstLine="641"/>
        <w:spacing w:after="0" w:line="255" w:lineRule="auto"/>
        <w:rPr>
          <w:sz w:val="20"/>
          <w:szCs w:val="20"/>
          <w:color w:val="auto"/>
        </w:rPr>
      </w:pPr>
      <w:r>
        <w:rPr>
          <w:rFonts w:ascii="Times New Roman" w:cs="Times New Roman" w:eastAsia="Times New Roman" w:hAnsi="Times New Roman"/>
          <w:sz w:val="18"/>
          <w:szCs w:val="18"/>
          <w:color w:val="auto"/>
        </w:rPr>
        <w:t>The Company’s operating expenses for the nine months ended September 30, 2025 decreased $39.4 million, or 53%, to $35.3 million compared to $74.7 million for the nine months ended September 30, 2024. The decrease was driven primarily by the deconsolidation of Holdings as a result of the Spin-Off on February 28, 2025. Holdings incurred $67.5 million of operating expenses during the period from February 28, 2025 to September 30, 2025.</w:t>
      </w: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costs associated with employees and professional costs at Resolute Holdings prior to the Spin-Off and costs associated with the Spin-Off offset the decrease in operating expenses related to the deconsolidation and Spin-Off.</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(Loss) Income from Operations and Operating Margin</w:t>
      </w:r>
    </w:p>
    <w:p>
      <w:pPr>
        <w:spacing w:after="0" w:line="251"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had a loss from operations of $6.6 million compared to income from operations of $92.0 million for the nine months ended September 30, 2024. The Company’s operating margin for the nine months ended September 30, 2025 decreased to a negative 11% compared to 29% for the nine months ended September 30, 2024. The decrease in income from operations and operating margin was driven primarily by the deconsolidation of Holdings as a result of the Spin-Off on February 28, 2025.</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4"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Other expense for the nine months ended September 30, 2025 was $211.1 million as compared to $126.8 million for the nine months ended September 30, 2024. The change in other expense was primarily due to changes in the fair value of earnout consideration liability, warrant liability and make-whole liability resulting in non-cash expense of $209.9 million for the nine months ended September 30, 2025, compared to $109.8 million for the nine months ended September 30, 2024. The increase was partially offset by a decrease in net interest expense of $14.7 million resulting from the conversion of all Exchangeable Notes into shares of Class A Common Stock during the fourth quarter of 2024 and the deconsolidation of Holdings as a result of the Spin-Off on February 28, 2025. As a result of the deconsolidation, all debt and related interest was removed from the Company's financial position and results of operations.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Earnings in Equity Method Investment</w:t>
      </w:r>
    </w:p>
    <w:p>
      <w:pPr>
        <w:spacing w:after="0" w:line="224" w:lineRule="exact"/>
        <w:rPr>
          <w:sz w:val="20"/>
          <w:szCs w:val="20"/>
          <w:color w:val="auto"/>
        </w:rPr>
      </w:pPr>
    </w:p>
    <w:p>
      <w:pPr>
        <w:ind w:right="80" w:firstLine="641"/>
        <w:spacing w:after="0" w:line="262" w:lineRule="auto"/>
        <w:rPr>
          <w:sz w:val="20"/>
          <w:szCs w:val="20"/>
          <w:color w:val="auto"/>
        </w:rPr>
      </w:pPr>
      <w:r>
        <w:rPr>
          <w:rFonts w:ascii="Times New Roman" w:cs="Times New Roman" w:eastAsia="Times New Roman" w:hAnsi="Times New Roman"/>
          <w:sz w:val="18"/>
          <w:szCs w:val="18"/>
          <w:color w:val="auto"/>
        </w:rPr>
        <w:t>Earnings in CompoSecure Holdings, L.L.C. equity method investment consists of $93.4 million of net income of Holdings attributable to the Company. The equity method investment resulted from the deconsolidation associated with the Spin-Off and related Management Agreement. Refer to Note 5 in the consolidated financial statements for the results of our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4"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7"/>
          <w:szCs w:val="17"/>
          <w:color w:val="auto"/>
        </w:rPr>
        <w:t>The Company's income tax expense for the nine months ended September 30, 2025 was $55.0 million, compared to $0.1 million for the nine months ended September 30, 2024. The increase in tax expense was primarily related to the taxable gain on appreciated property resulting from the Spin-Off.</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11" w:lineRule="exact"/>
        <w:rPr>
          <w:sz w:val="20"/>
          <w:szCs w:val="20"/>
          <w:color w:val="auto"/>
        </w:rPr>
      </w:pPr>
    </w:p>
    <w:p>
      <w:pPr>
        <w:ind w:firstLine="641"/>
        <w:spacing w:after="0" w:line="239" w:lineRule="auto"/>
        <w:rPr>
          <w:sz w:val="20"/>
          <w:szCs w:val="20"/>
          <w:color w:val="auto"/>
        </w:rPr>
      </w:pPr>
      <w:r>
        <w:rPr>
          <w:rFonts w:ascii="Times New Roman" w:cs="Times New Roman" w:eastAsia="Times New Roman" w:hAnsi="Times New Roman"/>
          <w:sz w:val="18"/>
          <w:szCs w:val="18"/>
          <w:color w:val="auto"/>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Adjusted Net Income, and non-GAAP earnings per share are useful to investors in evaluating the Company’s financial performance.</w:t>
      </w:r>
    </w:p>
    <w:p>
      <w:pPr>
        <w:spacing w:after="0" w:line="196" w:lineRule="exact"/>
        <w:rPr>
          <w:sz w:val="20"/>
          <w:szCs w:val="20"/>
          <w:color w:val="auto"/>
        </w:rPr>
      </w:pPr>
    </w:p>
    <w:p>
      <w:pPr>
        <w:ind w:right="20" w:firstLine="641"/>
        <w:spacing w:after="0" w:line="233" w:lineRule="auto"/>
        <w:rPr>
          <w:sz w:val="20"/>
          <w:szCs w:val="20"/>
          <w:color w:val="auto"/>
        </w:rPr>
      </w:pPr>
      <w:r>
        <w:rPr>
          <w:rFonts w:ascii="Times New Roman" w:cs="Times New Roman" w:eastAsia="Times New Roman" w:hAnsi="Times New Roman"/>
          <w:sz w:val="18"/>
          <w:szCs w:val="18"/>
          <w:color w:val="auto"/>
        </w:rPr>
        <w:t>Due to the Spin-Off of Resolute Holdings and the related Management Agreement, and the resulting shift to equity method accounting under GAAP beginning February 28, 2025, CompoSecure is presenting a broader set of non-GAAP measures, including Net Sales and Gross Profit on a consolidated basis, to provide investors with consistent, comparable financial information that better represents the underlying performance of the business across reporting periods.</w:t>
      </w:r>
    </w:p>
    <w:p>
      <w:pPr>
        <w:spacing w:after="0" w:line="211" w:lineRule="exact"/>
        <w:rPr>
          <w:sz w:val="20"/>
          <w:szCs w:val="20"/>
          <w:color w:val="auto"/>
        </w:rPr>
      </w:pPr>
    </w:p>
    <w:p>
      <w:pPr>
        <w:ind w:left="20" w:right="60" w:firstLine="641"/>
        <w:spacing w:after="0" w:line="270" w:lineRule="auto"/>
        <w:rPr>
          <w:sz w:val="20"/>
          <w:szCs w:val="20"/>
          <w:color w:val="auto"/>
        </w:rPr>
      </w:pPr>
      <w:r>
        <w:rPr>
          <w:rFonts w:ascii="Times New Roman" w:cs="Times New Roman" w:eastAsia="Times New Roman" w:hAnsi="Times New Roman"/>
          <w:sz w:val="17"/>
          <w:szCs w:val="17"/>
          <w:color w:val="auto"/>
        </w:rPr>
        <w:t>The Company uses these non-GAAP measures internally to establish forecasts, budgets and operational goals to manage and monitor its business, as well as evaluate its underlying historical performance and measure incentive compensation. We believe that these non-GAAP financial measures depict the true performance of the business by encompassing only relevant and controllable events, enabling the Company to evaluate and plan more effectively for the future. We believe EBITDA and Adjusted EBITDA provide valuable insight into operational efficiency independent of capital structure and tax environment; Adjusted Net Income and Adjusted EPS offer investors a clearer view of ongoing profitability by excluding non-recurring and non-operational items. Additionally, the Company’s debt agreements contain covenants based on variations of these measures for purposes of determining debt covenant compliance. The Company believes that investors should have access to the same set of tools that its management uses in analyzing operating results.</w:t>
      </w:r>
    </w:p>
    <w:p>
      <w:pPr>
        <w:spacing w:after="0" w:line="197" w:lineRule="exact"/>
        <w:rPr>
          <w:sz w:val="20"/>
          <w:szCs w:val="20"/>
          <w:color w:val="auto"/>
        </w:rPr>
      </w:pPr>
    </w:p>
    <w:p>
      <w:pPr>
        <w:ind w:left="20" w:right="100" w:firstLine="641"/>
        <w:spacing w:after="0" w:line="253" w:lineRule="auto"/>
        <w:rPr>
          <w:sz w:val="20"/>
          <w:szCs w:val="20"/>
          <w:color w:val="auto"/>
        </w:rPr>
      </w:pPr>
      <w:r>
        <w:rPr>
          <w:rFonts w:ascii="Times New Roman" w:cs="Times New Roman" w:eastAsia="Times New Roman" w:hAnsi="Times New Roman"/>
          <w:sz w:val="18"/>
          <w:szCs w:val="18"/>
          <w:color w:val="auto"/>
        </w:rPr>
        <w:t>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These non-GAAP measures may be different from similarly titled non-GAAP measures used by other companies.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204" w:lineRule="exact"/>
        <w:rPr>
          <w:sz w:val="20"/>
          <w:szCs w:val="20"/>
          <w:color w:val="auto"/>
        </w:rPr>
      </w:pPr>
    </w:p>
    <w:p>
      <w:pPr>
        <w:ind w:left="20" w:right="200" w:firstLine="641"/>
        <w:spacing w:after="0" w:line="277" w:lineRule="auto"/>
        <w:rPr>
          <w:sz w:val="20"/>
          <w:szCs w:val="20"/>
          <w:color w:val="auto"/>
        </w:rPr>
      </w:pPr>
      <w:r>
        <w:rPr>
          <w:rFonts w:ascii="Times New Roman" w:cs="Times New Roman" w:eastAsia="Times New Roman" w:hAnsi="Times New Roman"/>
          <w:sz w:val="18"/>
          <w:szCs w:val="18"/>
          <w:color w:val="auto"/>
        </w:rPr>
        <w:t>The following unaudited table presents the reconciliation of net (loss) income to EBITDA and Adjusted EBITDA for the three and nine months ended September 30, 2025 and 2024.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p>
        </w:tc>
        <w:tc>
          <w:tcPr>
            <w:tcW w:w="29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40"/>
        </w:trPr>
        <w:tc>
          <w:tcPr>
            <w:tcW w:w="38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74"/>
        </w:trPr>
        <w:tc>
          <w:tcPr>
            <w:tcW w:w="3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4"/>
        </w:trPr>
        <w:tc>
          <w:tcPr>
            <w:tcW w:w="38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40"/>
        </w:trPr>
        <w:tc>
          <w:tcPr>
            <w:tcW w:w="38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(34,804)</w:t>
            </w: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0"/>
        </w:trPr>
        <w:tc>
          <w:tcPr>
            <w:tcW w:w="3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1"/>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(3)</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0"/>
        </w:trPr>
        <w:tc>
          <w:tcPr>
            <w:tcW w:w="3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1"/>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(1)(3)</w:t>
            </w:r>
          </w:p>
        </w:tc>
        <w:tc>
          <w:tcPr>
            <w:tcW w:w="3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(140,811)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(76,981)</w:t>
            </w:r>
          </w:p>
        </w:tc>
        <w:tc>
          <w:tcPr>
            <w:tcW w:w="100" w:type="dxa"/>
            <w:vAlign w:val="bottom"/>
          </w:tcPr>
          <w:p>
            <w:pPr>
              <w:spacing w:after="0"/>
              <w:rPr>
                <w:sz w:val="20"/>
                <w:szCs w:val="20"/>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(10,894)</w:t>
            </w:r>
          </w:p>
        </w:tc>
      </w:tr>
      <w:tr>
        <w:trPr>
          <w:trHeight w:val="40"/>
        </w:trPr>
        <w:tc>
          <w:tcPr>
            <w:tcW w:w="3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1"/>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(3)</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w:t>
            </w: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to market adjustments, net (2)</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108,404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209,883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109,846</w:t>
            </w:r>
          </w:p>
        </w:tc>
      </w:tr>
      <w:tr>
        <w:trPr>
          <w:trHeight w:val="40"/>
        </w:trPr>
        <w:tc>
          <w:tcPr>
            <w:tcW w:w="3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1"/>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earnout cost</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1"/>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Secondary offering transaction costs</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refinance costs</w:t>
            </w:r>
          </w:p>
        </w:tc>
        <w:tc>
          <w:tcPr>
            <w:tcW w:w="3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40"/>
        </w:trPr>
        <w:tc>
          <w:tcPr>
            <w:tcW w:w="3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1"/>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Resolute transactions costs</w:t>
            </w: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Spin-Off costs</w:t>
            </w:r>
          </w:p>
        </w:tc>
        <w:tc>
          <w:tcPr>
            <w:tcW w:w="3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8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9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47,721</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320" w:hanging="313"/>
        <w:spacing w:after="0"/>
        <w:tabs>
          <w:tab w:leader="none" w:pos="32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amortization of deferred financing cost and loss on extinguishment of debt for the three and nine months ended September 30, 2025 and 2024.</w:t>
      </w:r>
    </w:p>
    <w:p>
      <w:pPr>
        <w:spacing w:after="0" w:line="26" w:lineRule="exact"/>
        <w:rPr>
          <w:rFonts w:ascii="Times New Roman" w:cs="Times New Roman" w:eastAsia="Times New Roman" w:hAnsi="Times New Roman"/>
          <w:sz w:val="16"/>
          <w:szCs w:val="16"/>
          <w:i w:val="1"/>
          <w:iCs w:val="1"/>
          <w:color w:val="auto"/>
        </w:rPr>
      </w:pPr>
    </w:p>
    <w:p>
      <w:pPr>
        <w:ind w:left="320" w:right="120" w:hanging="313"/>
        <w:spacing w:after="0" w:line="250" w:lineRule="auto"/>
        <w:tabs>
          <w:tab w:leader="none" w:pos="32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changes in fair value of warrant liability, make-whole provision of Exchangeable Notes and earnout consideration liability for the three and nine months ended September 30, 2025 and 2024.</w:t>
      </w:r>
    </w:p>
    <w:p>
      <w:pPr>
        <w:ind w:left="320" w:hanging="313"/>
        <w:spacing w:after="0"/>
        <w:tabs>
          <w:tab w:leader="none" w:pos="32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presented adjustments include amounts related to both the Company and its equity method investment in Holdings.</w:t>
      </w:r>
    </w:p>
    <w:p>
      <w:pPr>
        <w:spacing w:after="0" w:line="200" w:lineRule="exact"/>
        <w:rPr>
          <w:sz w:val="20"/>
          <w:szCs w:val="20"/>
          <w:color w:val="auto"/>
        </w:rPr>
      </w:pPr>
    </w:p>
    <w:p>
      <w:pPr>
        <w:spacing w:after="0" w:line="275" w:lineRule="exact"/>
        <w:rPr>
          <w:sz w:val="20"/>
          <w:szCs w:val="20"/>
          <w:color w:val="auto"/>
        </w:rPr>
      </w:pPr>
    </w:p>
    <w:p>
      <w:pPr>
        <w:ind w:left="20" w:right="20" w:firstLine="641"/>
        <w:spacing w:after="0" w:line="257" w:lineRule="auto"/>
        <w:rPr>
          <w:sz w:val="20"/>
          <w:szCs w:val="20"/>
          <w:color w:val="auto"/>
        </w:rPr>
      </w:pPr>
      <w:r>
        <w:rPr>
          <w:rFonts w:ascii="Times New Roman" w:cs="Times New Roman" w:eastAsia="Times New Roman" w:hAnsi="Times New Roman"/>
          <w:sz w:val="18"/>
          <w:szCs w:val="18"/>
          <w:color w:val="auto"/>
        </w:rPr>
        <w:t>The following unaudited table presents the non-GAAP earnings per share and reconciliation of GAAP net loss to non-GAAP adjusted net income for the periods indicated below to reflect current and deferred income tax expenses. The below presentation does not include a full tax provision. The Company applies a blended tax rate to its income before taxes and to all adjustments. Additionally, the below table includes Class B shares to eliminate the impact of the Company's historical Up-C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8" w:name="page49"/>
    <w:bookmarkEnd w:id="4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5"/>
        </w:trPr>
        <w:tc>
          <w:tcPr>
            <w:tcW w:w="4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2"/>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7"/>
        </w:trPr>
        <w:tc>
          <w:tcPr>
            <w:tcW w:w="4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0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2"/>
        </w:trPr>
        <w:tc>
          <w:tcPr>
            <w:tcW w:w="4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(34,804)</w:t>
            </w: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Provision for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mark-to-market adjustments (1)</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109,846</w:t>
            </w: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stock-based compensation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Proforma Management fees (2)</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w:t>
            </w: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Additional earnout cost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Transaction cost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Secondary offering transaction costs</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Debt refinance costs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Resolute transactions costs</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Spin-Off costs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before tax</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113,568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83,993</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18,243</w:t>
            </w: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 Basic</w:t>
            </w: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65,750</w:t>
            </w:r>
          </w:p>
        </w:tc>
      </w:tr>
      <w:tr>
        <w:trPr>
          <w:trHeight w:val="32"/>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outstanding used in computing net income per share,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22"/>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A and Class B common shares (4)</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81,303</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share - basic</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r>
      <w:tr>
        <w:trPr>
          <w:trHeight w:val="160"/>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5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15"/>
        </w:trPr>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33,991</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65,750</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Interest on Exchangeable Notes, net of tax (6)</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r>
      <w:tr>
        <w:trPr>
          <w:trHeight w:val="215"/>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used in computing net income per share, diluted</w:t>
            </w: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88,458</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71,093</w:t>
            </w:r>
          </w:p>
        </w:tc>
      </w:tr>
      <w:tr>
        <w:trPr>
          <w:trHeight w:val="32"/>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outstanding used in computing net income per share,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22"/>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Warrants (5)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w:t>
            </w:r>
          </w:p>
        </w:tc>
      </w:tr>
      <w:tr>
        <w:trPr>
          <w:trHeight w:val="32"/>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4"/>
        </w:trPr>
        <w:tc>
          <w:tcPr>
            <w:tcW w:w="4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Exchangeable Notes (6)</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r>
      <w:tr>
        <w:trPr>
          <w:trHeight w:val="222"/>
        </w:trPr>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awards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w:t>
            </w:r>
          </w:p>
        </w:tc>
      </w:tr>
      <w:tr>
        <w:trPr>
          <w:trHeight w:val="32"/>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 outstanding used in computing net income per share - diluted</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117,081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106,860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105,312</w:t>
            </w: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share - diluted</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9"/>
                <w:szCs w:val="19"/>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9"/>
                <w:szCs w:val="19"/>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r>
    </w:tbl>
    <w:p>
      <w:pPr>
        <w:spacing w:after="0" w:line="350" w:lineRule="exact"/>
        <w:rPr>
          <w:sz w:val="20"/>
          <w:szCs w:val="20"/>
          <w:color w:val="auto"/>
        </w:rPr>
      </w:pPr>
    </w:p>
    <w:p>
      <w:pPr>
        <w:ind w:left="240" w:hanging="233"/>
        <w:spacing w:after="0"/>
        <w:tabs>
          <w:tab w:leader="none" w:pos="24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changes in fair value of warrant liability, make-whole provision of Exchangeable Notes and earnout consideration liability.</w:t>
      </w:r>
    </w:p>
    <w:p>
      <w:pPr>
        <w:spacing w:after="0" w:line="23" w:lineRule="exact"/>
        <w:rPr>
          <w:rFonts w:ascii="Times New Roman" w:cs="Times New Roman" w:eastAsia="Times New Roman" w:hAnsi="Times New Roman"/>
          <w:sz w:val="16"/>
          <w:szCs w:val="16"/>
          <w:i w:val="1"/>
          <w:iCs w:val="1"/>
          <w:color w:val="auto"/>
        </w:rPr>
      </w:pPr>
    </w:p>
    <w:p>
      <w:pPr>
        <w:ind w:left="240" w:hanging="233"/>
        <w:spacing w:after="0"/>
        <w:tabs>
          <w:tab w:leader="none" w:pos="24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Pro forma Management Fees represent Management Fees assuming full Management Fees in all periods presented.</w:t>
      </w:r>
    </w:p>
    <w:p>
      <w:pPr>
        <w:spacing w:after="0" w:line="6" w:lineRule="exact"/>
        <w:rPr>
          <w:rFonts w:ascii="Times New Roman" w:cs="Times New Roman" w:eastAsia="Times New Roman" w:hAnsi="Times New Roman"/>
          <w:sz w:val="16"/>
          <w:szCs w:val="16"/>
          <w:i w:val="1"/>
          <w:iCs w:val="1"/>
          <w:color w:val="auto"/>
        </w:rPr>
      </w:pPr>
    </w:p>
    <w:p>
      <w:pPr>
        <w:ind w:left="20" w:right="120" w:hanging="13"/>
        <w:spacing w:after="0" w:line="253" w:lineRule="auto"/>
        <w:tabs>
          <w:tab w:leader="none" w:pos="2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Reflects current and deferred income tax expenses. For the three and nine months ended September 30, 2024 it was calculated using the Company's blended tax rate as if the Company did not have any non-controlling interest associated with its historical Up-C structure. For the three and nine months ended September 30, 2025, it was calculated by applying the Company's assumed effective tax rate.</w:t>
      </w:r>
    </w:p>
    <w:p>
      <w:pPr>
        <w:spacing w:after="0" w:line="2"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Assumes Class A and Class B shares participate in earnings and are outstanding at the end of the period.</w:t>
      </w:r>
    </w:p>
    <w:p>
      <w:pPr>
        <w:spacing w:after="0" w:line="6" w:lineRule="exact"/>
        <w:rPr>
          <w:rFonts w:ascii="Times New Roman" w:cs="Times New Roman" w:eastAsia="Times New Roman" w:hAnsi="Times New Roman"/>
          <w:sz w:val="16"/>
          <w:szCs w:val="16"/>
          <w:i w:val="1"/>
          <w:iCs w:val="1"/>
          <w:color w:val="auto"/>
        </w:rPr>
      </w:pPr>
    </w:p>
    <w:p>
      <w:pPr>
        <w:ind w:left="20" w:right="200" w:hanging="13"/>
        <w:spacing w:after="0" w:line="252" w:lineRule="auto"/>
        <w:tabs>
          <w:tab w:leader="none" w:pos="242"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Assumes treasury stock method, valuation at assumed fair market value of $17.30 and $13.99 for the three and nine months ended September 30, 2025, respectively and $18.00 for the three and nine months ended September 30, 2024.</w:t>
      </w:r>
    </w:p>
    <w:p>
      <w:pPr>
        <w:spacing w:after="0" w:line="1" w:lineRule="exact"/>
        <w:rPr>
          <w:rFonts w:ascii="Times New Roman" w:cs="Times New Roman" w:eastAsia="Times New Roman" w:hAnsi="Times New Roman"/>
          <w:sz w:val="16"/>
          <w:szCs w:val="16"/>
          <w:i w:val="1"/>
          <w:iCs w:val="1"/>
          <w:color w:val="auto"/>
        </w:rPr>
      </w:pPr>
    </w:p>
    <w:p>
      <w:pPr>
        <w:ind w:left="20" w:right="100" w:hanging="13"/>
        <w:spacing w:after="0" w:line="265" w:lineRule="auto"/>
        <w:tabs>
          <w:tab w:leader="none" w:pos="242"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Exchangeable Notes were included through the application of the "if-converted" method. Interest related to the Exchangeable Notes, net of tax was excluded from net income. No Exchangeable Notes were outstanding during the three and nine months ended September 30, 2025.</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9" w:name="page50"/>
    <w:bookmarkEnd w:id="49"/>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1" w:lineRule="exact"/>
        <w:rPr>
          <w:sz w:val="20"/>
          <w:szCs w:val="20"/>
          <w:color w:val="auto"/>
        </w:rPr>
      </w:pPr>
    </w:p>
    <w:p>
      <w:pPr>
        <w:ind w:right="2940" w:firstLine="641"/>
        <w:spacing w:after="0" w:line="277" w:lineRule="auto"/>
        <w:rPr>
          <w:sz w:val="20"/>
          <w:szCs w:val="20"/>
          <w:color w:val="auto"/>
        </w:rPr>
      </w:pPr>
      <w:r>
        <w:rPr>
          <w:rFonts w:ascii="Times New Roman" w:cs="Times New Roman" w:eastAsia="Times New Roman" w:hAnsi="Times New Roman"/>
          <w:sz w:val="18"/>
          <w:szCs w:val="18"/>
          <w:color w:val="auto"/>
        </w:rPr>
        <w:t>Critical accounting policies are detailed in the Company’s Annual Report on Form 10-K for the year ended December 31, 2024.</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to the accounting policies detailed in the Company's Annual Report on Form 10-K for the year ended</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December 31, 2024, as a result of the Spin-Off of Resolute Holdings, which occurred on February 28, 2025, and resulting from Holdings entering into the Management Agreement with Resolute Holdings, the Company determined that Holdings is a VIE for which the Company is not the primary beneficiary, as the Company does not have the power to direct the activities of Holdings that most significantly impact its economic performance. Therefore, the results of operations and cash flows of the Company's wholly-owned subsidiary, Holdings, and the operating companies which are its subsidiaries, are not consolidated in the financial statements and, instead, are accounted for under the equity method of accounting. The accounting policy for the equity method of accounting applied by the Company is disclosed in Note 2 of the Notes to Financial Statements - unaudited in Item 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Policies</w:t>
      </w:r>
    </w:p>
    <w:p>
      <w:pPr>
        <w:spacing w:after="0" w:line="224" w:lineRule="exact"/>
        <w:rPr>
          <w:sz w:val="20"/>
          <w:szCs w:val="20"/>
          <w:color w:val="auto"/>
        </w:rPr>
      </w:pPr>
    </w:p>
    <w:p>
      <w:pPr>
        <w:ind w:right="2440" w:firstLine="641"/>
        <w:spacing w:after="0" w:line="262" w:lineRule="auto"/>
        <w:rPr>
          <w:sz w:val="20"/>
          <w:szCs w:val="20"/>
          <w:color w:val="auto"/>
        </w:rPr>
      </w:pPr>
      <w:r>
        <w:rPr>
          <w:rFonts w:ascii="Times New Roman" w:cs="Times New Roman" w:eastAsia="Times New Roman" w:hAnsi="Times New Roman"/>
          <w:sz w:val="18"/>
          <w:szCs w:val="18"/>
          <w:color w:val="auto"/>
        </w:rPr>
        <w:t>Reference is made to Note 2 of Notes to Financial Statements - unaudited in Item 1, “Financial Statements,” for information concerning recent accounting pronouncements since the filing of the Company’s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ind w:right="140" w:firstLine="641"/>
        <w:spacing w:after="0" w:line="253" w:lineRule="auto"/>
        <w:rPr>
          <w:sz w:val="20"/>
          <w:szCs w:val="20"/>
          <w:color w:val="auto"/>
        </w:rPr>
      </w:pPr>
      <w:r>
        <w:rPr>
          <w:rFonts w:ascii="Times New Roman" w:cs="Times New Roman" w:eastAsia="Times New Roman" w:hAnsi="Times New Roman"/>
          <w:sz w:val="18"/>
          <w:szCs w:val="18"/>
          <w:color w:val="auto"/>
        </w:rPr>
        <w:t>CompoSecure, Inc.'s primary sources of liquidity are its existing cash and cash equivalents balances, proceeds from the exercise of warrants, funding from its wholly owned subsidiary, Holdings, which are treated as distributions from Holdings to the Company and potential proceeds from the sale of stock. The Company’s primary cash requirements include limited operating expenses relating primarily to public company expenses such as D&amp;O insurance, professional fees, and stock exchange listing fees. Holdings' primary sources of liquidity are its existing cash and cash equivalents balances, cash flows from operations and borrowings on its term loan and revolving credit facility. Holdings’ primary cash requirements include operating expenses, debt service payments (principal and interest), and capital expenditures (including property and equipment).</w:t>
      </w:r>
    </w:p>
    <w:p>
      <w:pPr>
        <w:spacing w:after="0" w:line="187" w:lineRule="exact"/>
        <w:rPr>
          <w:sz w:val="20"/>
          <w:szCs w:val="20"/>
          <w:color w:val="auto"/>
        </w:rPr>
      </w:pPr>
    </w:p>
    <w:p>
      <w:pPr>
        <w:ind w:right="180" w:firstLine="641"/>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 had cash and cash equivalents of $127.4 million and Holdings had cash and cash equivalents of $97.2 million, investment in US treasury bills of $40.7 million and total debt principal outstanding of $190.0 million. As of December 31, 2024, the Company, including Holdings, had cash and cash equivalents of $77.5 million and total debt principal outstanding of $197.5 million. The decrease in cash and cash equivalents and debt of the Company resulted from the adoption of equity method accounting presentation for Holdings on February 28, 2025 as a result of the Spin-Off and Management Agreement.</w:t>
      </w:r>
    </w:p>
    <w:p>
      <w:pPr>
        <w:spacing w:after="0" w:line="210"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The Company believes that available cash and cash equivalents at September 30, 2025 of $97.2 million are sufficient to meet the liquidity needs of the Company. The Company anticipates that to the extent that the Company and/or Holdings requires additional liquidity, it will be funded through borrowings on Holdings' revolving credit facility, the incurrence of other indebtedness, or a combination thereof and/or offering of the Company's equity or debt securities in capital markets. The Company cannot be assured that it or Holdings will be able to obtain this additional liquidity on reasonable terms, or at all. Additionally, the liquidity of the Company and Holdings and their ability to meet their obligations and their capital requirements are also dependent on the future financial performance of Holdings, which is subject to general economic, financial and other factors that are beyond its control. Accordingly, the Company cannot be assured that Holdings will generate sufficient cash flows from operations or that future capital will be available from additional indebtedness or other sources to meet the liquidity needs of the Company and Holdings. The Company has announced plans to use acquisitions as part of its growth strategy. As the Company has pursues acquisitions, the Company and/or Holdings may incur additional equity or debt financings to complete such acquisitions.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Operations</w:t>
      </w:r>
    </w:p>
    <w:p>
      <w:pPr>
        <w:spacing w:after="0" w:line="224"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Cash used in the Company’s operating activities for the nine months ended September 30, 2025 was $8.9 million as compared to cash provided by operating activities of $95.4 million during the nine months ended September 30, 2024. The decrease in cash provided by operating activities of $104.3 million was primarily attributable to decreases in net loss of $144.5 million, non-cash charges of $18.6 million and equity in net income of Holdings of $93.4 million. These decreases were partially offset by a distributions from Holdings of $21.7 million, an increase in working capital of $28.9 million and changes in mark to market fair values of $100.0 million.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w:t>
      </w:r>
    </w:p>
    <w:p>
      <w:pPr>
        <w:spacing w:after="0" w:line="224" w:lineRule="exact"/>
        <w:rPr>
          <w:sz w:val="20"/>
          <w:szCs w:val="20"/>
          <w:color w:val="auto"/>
        </w:rPr>
      </w:pPr>
    </w:p>
    <w:p>
      <w:pPr>
        <w:ind w:right="80" w:firstLine="641"/>
        <w:spacing w:after="0" w:line="262" w:lineRule="auto"/>
        <w:rPr>
          <w:sz w:val="20"/>
          <w:szCs w:val="20"/>
          <w:color w:val="auto"/>
        </w:rPr>
      </w:pPr>
      <w:r>
        <w:rPr>
          <w:rFonts w:ascii="Times New Roman" w:cs="Times New Roman" w:eastAsia="Times New Roman" w:hAnsi="Times New Roman"/>
          <w:sz w:val="18"/>
          <w:szCs w:val="18"/>
          <w:color w:val="auto"/>
        </w:rPr>
        <w:t>Cash used in the Company’s investing activities for the nine months ended September 30, 2025 was $60.7 million, primarily related to cash and cash equivalents that were deconsolidated as a result of the Spin-Off and commencement of the Management Agreement compared to cash used in investing activities for the nine months ended September 30, 2024 of $5.5 million which was primarily attributable to purchases of equipment.</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w:t>
      </w:r>
    </w:p>
    <w:p>
      <w:pPr>
        <w:spacing w:after="0" w:line="251" w:lineRule="exact"/>
        <w:rPr>
          <w:sz w:val="20"/>
          <w:szCs w:val="20"/>
          <w:color w:val="auto"/>
        </w:rPr>
      </w:pPr>
    </w:p>
    <w:p>
      <w:pPr>
        <w:jc w:val="both"/>
        <w:ind w:right="60" w:firstLine="641"/>
        <w:spacing w:after="0" w:line="262" w:lineRule="auto"/>
        <w:rPr>
          <w:sz w:val="20"/>
          <w:szCs w:val="20"/>
          <w:color w:val="auto"/>
        </w:rPr>
      </w:pPr>
      <w:r>
        <w:rPr>
          <w:rFonts w:ascii="Times New Roman" w:cs="Times New Roman" w:eastAsia="Times New Roman" w:hAnsi="Times New Roman"/>
          <w:sz w:val="18"/>
          <w:szCs w:val="18"/>
          <w:color w:val="auto"/>
        </w:rPr>
        <w:t>Cash provided by the Company’s financing activities for the nine months ended September 30, 2025 was $119.5 million, compared to cash used in the Company's financing activities for the nine months ended September 30, 2024 of $78.5 million. Cash provided in financing activities for the nine months ended September 30, 2025 primarily related to proceeds from the exercise of warrants of $154.4 million offset by $18.0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1" w:name="page52"/>
    <w:bookmarkEnd w:id="51"/>
    <w:p>
      <w:pPr>
        <w:ind w:right="80"/>
        <w:spacing w:after="0" w:line="253" w:lineRule="auto"/>
        <w:rPr>
          <w:sz w:val="20"/>
          <w:szCs w:val="20"/>
          <w:color w:val="auto"/>
        </w:rPr>
      </w:pPr>
      <w:r>
        <w:rPr>
          <w:rFonts w:ascii="Times New Roman" w:cs="Times New Roman" w:eastAsia="Times New Roman" w:hAnsi="Times New Roman"/>
          <w:sz w:val="18"/>
          <w:szCs w:val="18"/>
          <w:color w:val="auto"/>
        </w:rPr>
        <w:t>payments for taxes related to net share settlement of equity awards, purchase of treasury shares of $12.2 million and payment of TRA liability of $4.7 million. Cash used in financing activities for the nine months ended September 30, 2024 primarily related to distributions to non-controlling interest holders of $34.9 million, special distribution to non-controlling interest holders of $15.6 million, repayment of scheduled term loan principal payments of $10.3 million, dividends to holders of the Company's Class A Common Stock of $8.9 million, payments for taxes relating to net settlement of vested RSUs of $8.5 million, deferred financing cost relating to debt modification of $1.9 million and payment of tax receivable agreement liability of $1.3 million These uses were partially offset by proceeds of $2.9 million from the exercise of stock options and issuance of shares for ESPP transactions.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1"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A summary of the minimum contractual obligations of Holdings relating to its material outstanding contractual commitments is included in Notes 7, 8 and 16 of our Annual Report on Form 10-K for the year ended December 31, 2024 as filed with the SEC. Holdings long-term contractual obligations include commitments and estimated purchase obligations entered into in the normal course of business. The Company did not have any material contractual obligations.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51" w:lineRule="exact"/>
        <w:rPr>
          <w:sz w:val="20"/>
          <w:szCs w:val="20"/>
          <w:color w:val="auto"/>
        </w:rPr>
      </w:pPr>
    </w:p>
    <w:p>
      <w:pPr>
        <w:jc w:val="both"/>
        <w:ind w:right="60" w:firstLine="641"/>
        <w:spacing w:after="0" w:line="262" w:lineRule="auto"/>
        <w:rPr>
          <w:sz w:val="20"/>
          <w:szCs w:val="20"/>
          <w:color w:val="auto"/>
        </w:rPr>
      </w:pPr>
      <w:r>
        <w:rPr>
          <w:rFonts w:ascii="Times New Roman" w:cs="Times New Roman" w:eastAsia="Times New Roman" w:hAnsi="Times New Roman"/>
          <w:sz w:val="18"/>
          <w:szCs w:val="18"/>
          <w:color w:val="auto"/>
        </w:rPr>
        <w:t>The Company is party to the Holdings Credit Facility with various banks. For more information on the Holdings Credit Facility, see "Management's Discussion and Analysis of Financial Condition and Results of Operations" and Note 6 to the Company's financial statements included in its Annual Report on Form 10-K for the fiscal year ended December 31, 2024, filed with the SEC on March 5, 2025.</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In addition to existing cash balances and cash provided by operating activities of Holdings, Holdings uses variable rate debt to finance its operations. Holdings is exposed to interest rate risk on these debt obligations and a related interest rate swap agreement. As of September 30, 2025, Holdings had $190.0 million in debt outstanding under the Holdings Credit Facility, all of which was variable rate debt.</w:t>
      </w:r>
    </w:p>
    <w:p>
      <w:pPr>
        <w:spacing w:after="0" w:line="204" w:lineRule="exact"/>
        <w:rPr>
          <w:sz w:val="20"/>
          <w:szCs w:val="20"/>
          <w:color w:val="auto"/>
        </w:rPr>
      </w:pPr>
    </w:p>
    <w:p>
      <w:pPr>
        <w:jc w:val="both"/>
        <w:ind w:right="60" w:firstLine="641"/>
        <w:spacing w:after="0" w:line="257" w:lineRule="auto"/>
        <w:rPr>
          <w:sz w:val="20"/>
          <w:szCs w:val="20"/>
          <w:color w:val="auto"/>
        </w:rPr>
      </w:pPr>
      <w:r>
        <w:rPr>
          <w:rFonts w:ascii="Times New Roman" w:cs="Times New Roman" w:eastAsia="Times New Roman" w:hAnsi="Times New Roman"/>
          <w:sz w:val="18"/>
          <w:szCs w:val="18"/>
          <w:color w:val="auto"/>
        </w:rPr>
        <w:t>The Company performed a sensitivity analysis based on the principal amount of Holdings debt outstanding as of September 30, 2025, as well as the effect of the Holdings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$1.9 million on an annual basis.</w:t>
      </w:r>
    </w:p>
    <w:p>
      <w:pPr>
        <w:spacing w:after="0" w:line="209" w:lineRule="exact"/>
        <w:rPr>
          <w:sz w:val="20"/>
          <w:szCs w:val="20"/>
          <w:color w:val="auto"/>
        </w:rPr>
      </w:pPr>
    </w:p>
    <w:p>
      <w:pPr>
        <w:ind w:right="160" w:firstLine="641"/>
        <w:spacing w:after="0" w:line="277" w:lineRule="auto"/>
        <w:rPr>
          <w:sz w:val="20"/>
          <w:szCs w:val="20"/>
          <w:color w:val="auto"/>
        </w:rPr>
      </w:pPr>
      <w:r>
        <w:rPr>
          <w:rFonts w:ascii="Times New Roman" w:cs="Times New Roman" w:eastAsia="Times New Roman" w:hAnsi="Times New Roman"/>
          <w:sz w:val="18"/>
          <w:szCs w:val="18"/>
          <w:color w:val="auto"/>
        </w:rPr>
        <w:t>On January 11, 2022, Holdings entered into an interest rate swap agreement to hedge forecasted interest rate payments on its variable rate debt. As of September 30, 2025, Holdings had the following interest rate swap agreements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Dates</w:t>
            </w:r>
          </w:p>
        </w:tc>
        <w:tc>
          <w:tcPr>
            <w:tcW w:w="200" w:type="dxa"/>
            <w:vAlign w:val="bottom"/>
          </w:tcPr>
          <w:p>
            <w:pPr>
              <w:spacing w:after="0"/>
              <w:rPr>
                <w:sz w:val="20"/>
                <w:szCs w:val="20"/>
                <w:color w:val="auto"/>
              </w:rPr>
            </w:pPr>
          </w:p>
        </w:tc>
        <w:tc>
          <w:tcPr>
            <w:tcW w:w="2400" w:type="dxa"/>
            <w:vAlign w:val="bottom"/>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w w:val="98"/>
              </w:rPr>
              <w:t>Fixed Rate</w:t>
            </w:r>
          </w:p>
        </w:tc>
      </w:tr>
      <w:tr>
        <w:trPr>
          <w:trHeight w:val="40"/>
        </w:trPr>
        <w:tc>
          <w:tcPr>
            <w:tcW w:w="7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74"/>
        </w:trPr>
        <w:tc>
          <w:tcPr>
            <w:tcW w:w="7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in thousands)</w:t>
            </w:r>
          </w:p>
        </w:tc>
        <w:tc>
          <w:tcPr>
            <w:tcW w:w="1440" w:type="dxa"/>
            <w:vAlign w:val="bottom"/>
            <w:tcBorders>
              <w:bottom w:val="single" w:sz="8" w:color="CCEEFF"/>
            </w:tcBorders>
            <w:shd w:val="clear" w:color="auto" w:fill="CCEEFF"/>
          </w:tcPr>
          <w:p>
            <w:pPr>
              <w:spacing w:after="0"/>
              <w:rPr>
                <w:sz w:val="23"/>
                <w:szCs w:val="23"/>
                <w:color w:val="auto"/>
              </w:rPr>
            </w:pPr>
          </w:p>
        </w:tc>
      </w:tr>
      <w:tr>
        <w:trPr>
          <w:trHeight w:val="234"/>
        </w:trPr>
        <w:tc>
          <w:tcPr>
            <w:tcW w:w="7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5, 2023 through December 22, 2025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top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rPr>
              <w:t>125,000</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bl>
    <w:p>
      <w:pPr>
        <w:spacing w:after="0" w:line="3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terms of the interest rate swap agreement, Holdings receives payments based on the greater of 1-month SOFR rate or a minimum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2" w:name="page53"/>
    <w:bookmarkEnd w:id="52"/>
    <w:p>
      <w:pPr>
        <w:ind w:right="100" w:firstLine="641"/>
        <w:spacing w:after="0" w:line="247" w:lineRule="auto"/>
        <w:rPr>
          <w:sz w:val="20"/>
          <w:szCs w:val="20"/>
          <w:color w:val="auto"/>
        </w:rPr>
      </w:pPr>
      <w:r>
        <w:rPr>
          <w:rFonts w:ascii="Times New Roman" w:cs="Times New Roman" w:eastAsia="Times New Roman" w:hAnsi="Times New Roman"/>
          <w:sz w:val="18"/>
          <w:szCs w:val="18"/>
          <w:color w:val="auto"/>
        </w:rPr>
        <w:t>Holdings has designated the interest rate swap as a cash flow hedge for accounting purposes that was determined to be effective. Holdings reflects the unrealized changes in fair value of the interest rate swap at each reporting period in other comprehensive income and a derivative asset or liability is recognized at each reporting period in the its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4" w:lineRule="exact"/>
        <w:rPr>
          <w:sz w:val="20"/>
          <w:szCs w:val="20"/>
          <w:color w:val="auto"/>
        </w:rPr>
      </w:pPr>
    </w:p>
    <w:p>
      <w:pPr>
        <w:ind w:right="140" w:firstLine="641"/>
        <w:spacing w:after="0" w:line="277" w:lineRule="auto"/>
        <w:rPr>
          <w:sz w:val="20"/>
          <w:szCs w:val="20"/>
          <w:color w:val="auto"/>
        </w:rPr>
      </w:pPr>
      <w:r>
        <w:rPr>
          <w:rFonts w:ascii="Times New Roman" w:cs="Times New Roman" w:eastAsia="Times New Roman" w:hAnsi="Times New Roman"/>
          <w:sz w:val="17"/>
          <w:szCs w:val="17"/>
          <w:color w:val="auto"/>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spacing w:after="0" w:line="193" w:lineRule="exact"/>
        <w:rPr>
          <w:sz w:val="20"/>
          <w:szCs w:val="20"/>
          <w:color w:val="auto"/>
        </w:rPr>
      </w:pPr>
    </w:p>
    <w:p>
      <w:pPr>
        <w:ind w:firstLine="641"/>
        <w:spacing w:after="0" w:line="253"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September 30, 2025. Based on this evaluation, our principal executive officer and our principal financial officer concluded that our disclosure controls and procedures as of September 30, 2025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214" w:lineRule="exact"/>
        <w:rPr>
          <w:sz w:val="20"/>
          <w:szCs w:val="20"/>
          <w:color w:val="auto"/>
        </w:rPr>
      </w:pPr>
    </w:p>
    <w:p>
      <w:pPr>
        <w:jc w:val="both"/>
        <w:ind w:right="80" w:firstLine="641"/>
        <w:spacing w:after="0" w:line="257"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ind w:right="280" w:firstLine="641"/>
        <w:spacing w:after="0" w:line="277"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2025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390" w:right="419" w:bottom="1440" w:gutter="0" w:footer="0" w:header="0"/>
        </w:sectPr>
      </w:pPr>
    </w:p>
    <w:bookmarkStart w:id="53" w:name="page54"/>
    <w:bookmarkEnd w:id="53"/>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4" w:lineRule="exact"/>
        <w:rPr>
          <w:sz w:val="20"/>
          <w:szCs w:val="20"/>
          <w:color w:val="auto"/>
        </w:rPr>
      </w:pPr>
    </w:p>
    <w:p>
      <w:pPr>
        <w:ind w:right="40" w:firstLine="641"/>
        <w:spacing w:after="0" w:line="277" w:lineRule="auto"/>
        <w:rPr>
          <w:sz w:val="20"/>
          <w:szCs w:val="20"/>
          <w:color w:val="auto"/>
        </w:rPr>
      </w:pPr>
      <w:r>
        <w:rPr>
          <w:rFonts w:ascii="Times New Roman" w:cs="Times New Roman" w:eastAsia="Times New Roman" w:hAnsi="Times New Roman"/>
          <w:sz w:val="18"/>
          <w:szCs w:val="18"/>
          <w:color w:val="auto"/>
        </w:rPr>
        <w:t>As of October 30, 2025, the Company was not a party to, nor were any of its properties the subject of, any material pending legal proceedings, other than ordinary routine claims incidental to the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222"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212" w:lineRule="exact"/>
        <w:rPr>
          <w:sz w:val="20"/>
          <w:szCs w:val="20"/>
          <w:color w:val="auto"/>
        </w:rPr>
      </w:pPr>
    </w:p>
    <w:p>
      <w:pPr>
        <w:ind w:left="640" w:hanging="313"/>
        <w:spacing w:after="0"/>
        <w:tabs>
          <w:tab w:leader="none" w:pos="640" w:val="left"/>
        </w:tabs>
        <w:numPr>
          <w:ilvl w:val="0"/>
          <w:numId w:val="14"/>
        </w:numPr>
        <w:rPr>
          <w:rFonts w:ascii="Arial" w:cs="Arial" w:eastAsia="Arial" w:hAnsi="Arial"/>
          <w:sz w:val="21"/>
          <w:szCs w:val="21"/>
          <w:i w:val="1"/>
          <w:iCs w:val="1"/>
          <w:color w:val="auto"/>
        </w:rPr>
      </w:pPr>
      <w:r>
        <w:rPr>
          <w:rFonts w:ascii="Times New Roman" w:cs="Times New Roman" w:eastAsia="Times New Roman" w:hAnsi="Times New Roman"/>
          <w:sz w:val="18"/>
          <w:szCs w:val="18"/>
          <w:color w:val="auto"/>
        </w:rPr>
        <w:t>Risks Related to our Business</w:t>
      </w:r>
    </w:p>
    <w:p>
      <w:pPr>
        <w:spacing w:after="0" w:line="1" w:lineRule="exact"/>
        <w:rPr>
          <w:rFonts w:ascii="Arial" w:cs="Arial" w:eastAsia="Arial" w:hAnsi="Arial"/>
          <w:sz w:val="21"/>
          <w:szCs w:val="21"/>
          <w:i w:val="1"/>
          <w:iCs w:val="1"/>
          <w:color w:val="auto"/>
        </w:rPr>
      </w:pPr>
    </w:p>
    <w:p>
      <w:pPr>
        <w:ind w:left="1280" w:right="40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evolving domestic and global economic conditions are beyond our control and could materially adversely affect our business, operations, and results of operations.</w:t>
      </w:r>
    </w:p>
    <w:p>
      <w:pPr>
        <w:ind w:left="1280" w:right="48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existing customers or identify and attract new customers could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1280" w:right="24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us to identify, manage, integrate and complete acquisitions and other significant transactions successfully could harm our financial results, business and prospects.</w:t>
      </w:r>
    </w:p>
    <w:p>
      <w:pPr>
        <w:spacing w:after="0" w:line="1" w:lineRule="exact"/>
        <w:rPr>
          <w:rFonts w:ascii="Times New Roman" w:cs="Times New Roman" w:eastAsia="Times New Roman" w:hAnsi="Times New Roman"/>
          <w:sz w:val="18"/>
          <w:szCs w:val="18"/>
          <w:color w:val="auto"/>
        </w:rPr>
      </w:pPr>
    </w:p>
    <w:p>
      <w:pPr>
        <w:ind w:left="1280" w:right="42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outages, data loss or other interruptions affecting our operations could adversely affect our business and reputation.</w:t>
      </w:r>
    </w:p>
    <w:p>
      <w:pPr>
        <w:spacing w:after="0" w:line="6" w:lineRule="exact"/>
        <w:rPr>
          <w:rFonts w:ascii="Times New Roman" w:cs="Times New Roman" w:eastAsia="Times New Roman" w:hAnsi="Times New Roman"/>
          <w:sz w:val="18"/>
          <w:szCs w:val="18"/>
          <w:color w:val="auto"/>
        </w:rPr>
      </w:pPr>
    </w:p>
    <w:p>
      <w:pPr>
        <w:ind w:left="1280" w:right="34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retain and develop qualified personnel, including for areas of newer specialized technology which could adversely affect our ability to grow our business.</w:t>
      </w:r>
    </w:p>
    <w:p>
      <w:pPr>
        <w:spacing w:after="0" w:line="1" w:lineRule="exact"/>
        <w:rPr>
          <w:rFonts w:ascii="Times New Roman" w:cs="Times New Roman" w:eastAsia="Times New Roman" w:hAnsi="Times New Roman"/>
          <w:sz w:val="18"/>
          <w:szCs w:val="18"/>
          <w:color w:val="auto"/>
        </w:rPr>
      </w:pPr>
    </w:p>
    <w:p>
      <w:pPr>
        <w:ind w:left="1280" w:right="46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may depend upon our ability to develop and commercialize new products, and we may be unable to introduce new products and services in a timely manner.</w:t>
      </w:r>
    </w:p>
    <w:p>
      <w:pPr>
        <w:spacing w:after="0" w:line="1" w:lineRule="exact"/>
        <w:rPr>
          <w:rFonts w:ascii="Times New Roman" w:cs="Times New Roman" w:eastAsia="Times New Roman" w:hAnsi="Times New Roman"/>
          <w:sz w:val="18"/>
          <w:szCs w:val="18"/>
          <w:color w:val="auto"/>
        </w:rPr>
      </w:pPr>
    </w:p>
    <w:p>
      <w:pPr>
        <w:ind w:left="1280" w:right="12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or supply chain or the performance of our suppliers and/or development partners could adversely affect our business and financial results.</w:t>
      </w:r>
    </w:p>
    <w:p>
      <w:pPr>
        <w:spacing w:after="0" w:line="1" w:lineRule="exact"/>
        <w:rPr>
          <w:rFonts w:ascii="Times New Roman" w:cs="Times New Roman" w:eastAsia="Times New Roman" w:hAnsi="Times New Roman"/>
          <w:sz w:val="18"/>
          <w:szCs w:val="18"/>
          <w:color w:val="auto"/>
        </w:rPr>
      </w:pPr>
    </w:p>
    <w:p>
      <w:pPr>
        <w:ind w:left="1280" w:right="120" w:hanging="311"/>
        <w:spacing w:after="0" w:line="247"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 digital assets industry and may not succeed in fully commercializing the products and solutions derived from the Arculus technology.</w:t>
      </w:r>
    </w:p>
    <w:p>
      <w:pPr>
        <w:spacing w:after="0" w:line="1" w:lineRule="exact"/>
        <w:rPr>
          <w:rFonts w:ascii="Times New Roman" w:cs="Times New Roman" w:eastAsia="Times New Roman" w:hAnsi="Times New Roman"/>
          <w:sz w:val="18"/>
          <w:szCs w:val="18"/>
          <w:color w:val="auto"/>
        </w:rPr>
      </w:pPr>
    </w:p>
    <w:p>
      <w:pPr>
        <w:ind w:left="1280" w:right="520" w:hanging="311"/>
        <w:spacing w:after="0" w:line="254" w:lineRule="auto"/>
        <w:tabs>
          <w:tab w:leader="none" w:pos="127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w:t>
      </w:r>
    </w:p>
    <w:p>
      <w:pPr>
        <w:spacing w:after="0" w:line="1" w:lineRule="exact"/>
        <w:rPr>
          <w:rFonts w:ascii="Times New Roman" w:cs="Times New Roman" w:eastAsia="Times New Roman" w:hAnsi="Times New Roman"/>
          <w:sz w:val="17"/>
          <w:szCs w:val="17"/>
          <w:color w:val="auto"/>
        </w:rPr>
      </w:pPr>
    </w:p>
    <w:p>
      <w:pPr>
        <w:ind w:left="1280" w:right="560" w:hanging="311"/>
        <w:spacing w:after="0" w:line="232"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U.S. tariffs or other trade restrictions on the imported raw materials we depend on, and any retaliatory measures by other countries, could drive up our costs and materially harm our revenue, margins and overall results of operations.</w:t>
      </w:r>
    </w:p>
    <w:p>
      <w:pPr>
        <w:ind w:left="1280" w:hanging="311"/>
        <w:spacing w:after="0"/>
        <w:tabs>
          <w:tab w:leader="none" w:pos="12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quality and manufacturing process disruptions could adversely affect our business.</w:t>
      </w:r>
    </w:p>
    <w:p>
      <w:pPr>
        <w:spacing w:after="0" w:line="5" w:lineRule="exact"/>
        <w:rPr>
          <w:rFonts w:ascii="Times New Roman" w:cs="Times New Roman" w:eastAsia="Times New Roman" w:hAnsi="Times New Roman"/>
          <w:sz w:val="18"/>
          <w:szCs w:val="18"/>
          <w:color w:val="auto"/>
        </w:rPr>
      </w:pPr>
    </w:p>
    <w:p>
      <w:pPr>
        <w:ind w:left="640" w:hanging="313"/>
        <w:spacing w:after="0" w:line="238" w:lineRule="auto"/>
        <w:tabs>
          <w:tab w:leader="none" w:pos="64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8"/>
          <w:szCs w:val="18"/>
          <w:color w:val="auto"/>
        </w:rPr>
        <w:t>Risks Related to the Tungsten Transaction</w:t>
      </w:r>
    </w:p>
    <w:p>
      <w:pPr>
        <w:spacing w:after="0" w:line="2" w:lineRule="exact"/>
        <w:rPr>
          <w:rFonts w:ascii="Arial" w:cs="Arial" w:eastAsia="Arial" w:hAnsi="Arial"/>
          <w:sz w:val="21"/>
          <w:szCs w:val="21"/>
          <w:color w:val="auto"/>
        </w:rPr>
      </w:pPr>
    </w:p>
    <w:p>
      <w:pPr>
        <w:ind w:left="1280" w:hanging="311"/>
        <w:spacing w:after="0" w:line="247" w:lineRule="auto"/>
        <w:tabs>
          <w:tab w:leader="none" w:pos="13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are no longer a "controlled company" within the meaning of the New York Stock Exchange rules, we are relying on exemptions from certain corporate governance requirements during a one-year transition period.</w:t>
      </w: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Management Agreement</w:t>
      </w:r>
    </w:p>
    <w:p>
      <w:pPr>
        <w:spacing w:after="0" w:line="6" w:lineRule="exact"/>
        <w:rPr>
          <w:rFonts w:ascii="Times New Roman" w:cs="Times New Roman" w:eastAsia="Times New Roman" w:hAnsi="Times New Roman"/>
          <w:sz w:val="18"/>
          <w:szCs w:val="18"/>
          <w:color w:val="auto"/>
        </w:rPr>
      </w:pPr>
    </w:p>
    <w:p>
      <w:pPr>
        <w:ind w:left="1280" w:hanging="311"/>
        <w:spacing w:after="0" w:line="255" w:lineRule="auto"/>
        <w:tabs>
          <w:tab w:leader="none" w:pos="127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Resolute Holdings for management services under the Management Agreement exposes us to risks including those related to Resolute Holdings' substantial influence over our business, operations,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25"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may limit our operating flexibility.</w:t>
      </w:r>
    </w:p>
    <w:p>
      <w:pPr>
        <w:spacing w:after="0" w:line="6" w:lineRule="exact"/>
        <w:rPr>
          <w:rFonts w:ascii="Times New Roman" w:cs="Times New Roman" w:eastAsia="Times New Roman" w:hAnsi="Times New Roman"/>
          <w:sz w:val="18"/>
          <w:szCs w:val="18"/>
          <w:color w:val="auto"/>
        </w:rPr>
      </w:pPr>
    </w:p>
    <w:p>
      <w:pPr>
        <w:ind w:left="1280" w:right="560" w:hanging="311"/>
        <w:spacing w:after="0" w:line="247"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in our credit facility, the lenders could elect to accelerate payments due and terminate all commitments to extend further credit.</w:t>
      </w:r>
    </w:p>
    <w:p>
      <w:pPr>
        <w:spacing w:after="0" w:line="1" w:lineRule="exact"/>
        <w:rPr>
          <w:rFonts w:ascii="Times New Roman" w:cs="Times New Roman" w:eastAsia="Times New Roman" w:hAnsi="Times New Roman"/>
          <w:sz w:val="18"/>
          <w:szCs w:val="18"/>
          <w:color w:val="auto"/>
        </w:rPr>
      </w:pPr>
    </w:p>
    <w:p>
      <w:pPr>
        <w:ind w:left="1280" w:right="480" w:hanging="311"/>
        <w:spacing w:after="0" w:line="247"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outstanding under the Company's existing credit facility has a variable rate of interest that is currently based on the Secured Overnight Financing Rate (“SOFR”). These rates may have consequences that cannot be reasonably predicted and may increase the Company's cost of borrowing in the future.</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Risks Related to the ownership of our Securities</w:t>
      </w:r>
    </w:p>
    <w:p>
      <w:pPr>
        <w:spacing w:after="0" w:line="1" w:lineRule="exact"/>
        <w:rPr>
          <w:rFonts w:ascii="Arial" w:cs="Arial" w:eastAsia="Arial" w:hAnsi="Arial"/>
          <w:sz w:val="21"/>
          <w:szCs w:val="21"/>
          <w:color w:val="auto"/>
        </w:rPr>
      </w:pPr>
    </w:p>
    <w:p>
      <w:pPr>
        <w:ind w:left="1280" w:right="160" w:hanging="311"/>
        <w:spacing w:after="0" w:line="247"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significant asset is our ownership of Holdings. If the business of Holdings is not profitably operated, Holdings may be unable to make distributions to enable us to satisfy our financial obligations.</w:t>
      </w:r>
    </w:p>
    <w:p>
      <w:pPr>
        <w:ind w:left="1280" w:right="360" w:hanging="311"/>
        <w:spacing w:after="0" w:line="247"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(the "Charter") and Delaware law may inhibit a takeover of us, which could limit the price investors might be willing to pay in the future for our common stock and could entrench management.</w:t>
      </w:r>
    </w:p>
    <w:p>
      <w:pPr>
        <w:spacing w:after="0" w:line="1" w:lineRule="exact"/>
        <w:rPr>
          <w:rFonts w:ascii="Times New Roman" w:cs="Times New Roman" w:eastAsia="Times New Roman" w:hAnsi="Times New Roman"/>
          <w:sz w:val="18"/>
          <w:szCs w:val="18"/>
          <w:color w:val="auto"/>
        </w:rPr>
      </w:pPr>
    </w:p>
    <w:p>
      <w:pPr>
        <w:ind w:left="1280" w:right="820" w:hanging="311"/>
        <w:spacing w:after="0" w:line="247" w:lineRule="auto"/>
        <w:tabs>
          <w:tab w:leader="none" w:pos="12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“emerging growth company,” we cannot be certain if the reduced disclosure requirements applicable to “emerging growth companies” will make our common stock less attractive to investors.</w:t>
      </w:r>
    </w:p>
    <w:p>
      <w:pPr>
        <w:spacing w:after="0" w:line="1"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6" w:lineRule="exact"/>
        <w:rPr>
          <w:rFonts w:ascii="Times New Roman" w:cs="Times New Roman" w:eastAsia="Times New Roman" w:hAnsi="Times New Roman"/>
          <w:sz w:val="18"/>
          <w:szCs w:val="18"/>
          <w:color w:val="auto"/>
        </w:rPr>
      </w:pPr>
    </w:p>
    <w:p>
      <w:pPr>
        <w:ind w:left="1280" w:right="240" w:hanging="311"/>
        <w:spacing w:after="0" w:line="284" w:lineRule="auto"/>
        <w:tabs>
          <w:tab w:leader="none" w:pos="1276"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warrants, each of which entitles the registered holder to purchase one share of the Company’s Class A Common Stock at a price of $7.97 per share (as adjusted effective February 28, 2025) (the "Warrants") may not remain in the money, and they may expire worthless.</w:t>
      </w:r>
    </w:p>
    <w:p>
      <w:pPr>
        <w:spacing w:after="0" w:line="184" w:lineRule="exact"/>
        <w:rPr>
          <w:sz w:val="20"/>
          <w:szCs w:val="20"/>
          <w:color w:val="auto"/>
        </w:rPr>
      </w:pPr>
    </w:p>
    <w:p>
      <w:pPr>
        <w:jc w:val="both"/>
        <w:ind w:firstLine="641"/>
        <w:spacing w:after="0" w:line="278"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w:t>
      </w:r>
    </w:p>
    <w:p>
      <w:pPr>
        <w:spacing w:after="0" w:line="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Rapidly evolving domestic and global economic conditions are beyond our control and could materially adversely affect our business, operations, and results of operations.</w:t>
      </w:r>
    </w:p>
    <w:p>
      <w:pPr>
        <w:spacing w:after="0" w:line="185" w:lineRule="exact"/>
        <w:rPr>
          <w:sz w:val="20"/>
          <w:szCs w:val="20"/>
          <w:color w:val="auto"/>
        </w:rPr>
      </w:pPr>
    </w:p>
    <w:p>
      <w:pPr>
        <w:ind w:right="60" w:firstLine="641"/>
        <w:spacing w:after="0" w:line="252" w:lineRule="auto"/>
        <w:rPr>
          <w:sz w:val="20"/>
          <w:szCs w:val="20"/>
          <w:color w:val="auto"/>
        </w:rPr>
      </w:pPr>
      <w:r>
        <w:rPr>
          <w:rFonts w:ascii="Times New Roman" w:cs="Times New Roman" w:eastAsia="Times New Roman" w:hAnsi="Times New Roman"/>
          <w:sz w:val="18"/>
          <w:szCs w:val="18"/>
          <w:color w:val="auto"/>
        </w:rPr>
        <w:t>U.S. and international markets and, in particular, the rapidly evolving digital assets industry, are experiencing uncertain and volatile economic conditions, including from the after-effects of the COVID-19 pandemic, the war in Ukraine, the conflict in Israel, Gaza and the surrounding areas, inflation, threats or concerns of recession, trade policy, including the imposition of and changes in tariffs, counter-tariffs, and other trade restrictions,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Arculus products and services. If these uncertain business, macroeconomic or political conditions continue or further decline, our business, financial condition and results of operations could be materially adversely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revenue growth rate in the future.</w:t>
      </w:r>
    </w:p>
    <w:p>
      <w:pPr>
        <w:spacing w:after="0" w:line="251" w:lineRule="exact"/>
        <w:rPr>
          <w:sz w:val="20"/>
          <w:szCs w:val="20"/>
          <w:color w:val="auto"/>
        </w:rPr>
      </w:pPr>
    </w:p>
    <w:p>
      <w:pPr>
        <w:ind w:right="420" w:firstLine="641"/>
        <w:spacing w:after="0" w:line="277" w:lineRule="auto"/>
        <w:rPr>
          <w:sz w:val="20"/>
          <w:szCs w:val="20"/>
          <w:color w:val="auto"/>
        </w:rPr>
      </w:pPr>
      <w:r>
        <w:rPr>
          <w:rFonts w:ascii="Times New Roman" w:cs="Times New Roman" w:eastAsia="Times New Roman" w:hAnsi="Times New Roman"/>
          <w:sz w:val="18"/>
          <w:szCs w:val="18"/>
          <w:color w:val="auto"/>
        </w:rPr>
        <w:t>We may not continue to achieve sales growth in the future and you should not consider our sales growth in the current or prior fiscal periods as indicative of future performance. It is also possible that our growth rate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5" w:name="page56"/>
    <w:bookmarkEnd w:id="55"/>
    <w:p>
      <w:pPr>
        <w:ind w:right="140"/>
        <w:spacing w:after="0" w:line="262" w:lineRule="auto"/>
        <w:rPr>
          <w:sz w:val="20"/>
          <w:szCs w:val="20"/>
          <w:color w:val="auto"/>
        </w:rPr>
      </w:pPr>
      <w:r>
        <w:rPr>
          <w:rFonts w:ascii="Times New Roman" w:cs="Times New Roman" w:eastAsia="Times New Roman" w:hAnsi="Times New Roman"/>
          <w:sz w:val="18"/>
          <w:szCs w:val="18"/>
          <w:color w:val="auto"/>
        </w:rPr>
        <w:t>slow in future periods due to a number of factors, which may include slowing demand for our products, increased competition, decreasing growth of the overall market, or inability to engage and retain customers. If we are unable to maintain consistent sales or continue our sales growth, it may be difficult for us to maintain profitability.</w:t>
      </w:r>
    </w:p>
    <w:p>
      <w:pPr>
        <w:spacing w:after="0" w:line="20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retain existing customers or identify and attract new customers could adversely affect our business, financial condition and results of operations.</w:t>
      </w:r>
    </w:p>
    <w:p>
      <w:pPr>
        <w:spacing w:after="0" w:line="185" w:lineRule="exact"/>
        <w:rPr>
          <w:sz w:val="20"/>
          <w:szCs w:val="20"/>
          <w:color w:val="auto"/>
        </w:rPr>
      </w:pPr>
    </w:p>
    <w:p>
      <w:pPr>
        <w:ind w:right="100" w:firstLine="641"/>
        <w:spacing w:after="0" w:line="247" w:lineRule="auto"/>
        <w:rPr>
          <w:sz w:val="20"/>
          <w:szCs w:val="20"/>
          <w:color w:val="auto"/>
        </w:rPr>
      </w:pPr>
      <w:r>
        <w:rPr>
          <w:rFonts w:ascii="Times New Roman" w:cs="Times New Roman" w:eastAsia="Times New Roman" w:hAnsi="Times New Roman"/>
          <w:sz w:val="18"/>
          <w:szCs w:val="18"/>
          <w:color w:val="auto"/>
        </w:rPr>
        <w:t>Our two largest customers are JPMorgan Chase and American Express. Together, these customers represented approximately 63% and 71% of our net sales for the years ended December 31, 2024 and 2023, respectively.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190" w:lineRule="exact"/>
        <w:rPr>
          <w:sz w:val="20"/>
          <w:szCs w:val="20"/>
          <w:color w:val="auto"/>
        </w:rPr>
      </w:pPr>
    </w:p>
    <w:p>
      <w:pPr>
        <w:ind w:firstLine="641"/>
        <w:spacing w:after="0" w:line="237" w:lineRule="auto"/>
        <w:rPr>
          <w:sz w:val="20"/>
          <w:szCs w:val="20"/>
          <w:color w:val="auto"/>
        </w:rPr>
      </w:pPr>
      <w:r>
        <w:rPr>
          <w:rFonts w:ascii="Times New Roman" w:cs="Times New Roman" w:eastAsia="Times New Roman" w:hAnsi="Times New Roman"/>
          <w:sz w:val="18"/>
          <w:szCs w:val="18"/>
          <w:color w:val="auto"/>
        </w:rPr>
        <w:t>Our ability to maintain relationships with our customers or attract new customers may be affected by several factors beyond our control, including more attractive product offerings from our competitors, widespread industry disruptions (such as adverse crypto market disruptions, adoption or enactment of new legislation or agency rules and the outcomes of regulatory enforcement actions and other major litigation),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2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failure by us to identify, manage, integrate and complete acquisitions and other significant transactions successfully could harm our financial results, business and prospects.</w:t>
      </w:r>
    </w:p>
    <w:p>
      <w:pPr>
        <w:spacing w:after="0" w:line="185" w:lineRule="exact"/>
        <w:rPr>
          <w:sz w:val="20"/>
          <w:szCs w:val="20"/>
          <w:color w:val="auto"/>
        </w:rPr>
      </w:pPr>
    </w:p>
    <w:p>
      <w:pPr>
        <w:ind w:right="20" w:firstLine="641"/>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may from time to time seek to acquire businesses or interests in businesses, including non-controlling interests, or form joint ventures or create strategic alliances. The due diligence we undertake with respect to potential targets may not reveal or highlight all relevant facts that are necessary or helpful in evaluating the potential target, and we will incur expenses in connection with performing such due diligence whether or not an acquisition is ultimately completed. Whether we realize the anticipated benefits from such activities may depend, in part, upon the successful integration between the businesses involved, the performance and development of the underlying products, capabilities or technologies, our correct assessment of assumed liabilities and the management of the operations. Accordingly, our financial results could be adversely affected by unanticipated performance and liability issues, our failure to achieve synergies and other benefits we expected to obtain, transaction-related charges, amortization related to intangibles, and charges for impairment of long-term assets.</w:t>
      </w:r>
    </w:p>
    <w:p>
      <w:pPr>
        <w:spacing w:after="0" w:line="212" w:lineRule="exact"/>
        <w:rPr>
          <w:sz w:val="20"/>
          <w:szCs w:val="20"/>
          <w:color w:val="auto"/>
        </w:rPr>
      </w:pPr>
    </w:p>
    <w:p>
      <w:pPr>
        <w:ind w:right="80" w:firstLine="641"/>
        <w:spacing w:after="0" w:line="257" w:lineRule="auto"/>
        <w:rPr>
          <w:sz w:val="20"/>
          <w:szCs w:val="20"/>
          <w:color w:val="auto"/>
        </w:rPr>
      </w:pPr>
      <w:r>
        <w:rPr>
          <w:rFonts w:ascii="Times New Roman" w:cs="Times New Roman" w:eastAsia="Times New Roman" w:hAnsi="Times New Roman"/>
          <w:sz w:val="18"/>
          <w:szCs w:val="18"/>
          <w:color w:val="auto"/>
        </w:rPr>
        <w:t>Our ability to realize the expected synergies and benefits of an acquisition may be subject to, among other things, our ability to complete the timely integration of operations and systems, standards, controls, procedures, policies and technologies, difficulties in achieving anticipated cost savings, synergies, business opportunities and growth prospects from the combination, and difficulties in managing the expanded operations of a significantly larger and more complex combined business.</w:t>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85" w:lineRule="exact"/>
        <w:rPr>
          <w:sz w:val="20"/>
          <w:szCs w:val="20"/>
          <w:color w:val="auto"/>
        </w:rPr>
      </w:pPr>
    </w:p>
    <w:p>
      <w:pPr>
        <w:ind w:right="180" w:firstLine="641"/>
        <w:spacing w:after="0" w:line="255" w:lineRule="auto"/>
        <w:rPr>
          <w:sz w:val="20"/>
          <w:szCs w:val="20"/>
          <w:color w:val="auto"/>
        </w:rPr>
      </w:pPr>
      <w:r>
        <w:rPr>
          <w:rFonts w:ascii="Times New Roman" w:cs="Times New Roman" w:eastAsia="Times New Roman" w:hAnsi="Times New Roman"/>
          <w:sz w:val="18"/>
          <w:szCs w:val="18"/>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6" w:name="page57"/>
    <w:bookmarkEnd w:id="56"/>
    <w:p>
      <w:pPr>
        <w:ind w:right="100"/>
        <w:spacing w:after="0" w:line="257" w:lineRule="auto"/>
        <w:rPr>
          <w:sz w:val="20"/>
          <w:szCs w:val="20"/>
          <w:color w:val="auto"/>
        </w:rPr>
      </w:pPr>
      <w:r>
        <w:rPr>
          <w:rFonts w:ascii="Times New Roman" w:cs="Times New Roman" w:eastAsia="Times New Roman" w:hAnsi="Times New Roman"/>
          <w:sz w:val="18"/>
          <w:szCs w:val="18"/>
          <w:color w:val="auto"/>
        </w:rPr>
        <w:t>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209" w:lineRule="exact"/>
        <w:rPr>
          <w:sz w:val="20"/>
          <w:szCs w:val="20"/>
          <w:color w:val="auto"/>
        </w:rPr>
      </w:pPr>
    </w:p>
    <w:p>
      <w:pPr>
        <w:ind w:right="380" w:firstLine="641"/>
        <w:spacing w:after="0" w:line="277" w:lineRule="auto"/>
        <w:rPr>
          <w:sz w:val="20"/>
          <w:szCs w:val="20"/>
          <w:color w:val="auto"/>
        </w:rPr>
      </w:pPr>
      <w:r>
        <w:rPr>
          <w:rFonts w:ascii="Times New Roman" w:cs="Times New Roman" w:eastAsia="Times New Roman" w:hAnsi="Times New Roman"/>
          <w:sz w:val="18"/>
          <w:szCs w:val="18"/>
          <w:color w:val="auto"/>
        </w:rPr>
        <w:t>Additionally, it is possible that unauthorized access to sensitive customer and business data may be obtained through inadequate use of security controls by our customers, suppliers or other vendors.</w:t>
      </w:r>
    </w:p>
    <w:p>
      <w:pPr>
        <w:spacing w:after="0" w:line="190" w:lineRule="exact"/>
        <w:rPr>
          <w:sz w:val="20"/>
          <w:szCs w:val="20"/>
          <w:color w:val="auto"/>
        </w:rPr>
      </w:pPr>
    </w:p>
    <w:p>
      <w:pPr>
        <w:ind w:right="20" w:firstLine="641"/>
        <w:spacing w:after="0" w:line="264" w:lineRule="auto"/>
        <w:rPr>
          <w:sz w:val="20"/>
          <w:szCs w:val="20"/>
          <w:color w:val="auto"/>
        </w:rPr>
      </w:pPr>
      <w:r>
        <w:rPr>
          <w:rFonts w:ascii="Times New Roman" w:cs="Times New Roman" w:eastAsia="Times New Roman" w:hAnsi="Times New Roman"/>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outages, data loss or other interruptions affecting our operations could adversely affect our business and reputation.</w:t>
      </w:r>
    </w:p>
    <w:p>
      <w:pPr>
        <w:spacing w:after="0" w:line="228"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at our primary production facility may adversely affect our business, results of operations and/or financial condition.</w:t>
      </w:r>
    </w:p>
    <w:p>
      <w:pPr>
        <w:spacing w:after="0" w:line="251"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an alternative supply of metal cards. Any such production disruptions could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7" w:name="page58"/>
    <w:bookmarkEnd w:id="57"/>
    <w:p>
      <w:pPr>
        <w:jc w:val="both"/>
        <w:ind w:right="54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spacing w:after="0" w:line="150" w:lineRule="exact"/>
        <w:rPr>
          <w:sz w:val="20"/>
          <w:szCs w:val="20"/>
          <w:color w:val="auto"/>
        </w:rPr>
      </w:pPr>
    </w:p>
    <w:p>
      <w:pPr>
        <w:ind w:right="20" w:firstLine="641"/>
        <w:spacing w:after="0" w:line="234" w:lineRule="auto"/>
        <w:rPr>
          <w:sz w:val="20"/>
          <w:szCs w:val="20"/>
          <w:color w:val="auto"/>
        </w:rPr>
      </w:pPr>
      <w:r>
        <w:rPr>
          <w:rFonts w:ascii="Times New Roman" w:cs="Times New Roman" w:eastAsia="Times New Roman" w:hAnsi="Times New Roman"/>
          <w:sz w:val="18"/>
          <w:szCs w:val="18"/>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For example, we have historically focused on the payment card industry, but we are a new entrant into the digital assets industry.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 successful research and development, marketing launches and consumer deployment of such newly designed products, whereby we could incur significant additional cost and expense. If the products and solutions derived from the Arculus platform fail to gain market acceptance, our ability to achieve future growth could be significantly impaired. In addition, competitors may develop and commercialize competing products faster and more efficiently than we are able to do so, which could further negatively impact our business.</w:t>
      </w:r>
    </w:p>
    <w:p>
      <w:pPr>
        <w:spacing w:after="0" w:line="226" w:lineRule="exact"/>
        <w:rPr>
          <w:sz w:val="20"/>
          <w:szCs w:val="20"/>
          <w:color w:val="auto"/>
        </w:rPr>
      </w:pPr>
    </w:p>
    <w:p>
      <w:pPr>
        <w:ind w:right="80" w:firstLine="641"/>
        <w:spacing w:after="0" w:line="270" w:lineRule="auto"/>
        <w:rPr>
          <w:sz w:val="20"/>
          <w:szCs w:val="20"/>
          <w:color w:val="auto"/>
        </w:rPr>
      </w:pPr>
      <w:r>
        <w:rPr>
          <w:rFonts w:ascii="Times New Roman" w:cs="Times New Roman" w:eastAsia="Times New Roman" w:hAnsi="Times New Roman"/>
          <w:sz w:val="17"/>
          <w:szCs w:val="17"/>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84" w:lineRule="exact"/>
        <w:rPr>
          <w:sz w:val="20"/>
          <w:szCs w:val="20"/>
          <w:color w:val="auto"/>
        </w:rPr>
      </w:pPr>
    </w:p>
    <w:p>
      <w:pPr>
        <w:ind w:firstLine="641"/>
        <w:spacing w:after="0" w:line="236" w:lineRule="auto"/>
        <w:rPr>
          <w:sz w:val="20"/>
          <w:szCs w:val="20"/>
          <w:color w:val="auto"/>
        </w:rPr>
      </w:pPr>
      <w:r>
        <w:rPr>
          <w:rFonts w:ascii="Times New Roman" w:cs="Times New Roman" w:eastAsia="Times New Roman" w:hAnsi="Times New Roman"/>
          <w:sz w:val="18"/>
          <w:szCs w:val="18"/>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develop and implement new processes for the manufacture or offer of new products or services;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225"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19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A disruption in our operations or supply chain or the performance of our suppliers, liquidity partners and/or development partners could adversely affect our business and financial results.</w:t>
      </w:r>
    </w:p>
    <w:p>
      <w:pPr>
        <w:spacing w:after="0" w:line="212"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chips and EMV chips, which we source from several key suppliers. We obtain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58" w:name="page59"/>
    <w:bookmarkEnd w:id="58"/>
    <w:p>
      <w:pPr>
        <w:ind w:right="60"/>
        <w:spacing w:after="0" w:line="271" w:lineRule="auto"/>
        <w:rPr>
          <w:sz w:val="20"/>
          <w:szCs w:val="20"/>
          <w:color w:val="auto"/>
        </w:rPr>
      </w:pPr>
      <w:r>
        <w:rPr>
          <w:rFonts w:ascii="Times New Roman" w:cs="Times New Roman" w:eastAsia="Times New Roman" w:hAnsi="Times New Roman"/>
          <w:sz w:val="17"/>
          <w:szCs w:val="17"/>
          <w:color w:val="auto"/>
        </w:rPr>
        <w:t>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customer service levels and overall business. Any increases in the costs of goods and services for our business, including due to the imposition of or increases in tariffs on countries from which we import necessary materials, may also adversely affect our profit margins particularly if we are unable to achieve higher price increases or otherwise increase cost or operational efficiencies to offset the higher costs.</w:t>
      </w:r>
    </w:p>
    <w:p>
      <w:pPr>
        <w:spacing w:after="0" w:line="185" w:lineRule="exact"/>
        <w:rPr>
          <w:sz w:val="20"/>
          <w:szCs w:val="20"/>
          <w:color w:val="auto"/>
        </w:rPr>
      </w:pPr>
    </w:p>
    <w:p>
      <w:pPr>
        <w:ind w:right="200" w:firstLine="641"/>
        <w:spacing w:after="0" w:line="242" w:lineRule="auto"/>
        <w:rPr>
          <w:sz w:val="20"/>
          <w:szCs w:val="20"/>
          <w:color w:val="auto"/>
        </w:rPr>
      </w:pPr>
      <w:r>
        <w:rPr>
          <w:rFonts w:ascii="Times New Roman" w:cs="Times New Roman" w:eastAsia="Times New Roman" w:hAnsi="Times New Roman"/>
          <w:sz w:val="18"/>
          <w:szCs w:val="18"/>
          <w:color w:val="auto"/>
        </w:rPr>
        <w:t>Additionally, we partner with third-party providers to offer certain Arculus-related services to our customers. If any of these third parties experiences operational interference or disruptions, fails to perform its obligations and meet our expectations, experiences a cybersecurity incident, fails to comply with applicable regulatory and/or licensing requirements which may evolve over time, or is subject to regulatory enforcement proceedings concerning their operations, the operations of the Arculus solutions could be disrupted or otherwise adversely affected.</w:t>
      </w:r>
    </w:p>
    <w:p>
      <w:pPr>
        <w:spacing w:after="0" w:line="20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spacing w:after="0" w:line="212" w:lineRule="exact"/>
        <w:rPr>
          <w:sz w:val="20"/>
          <w:szCs w:val="20"/>
          <w:color w:val="auto"/>
        </w:rPr>
      </w:pPr>
    </w:p>
    <w:p>
      <w:pPr>
        <w:ind w:firstLine="641"/>
        <w:spacing w:after="0" w:line="235" w:lineRule="auto"/>
        <w:rPr>
          <w:sz w:val="20"/>
          <w:szCs w:val="20"/>
          <w:color w:val="auto"/>
        </w:rPr>
      </w:pPr>
      <w:r>
        <w:rPr>
          <w:rFonts w:ascii="Times New Roman" w:cs="Times New Roman" w:eastAsia="Times New Roman" w:hAnsi="Times New Roman"/>
          <w:sz w:val="18"/>
          <w:szCs w:val="18"/>
          <w:color w:val="auto"/>
        </w:rPr>
        <w:t>Cybersecurity markets are experiencing significant and fast-paced technological change, evolving industry standards and customer needs. The Company's Arculus Authenticate solutions represent a new and innovative approach to identity protection, and may not achieve widespread market acceptance. Other methods, technologies, products or services may offer similar or better authentication solutions than our hardware authentication solutions. If the Company is unable to adapt to such changes, our ability to compete effectively may be adversely impacted, which could have a negative effect on our business, financial condition or results of operations. In addition, there is a risk that the Arculus Authenticate solutions may not provide protection against all or a sufficient amount of the ever-changing security vulnerabilities, exploits or cyber attacks. Internal and external factors, including possible defects in the Company’s products, or system failures in services provided by third parties for use with Arculus Authenticate solutions, could cause the Company’s products and/or services to become vulnerable to security attacks which could result in the loss of identity protection for businesses and consumers. As the Arculus Authenticate solutions include hardware tokens which are expected to be replaced from time to time as needed (similar to payment cards), the Company does not intend to provide remote updates or upgrades to its hardware products. There is, therefore, a risk that the Company’s hardware authentication products could become ineffective against evolving cybersecurity threats. Any such developments, real or perceived, may have a negative impact on our reputation, which could have a negative effect upon our business, financial condition or results of operations.</w:t>
      </w:r>
    </w:p>
    <w:p>
      <w:pPr>
        <w:spacing w:after="0" w:line="20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164" w:lineRule="exact"/>
        <w:rPr>
          <w:sz w:val="20"/>
          <w:szCs w:val="20"/>
          <w:color w:val="auto"/>
        </w:rPr>
      </w:pPr>
    </w:p>
    <w:p>
      <w:pPr>
        <w:ind w:right="60" w:firstLine="641"/>
        <w:spacing w:after="0" w:line="253" w:lineRule="auto"/>
        <w:rPr>
          <w:sz w:val="20"/>
          <w:szCs w:val="20"/>
          <w:color w:val="auto"/>
        </w:rPr>
      </w:pPr>
      <w:r>
        <w:rPr>
          <w:rFonts w:ascii="Times New Roman" w:cs="Times New Roman" w:eastAsia="Times New Roman" w:hAnsi="Times New Roman"/>
          <w:sz w:val="18"/>
          <w:szCs w:val="18"/>
          <w:color w:val="auto"/>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spacing w:after="0" w:line="214" w:lineRule="exact"/>
        <w:rPr>
          <w:sz w:val="20"/>
          <w:szCs w:val="20"/>
          <w:color w:val="auto"/>
        </w:rPr>
      </w:pPr>
    </w:p>
    <w:p>
      <w:pPr>
        <w:ind w:right="340" w:firstLine="641"/>
        <w:spacing w:after="0" w:line="262" w:lineRule="auto"/>
        <w:rPr>
          <w:sz w:val="20"/>
          <w:szCs w:val="20"/>
          <w:color w:val="auto"/>
        </w:rPr>
      </w:pPr>
      <w:r>
        <w:rPr>
          <w:rFonts w:ascii="Times New Roman" w:cs="Times New Roman" w:eastAsia="Times New Roman" w:hAnsi="Times New Roman"/>
          <w:sz w:val="18"/>
          <w:szCs w:val="18"/>
          <w:color w:val="auto"/>
        </w:rPr>
        <w:t>The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59" w:name="page60"/>
    <w:bookmarkEnd w:id="59"/>
    <w:p>
      <w:pPr>
        <w:jc w:val="both"/>
        <w:ind w:right="80"/>
        <w:spacing w:after="0" w:line="252" w:lineRule="auto"/>
        <w:rPr>
          <w:sz w:val="20"/>
          <w:szCs w:val="20"/>
          <w:color w:val="auto"/>
        </w:rPr>
      </w:pPr>
      <w:r>
        <w:rPr>
          <w:rFonts w:ascii="Times New Roman" w:cs="Times New Roman" w:eastAsia="Times New Roman" w:hAnsi="Times New Roman"/>
          <w:sz w:val="18"/>
          <w:szCs w:val="18"/>
          <w:color w:val="auto"/>
        </w:rPr>
        <w:t>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the Arculus Cold Storage Wallet or digital assets in a manner that adversely affects our business, prospects or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uncertainty surrounding the digital asset environment, and the regulatory classification of such digital assets</w:t>
      </w:r>
    </w:p>
    <w:p>
      <w:pPr>
        <w:spacing w:after="0" w:line="236" w:lineRule="exact"/>
        <w:rPr>
          <w:sz w:val="20"/>
          <w:szCs w:val="20"/>
          <w:color w:val="auto"/>
        </w:rPr>
      </w:pPr>
    </w:p>
    <w:p>
      <w:pPr>
        <w:ind w:right="180" w:firstLine="641"/>
        <w:spacing w:after="0" w:line="247"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the regulatory approach by governments worldwide has varied significantly, with some deeming them illegal and others permitting their use and trade under specified conditions. Currently, there is no uniformly applicable legal or regulatory regime governing digital assets in most jurisdictions, including in the U.S.</w:t>
      </w:r>
    </w:p>
    <w:p>
      <w:pPr>
        <w:spacing w:after="0" w:line="203" w:lineRule="exact"/>
        <w:rPr>
          <w:sz w:val="20"/>
          <w:szCs w:val="20"/>
          <w:color w:val="auto"/>
        </w:rPr>
      </w:pPr>
    </w:p>
    <w:p>
      <w:pPr>
        <w:ind w:right="240" w:firstLine="641"/>
        <w:spacing w:after="0" w:line="247" w:lineRule="auto"/>
        <w:rPr>
          <w:sz w:val="20"/>
          <w:szCs w:val="20"/>
          <w:color w:val="auto"/>
        </w:rPr>
      </w:pPr>
      <w:r>
        <w:rPr>
          <w:rFonts w:ascii="Times New Roman" w:cs="Times New Roman" w:eastAsia="Times New Roman" w:hAnsi="Times New Roman"/>
          <w:sz w:val="18"/>
          <w:szCs w:val="18"/>
          <w:color w:val="auto"/>
        </w:rPr>
        <w:t>The occurrence of adverse market events, such as bankruptcies of prominent digital asset entities (like the FTX bankruptcy), may increase regulatory scrutiny and may prompt new compliance requirements that could adversely affect our ability to develop and offer digital asset-related services and products, such as the Arculus Cold Storage Wallet, or impose significant costs on the Company.</w:t>
      </w:r>
    </w:p>
    <w:p>
      <w:pPr>
        <w:spacing w:after="0" w:line="203" w:lineRule="exact"/>
        <w:rPr>
          <w:sz w:val="20"/>
          <w:szCs w:val="20"/>
          <w:color w:val="auto"/>
        </w:rPr>
      </w:pPr>
    </w:p>
    <w:p>
      <w:pPr>
        <w:ind w:right="160" w:firstLine="453"/>
        <w:spacing w:after="0" w:line="239" w:lineRule="auto"/>
        <w:rPr>
          <w:sz w:val="20"/>
          <w:szCs w:val="20"/>
          <w:color w:val="auto"/>
        </w:rPr>
      </w:pPr>
      <w:r>
        <w:rPr>
          <w:rFonts w:ascii="Times New Roman" w:cs="Times New Roman" w:eastAsia="Times New Roman" w:hAnsi="Times New Roman"/>
          <w:sz w:val="18"/>
          <w:szCs w:val="18"/>
          <w:color w:val="auto"/>
        </w:rPr>
        <w:t>In the U.S., the legal and regulatory landscape applicable to digital assets remains uncertain, with overlapping authority existing between and among various U.S. federal agencies, including the CFTC and SEC. This regulatory overlap contributes to ongoing legal and regulatory ambiguity, particularly concerning whether and, if so, when certain transactions in digital assets constitute transactions in securities.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regulators, courts and lawmakers alike are grappling with these questions, and the legal landscape remains uncertain.</w:t>
      </w:r>
    </w:p>
    <w:p>
      <w:pPr>
        <w:spacing w:after="0" w:line="234" w:lineRule="exact"/>
        <w:rPr>
          <w:sz w:val="20"/>
          <w:szCs w:val="20"/>
          <w:color w:val="auto"/>
        </w:rPr>
      </w:pPr>
    </w:p>
    <w:p>
      <w:pPr>
        <w:ind w:firstLine="453"/>
        <w:spacing w:after="0" w:line="236" w:lineRule="auto"/>
        <w:rPr>
          <w:sz w:val="20"/>
          <w:szCs w:val="20"/>
          <w:color w:val="auto"/>
        </w:rPr>
      </w:pPr>
      <w:r>
        <w:rPr>
          <w:rFonts w:ascii="Times New Roman" w:cs="Times New Roman" w:eastAsia="Times New Roman" w:hAnsi="Times New Roman"/>
          <w:sz w:val="18"/>
          <w:szCs w:val="18"/>
          <w:color w:val="auto"/>
        </w:rPr>
        <w:t>While the SEC has brought multiple enforcement actions against digital asset projects, such cases generally have not provided additional clarity in the U.S. with respect to the regulation of digital assets, including questions concerning the very application of the U.S. federal securities laws to digital assets and digital asset-related activities, including in the secondary trading market. Several of such recent SEC enforcement actions have been court cases, and to the extent that courts have rendered opinions concerning any such enforcement actions, those opinions, and the reasoning in support of them, have not necessarily been consistent with one another. In addition, although the SEC recently has agreed to dismiss or otherwise pause several high-profile digital asset-related enforcement actions, in addition to closing certain previously announced investigations, withdrawing certain proposed rule changes (including a previously introduced proposed rule change concerning the definition of "exchange") and issuing staff guidance regarding certain digital asset-related guidance, this shift in approach has not resolved all uncertainty concerning the application of the U.S. federal securities laws to digital assets and digital asset market participants.</w:t>
      </w:r>
    </w:p>
    <w:p>
      <w:pPr>
        <w:spacing w:after="0" w:line="212" w:lineRule="exact"/>
        <w:rPr>
          <w:sz w:val="20"/>
          <w:szCs w:val="20"/>
          <w:color w:val="auto"/>
        </w:rPr>
      </w:pPr>
    </w:p>
    <w:p>
      <w:pPr>
        <w:ind w:right="100" w:firstLine="453"/>
        <w:spacing w:after="0" w:line="230" w:lineRule="auto"/>
        <w:rPr>
          <w:sz w:val="20"/>
          <w:szCs w:val="20"/>
          <w:color w:val="auto"/>
        </w:rPr>
      </w:pPr>
      <w:r>
        <w:rPr>
          <w:rFonts w:ascii="Times New Roman" w:cs="Times New Roman" w:eastAsia="Times New Roman" w:hAnsi="Times New Roman"/>
          <w:sz w:val="18"/>
          <w:szCs w:val="18"/>
          <w:color w:val="auto"/>
        </w:rPr>
        <w:t>While actions taken by President Trump and certain U.S. federal regulators following Trump's January 2025 inauguration have appeared to signal a much more favorable U.S. governmental approach (as compared to the immediately prior U.S. presidential administration) to digital assets, legal and regulatory uncertainty remains, including concerning the regulatory characterization and treatment of various digital asset-related products, services, platforms, markets and activities, including NFTs, decentralized finance (“DeFi”) and decentralized autonomous organizations (“DAOs”), all of which have drawn regulatory attention in recent years.</w:t>
      </w:r>
    </w:p>
    <w:p>
      <w:pPr>
        <w:spacing w:after="0" w:line="197" w:lineRule="exact"/>
        <w:rPr>
          <w:sz w:val="20"/>
          <w:szCs w:val="20"/>
          <w:color w:val="auto"/>
        </w:rPr>
      </w:pPr>
    </w:p>
    <w:p>
      <w:pPr>
        <w:ind w:right="40" w:firstLine="641"/>
        <w:spacing w:after="0" w:line="247" w:lineRule="auto"/>
        <w:rPr>
          <w:sz w:val="20"/>
          <w:szCs w:val="20"/>
          <w:color w:val="auto"/>
        </w:rPr>
      </w:pPr>
      <w:r>
        <w:rPr>
          <w:rFonts w:ascii="Times New Roman" w:cs="Times New Roman" w:eastAsia="Times New Roman" w:hAnsi="Times New Roman"/>
          <w:sz w:val="18"/>
          <w:szCs w:val="18"/>
          <w:color w:val="auto"/>
        </w:rPr>
        <w:t>In particular, as a result of actions by private plaintiffs and regulators alike, under various theories of liability, among other things, DAOs have been characterized by certain plaintiffs as unincorporated associations or general partnerships, with some plaintiffs asserting that liability should be assigned to participants in DAO governance, while others have sought to establish joint and several liability for DAO members generally,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60" w:name="page61"/>
    <w:bookmarkEnd w:id="60"/>
    <w:p>
      <w:pPr>
        <w:ind w:right="160"/>
        <w:spacing w:after="0" w:line="239" w:lineRule="auto"/>
        <w:rPr>
          <w:sz w:val="20"/>
          <w:szCs w:val="20"/>
          <w:color w:val="auto"/>
        </w:rPr>
      </w:pPr>
      <w:r>
        <w:rPr>
          <w:rFonts w:ascii="Times New Roman" w:cs="Times New Roman" w:eastAsia="Times New Roman" w:hAnsi="Times New Roman"/>
          <w:sz w:val="18"/>
          <w:szCs w:val="18"/>
          <w:color w:val="auto"/>
        </w:rPr>
        <w:t>on negligence theories of liability. The terms “DeFi” and “DAO” may be interpreted broadly to encompass a wide variety of projects, services and participants, and if a regulator or private plaintiff were to claim that Arculus is deemed to have participated in or facilitated DeFi- or DAO-related activities that were in violation of applicable law, there may be significant associated risks, including the potential for joint and several liability.</w:t>
      </w:r>
    </w:p>
    <w:p>
      <w:pPr>
        <w:spacing w:after="0" w:line="223" w:lineRule="exact"/>
        <w:rPr>
          <w:sz w:val="20"/>
          <w:szCs w:val="20"/>
          <w:color w:val="auto"/>
        </w:rPr>
      </w:pPr>
    </w:p>
    <w:p>
      <w:pPr>
        <w:jc w:val="both"/>
        <w:ind w:right="20" w:firstLine="641"/>
        <w:spacing w:after="0" w:line="262" w:lineRule="auto"/>
        <w:rPr>
          <w:sz w:val="20"/>
          <w:szCs w:val="20"/>
          <w:color w:val="auto"/>
        </w:rPr>
      </w:pPr>
      <w:r>
        <w:rPr>
          <w:rFonts w:ascii="Times New Roman" w:cs="Times New Roman" w:eastAsia="Times New Roman" w:hAnsi="Times New Roman"/>
          <w:sz w:val="18"/>
          <w:szCs w:val="18"/>
          <w:color w:val="auto"/>
        </w:rPr>
        <w:t>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of these bills ultimately will become law.</w:t>
      </w:r>
    </w:p>
    <w:p>
      <w:pPr>
        <w:spacing w:after="0" w:line="204" w:lineRule="exact"/>
        <w:rPr>
          <w:sz w:val="20"/>
          <w:szCs w:val="20"/>
          <w:color w:val="auto"/>
        </w:rPr>
      </w:pPr>
    </w:p>
    <w:p>
      <w:pPr>
        <w:ind w:right="20" w:firstLine="641"/>
        <w:spacing w:after="0" w:line="249" w:lineRule="auto"/>
        <w:rPr>
          <w:sz w:val="20"/>
          <w:szCs w:val="20"/>
          <w:color w:val="auto"/>
        </w:rPr>
      </w:pPr>
      <w:r>
        <w:rPr>
          <w:rFonts w:ascii="Times New Roman" w:cs="Times New Roman" w:eastAsia="Times New Roman" w:hAnsi="Times New Roman"/>
          <w:sz w:val="18"/>
          <w:szCs w:val="18"/>
          <w:color w:val="auto"/>
        </w:rPr>
        <w:t>Moreover, given recent geopolitical conflict and instability, certain U.S. legislators and regulators have signaled heightened concerns about national security and the importance of “know your customer” (“KYC”), anti-money laundering (“AML”), counter financing of terrorism (“CFT”) and sanctions checks and compliance, including concerns about potential use by certain terrorist groups of digital assets to fund their operations or evade U.S. sanctions. In addition to the introduction of potential digital asset-focused legislation in Congress aimed at addressing such concerns, regulators have focused on enforcement. In 2022 and 2023, OFAC sanctioned digital assets market participants alleged to have supported sanctioned countries and/or terrorist operations, and, in 2023, the U.S. Treasury’s FinCEN, pursuant to seldom-used powers granted to it under Section 311 of the USA PATRIOT Act, designated an entire class of transactions, namely transactions associated with digital asset mixers, as being of primary money laundering concern. At present, as a result of litigation concerning the virtual currency mixer known as Tornado Cash, uncertainty exists concerning the ability of OFAC to impose sanctions in the digital asset space, particularly in the case of immutable smart contracts.</w:t>
      </w:r>
    </w:p>
    <w:p>
      <w:pPr>
        <w:spacing w:after="0" w:line="218" w:lineRule="exact"/>
        <w:rPr>
          <w:sz w:val="20"/>
          <w:szCs w:val="20"/>
          <w:color w:val="auto"/>
        </w:rPr>
      </w:pPr>
    </w:p>
    <w:p>
      <w:pPr>
        <w:ind w:right="40" w:firstLine="641"/>
        <w:spacing w:after="0" w:line="241" w:lineRule="auto"/>
        <w:rPr>
          <w:sz w:val="20"/>
          <w:szCs w:val="20"/>
          <w:color w:val="auto"/>
        </w:rPr>
      </w:pPr>
      <w:r>
        <w:rPr>
          <w:rFonts w:ascii="Times New Roman" w:cs="Times New Roman" w:eastAsia="Times New Roman" w:hAnsi="Times New Roman"/>
          <w:sz w:val="18"/>
          <w:szCs w:val="18"/>
          <w:color w:val="auto"/>
        </w:rPr>
        <w:t>In addition, U.S. federal and state agencies are likely to continue to propose new or otherwise modify existing rules and guidance applicable to digital assets. Recent expedited rulemaking efforts by U.S. federal and state regulators and foreign authorities may result in new obligations or restrictions for digital asset market participants, including wallet providers, with little advance notice. These changes could require rapid adaptation of our Arculus products and services, compliance policies and procedures, and any failure by Arculus to comply with any applicable obligations---whether as a result of uncertainty or operational constraints---could subject our Arculus business to penalties, enforcement actions, or limitations on its activities. It is also possible that, in the wake of an apparent shift to fewer digital asset-related enforcement actions by U.S. federal regulators under the Trump Administration, U.S. state regulators and private plaintiffs may continue or increase the number of actions (and/or investigations) initiated by them against digital asset market participants or otherwise in respect of digital assets.</w:t>
      </w:r>
    </w:p>
    <w:p>
      <w:pPr>
        <w:spacing w:after="0" w:line="194" w:lineRule="exact"/>
        <w:rPr>
          <w:sz w:val="20"/>
          <w:szCs w:val="20"/>
          <w:color w:val="auto"/>
        </w:rPr>
      </w:pPr>
    </w:p>
    <w:p>
      <w:pPr>
        <w:ind w:right="220" w:firstLine="453"/>
        <w:spacing w:after="0" w:line="237" w:lineRule="auto"/>
        <w:rPr>
          <w:sz w:val="20"/>
          <w:szCs w:val="20"/>
          <w:color w:val="auto"/>
        </w:rPr>
      </w:pPr>
      <w:r>
        <w:rPr>
          <w:rFonts w:ascii="Times New Roman" w:cs="Times New Roman" w:eastAsia="Times New Roman" w:hAnsi="Times New Roman"/>
          <w:sz w:val="18"/>
          <w:szCs w:val="18"/>
          <w:color w:val="auto"/>
        </w:rPr>
        <w:t>In addition to a lack of clarity at the U.S. federal level, the various U.S. states and the District of Columbia take a variety of differing approaches to digital asset regulation and legislation, which may not be consistent with the positions of other U.S. states or other jurisdictions, or with the U.S. federal government’s approach. For that reason, even if the U.S. federal government under the Trump administration takes a more crypto-friendly stance to digital asset regulations, that does not necessarily mean that U.S. states or other jurisdictions will adopt a consistent or similar approach.</w:t>
      </w:r>
    </w:p>
    <w:p>
      <w:pPr>
        <w:spacing w:after="0" w:line="211"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In sum, the U.S. federal regulators and courts, and various U.S. state and non-U.S. regulators, are still developing their frameworks for regulating digital assets. Certain foreign jurisdictions, including the European Union through its Markets in Crypto-Assets Regulation (MiCA), have recently adopted or proposed rules specific to stablecoins, non-fungible tokens (NFTs), and other emerging asset types. Regulatory developments in these areas may restrict the functionality or our Arculus digital asset products or services outside the U.S., limit support for certain assets or functionalities in the Arculus Cold Storage Wallet, or impose new licensing, registration or compliance requirements on our Arculus business. If we are found to have supported purchase and swap transactions in the Arculus Cold Storage Wallet for digital assets which subsequently are determined to be securities, it is possible that we could be viewed as inadvertently acting as an unlicensed broker-dealer which could subject us to, among other things, regulatory enforcement actions, censure, monetary fines, restrictions on the conduct of our Arculus activities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1" w:name="page62"/>
    <w:bookmarkEnd w:id="61"/>
    <w:p>
      <w:pPr>
        <w:spacing w:after="0" w:line="204" w:lineRule="exact"/>
        <w:rPr>
          <w:sz w:val="20"/>
          <w:szCs w:val="20"/>
          <w:color w:val="auto"/>
        </w:rPr>
      </w:pPr>
    </w:p>
    <w:p>
      <w:pPr>
        <w:ind w:right="80" w:firstLine="641"/>
        <w:spacing w:after="0" w:line="257" w:lineRule="auto"/>
        <w:rPr>
          <w:sz w:val="20"/>
          <w:szCs w:val="20"/>
          <w:color w:val="auto"/>
        </w:rPr>
      </w:pPr>
      <w:r>
        <w:rPr>
          <w:rFonts w:ascii="Times New Roman" w:cs="Times New Roman" w:eastAsia="Times New Roman" w:hAnsi="Times New Roman"/>
          <w:sz w:val="18"/>
          <w:szCs w:val="18"/>
          <w:color w:val="auto"/>
        </w:rPr>
        <w:t>Further, a particular digital asset’s - or a transaction in a digital asset's -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transaction in a digital asset) or assess our tax treatment, we may be subject to regulatory scrutiny, investigations, fines, and other penalties, which may adversely affect our business, operating results, and financial condition.</w:t>
      </w:r>
    </w:p>
    <w:p>
      <w:pPr>
        <w:spacing w:after="0" w:line="195" w:lineRule="exact"/>
        <w:rPr>
          <w:sz w:val="20"/>
          <w:szCs w:val="20"/>
          <w:color w:val="auto"/>
        </w:rPr>
      </w:pPr>
    </w:p>
    <w:p>
      <w:pPr>
        <w:ind w:right="100" w:firstLine="641"/>
        <w:spacing w:after="0" w:line="239" w:lineRule="auto"/>
        <w:rPr>
          <w:sz w:val="20"/>
          <w:szCs w:val="20"/>
          <w:color w:val="auto"/>
        </w:rPr>
      </w:pPr>
      <w:r>
        <w:rPr>
          <w:rFonts w:ascii="Times New Roman" w:cs="Times New Roman" w:eastAsia="Times New Roman" w:hAnsi="Times New Roman"/>
          <w:sz w:val="18"/>
          <w:szCs w:val="18"/>
          <w:color w:val="auto"/>
        </w:rPr>
        <w:t>In order to determine whether a particular digital asset is a security (or whether transactions in such digital assets would constitute offers or sales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w:t>
      </w:r>
    </w:p>
    <w:p>
      <w:pPr>
        <w:spacing w:after="0" w:line="225"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Because the Arculus Cold Storage Wallet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or in a proceeding in a court of law or otherwise, it may have adverse consequences. To counter such risks, we may have to remove Arculus Cold Storage Wallet support for purchase and swap transactions in certain digital assets if and when such digital assets (or transactions in such digital assets) are designated as securities, which could hurt sales of our Arculus products and services. Alternatively, we may be required to partner with third-party registered securities broker/dealers to facilitate securities trading by Arculus customers, and we may be unsuccessful in efforts to establish such a partnership.</w:t>
      </w:r>
    </w:p>
    <w:p>
      <w:pPr>
        <w:spacing w:after="0" w:line="198" w:lineRule="exact"/>
        <w:rPr>
          <w:sz w:val="20"/>
          <w:szCs w:val="20"/>
          <w:color w:val="auto"/>
        </w:rPr>
      </w:pPr>
    </w:p>
    <w:p>
      <w:pPr>
        <w:ind w:right="40" w:firstLine="641"/>
        <w:spacing w:after="0" w:line="233" w:lineRule="auto"/>
        <w:rPr>
          <w:sz w:val="20"/>
          <w:szCs w:val="20"/>
          <w:color w:val="auto"/>
        </w:rPr>
      </w:pPr>
      <w:r>
        <w:rPr>
          <w:rFonts w:ascii="Times New Roman" w:cs="Times New Roman" w:eastAsia="Times New Roman" w:hAnsi="Times New Roman"/>
          <w:sz w:val="18"/>
          <w:szCs w:val="18"/>
          <w:color w:val="auto"/>
        </w:rPr>
        <w:t>In addition, we do not currently intend to effect or otherwise facilitate trading in securities by our Arculus customers through the use of our Arculus Cold Storage Wallet if such activities would require the use of a registered broker-dealer or investment adviser. Despite implementing policies and procedures to monitor compliance with relevant laws, with a goal of ensuring that our Arculus activities do not result in us inadvertently acting as an unregistered broker-dealer or investment advisor, we cannot assure that these measures will be completely effective. Should regulators challenge our stance regarding our non-obligations under various securities regulations, this could have a material and adverse impact on our operations. If we are found by relevant regulatory agencies to have inadvertently acted as an unregistered broker-dealer with respect to purchase and swap transactions in particular digital assets, we would expect to immediately cease supporting purchase and swap transactions in those digital assets unless and until either the digital asset at issue (or transaction in such digital asset)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activities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32" w:lineRule="exact"/>
        <w:rPr>
          <w:sz w:val="20"/>
          <w:szCs w:val="20"/>
          <w:color w:val="auto"/>
        </w:rPr>
      </w:pPr>
    </w:p>
    <w:p>
      <w:pPr>
        <w:ind w:right="200" w:firstLine="641"/>
        <w:spacing w:after="0" w:line="257" w:lineRule="auto"/>
        <w:rPr>
          <w:sz w:val="20"/>
          <w:szCs w:val="20"/>
          <w:color w:val="auto"/>
        </w:rPr>
      </w:pPr>
      <w:r>
        <w:rPr>
          <w:rFonts w:ascii="Times New Roman" w:cs="Times New Roman" w:eastAsia="Times New Roman" w:hAnsi="Times New Roman"/>
          <w:sz w:val="18"/>
          <w:szCs w:val="18"/>
          <w:color w:val="auto"/>
        </w:rPr>
        <w:t>We believe the storage and peer-to-peer/send &amp; receive functionality provided by the Arculus Cold Storage Wallet does not involve any purchase, sale or other transaction effected by us (or any party other than the sender and the recipient). Further, we are not compensated for such user-directed activities. However, regulators may determine that user-directed peer-to-peer transfers using the Arculus Cold Storage Wallet, or other Arculus-related activities would require registration and compliance with broker-dealer and/or securities exchange regulations.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Risks of Operating as an Unregistered Exchange or as Part of an Unregistered Exchange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1" w:lineRule="exact"/>
        <w:rPr>
          <w:sz w:val="20"/>
          <w:szCs w:val="20"/>
          <w:color w:val="auto"/>
        </w:rPr>
      </w:pPr>
    </w:p>
    <w:p>
      <w:pPr>
        <w:ind w:firstLine="641"/>
        <w:spacing w:after="0" w:line="234" w:lineRule="auto"/>
        <w:rPr>
          <w:sz w:val="20"/>
          <w:szCs w:val="20"/>
          <w:color w:val="auto"/>
        </w:rPr>
      </w:pPr>
      <w:r>
        <w:rPr>
          <w:rFonts w:ascii="Times New Roman" w:cs="Times New Roman" w:eastAsia="Times New Roman" w:hAnsi="Times New Roman"/>
          <w:sz w:val="18"/>
          <w:szCs w:val="18"/>
          <w:color w:val="auto"/>
        </w:rPr>
        <w:t>Any venue that brings together purchasers and sellers of digital assets, where such digital assets or transactions in such digital assets are characterized as securities under the U.S. federal securities laws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that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safeguard against misappropriation or infringement of our intellectual property may adversely affect our business.</w:t>
      </w:r>
    </w:p>
    <w:p>
      <w:pPr>
        <w:spacing w:after="0" w:line="251" w:lineRule="exact"/>
        <w:rPr>
          <w:sz w:val="20"/>
          <w:szCs w:val="20"/>
          <w:color w:val="auto"/>
        </w:rPr>
      </w:pPr>
    </w:p>
    <w:p>
      <w:pPr>
        <w:ind w:right="20" w:firstLine="641"/>
        <w:spacing w:after="0" w:line="249" w:lineRule="auto"/>
        <w:rPr>
          <w:sz w:val="20"/>
          <w:szCs w:val="20"/>
          <w:color w:val="auto"/>
        </w:rPr>
      </w:pPr>
      <w:r>
        <w:rPr>
          <w:rFonts w:ascii="Times New Roman" w:cs="Times New Roman" w:eastAsia="Times New Roman" w:hAnsi="Times New Roman"/>
          <w:sz w:val="18"/>
          <w:szCs w:val="18"/>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because of litigation or other proceedings relating to patents and other intellectual property rights.</w:t>
      </w:r>
    </w:p>
    <w:p>
      <w:pPr>
        <w:spacing w:after="0" w:line="251" w:lineRule="exact"/>
        <w:rPr>
          <w:sz w:val="20"/>
          <w:szCs w:val="20"/>
          <w:color w:val="auto"/>
        </w:rPr>
      </w:pPr>
    </w:p>
    <w:p>
      <w:pPr>
        <w:ind w:right="60" w:firstLine="641"/>
        <w:spacing w:after="0" w:line="251" w:lineRule="auto"/>
        <w:rPr>
          <w:sz w:val="20"/>
          <w:szCs w:val="20"/>
          <w:color w:val="auto"/>
        </w:rPr>
      </w:pPr>
      <w:r>
        <w:rPr>
          <w:rFonts w:ascii="Times New Roman" w:cs="Times New Roman" w:eastAsia="Times New Roman" w:hAnsi="Times New Roman"/>
          <w:sz w:val="18"/>
          <w:szCs w:val="18"/>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ind w:right="100"/>
        <w:spacing w:after="0" w:line="277" w:lineRule="auto"/>
        <w:rPr>
          <w:sz w:val="20"/>
          <w:szCs w:val="20"/>
          <w:color w:val="auto"/>
        </w:rPr>
      </w:pPr>
      <w:r>
        <w:rPr>
          <w:rFonts w:ascii="Times New Roman" w:cs="Times New Roman" w:eastAsia="Times New Roman" w:hAnsi="Times New Roman"/>
          <w:sz w:val="18"/>
          <w:szCs w:val="18"/>
          <w:color w:val="auto"/>
        </w:rPr>
        <w:t>intellectual property use infringes the rights of third parties. Any such litigation or other proceedings could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quality and manufacturing process disruptions could adversely affect our business.</w:t>
      </w:r>
    </w:p>
    <w:p>
      <w:pPr>
        <w:spacing w:after="0" w:line="238" w:lineRule="exact"/>
        <w:rPr>
          <w:sz w:val="20"/>
          <w:szCs w:val="20"/>
          <w:color w:val="auto"/>
        </w:rPr>
      </w:pPr>
    </w:p>
    <w:p>
      <w:pPr>
        <w:ind w:right="60" w:firstLine="641"/>
        <w:spacing w:after="0" w:line="255" w:lineRule="auto"/>
        <w:rPr>
          <w:sz w:val="20"/>
          <w:szCs w:val="20"/>
          <w:color w:val="auto"/>
        </w:rPr>
      </w:pPr>
      <w:r>
        <w:rPr>
          <w:rFonts w:ascii="Times New Roman" w:cs="Times New Roman" w:eastAsia="Times New Roman" w:hAnsi="Times New Roman"/>
          <w:sz w:val="17"/>
          <w:szCs w:val="17"/>
          <w:color w:val="auto"/>
        </w:rPr>
        <w:t>Our products and our technological processes are highly complex, require specialized equipment to manufacture and are subject to strict tolerances and requirements. We have experienced in the past, and may experience in the future,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2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certain distribution partners for distribution of our products and services. A loss of distribution partners could adversely affect our business.</w:t>
      </w:r>
    </w:p>
    <w:p>
      <w:pPr>
        <w:spacing w:after="0" w:line="185" w:lineRule="exact"/>
        <w:rPr>
          <w:sz w:val="20"/>
          <w:szCs w:val="20"/>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that may result in a loss of our market share and/or a decline in profitability.</w:t>
      </w:r>
    </w:p>
    <w:p>
      <w:pPr>
        <w:spacing w:after="0" w:line="251" w:lineRule="exact"/>
        <w:rPr>
          <w:sz w:val="20"/>
          <w:szCs w:val="20"/>
          <w:color w:val="auto"/>
        </w:rPr>
      </w:pPr>
    </w:p>
    <w:p>
      <w:pPr>
        <w:ind w:right="40" w:firstLine="641"/>
        <w:spacing w:after="0" w:line="252" w:lineRule="auto"/>
        <w:rPr>
          <w:sz w:val="20"/>
          <w:szCs w:val="20"/>
          <w:color w:val="auto"/>
        </w:rPr>
      </w:pPr>
      <w:r>
        <w:rPr>
          <w:rFonts w:ascii="Times New Roman" w:cs="Times New Roman" w:eastAsia="Times New Roman" w:hAnsi="Times New Roman"/>
          <w:sz w:val="18"/>
          <w:szCs w:val="18"/>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effectively in our product markets and maintain market share, which could adversely affect our business, financial condition and results of operations.</w:t>
      </w:r>
    </w:p>
    <w:p>
      <w:pPr>
        <w:spacing w:after="0" w:line="2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failure to operate our business in compliance with the security standards of the payment card industry or other industry standards applicable to our customers, such as payment networks certification standards, could adversely affect our business.</w:t>
      </w:r>
    </w:p>
    <w:p>
      <w:pPr>
        <w:spacing w:after="0" w:line="185"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209" w:lineRule="exact"/>
        <w:rPr>
          <w:sz w:val="20"/>
          <w:szCs w:val="20"/>
          <w:color w:val="auto"/>
        </w:rPr>
      </w:pPr>
    </w:p>
    <w:p>
      <w:pPr>
        <w:ind w:right="60" w:firstLine="641"/>
        <w:spacing w:after="0" w:line="257" w:lineRule="auto"/>
        <w:rPr>
          <w:sz w:val="20"/>
          <w:szCs w:val="20"/>
          <w:color w:val="auto"/>
        </w:rPr>
      </w:pPr>
      <w:r>
        <w:rPr>
          <w:rFonts w:ascii="Times New Roman" w:cs="Times New Roman" w:eastAsia="Times New Roman" w:hAnsi="Times New Roman"/>
          <w:sz w:val="18"/>
          <w:szCs w:val="18"/>
          <w:color w:val="auto"/>
        </w:rPr>
        <w:t>We make significant investments in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4" w:name="page65"/>
    <w:bookmarkEnd w:id="64"/>
    <w:p>
      <w:pPr>
        <w:ind w:right="240"/>
        <w:spacing w:after="0" w:line="257" w:lineRule="auto"/>
        <w:rPr>
          <w:sz w:val="20"/>
          <w:szCs w:val="20"/>
          <w:color w:val="auto"/>
        </w:rPr>
      </w:pPr>
      <w:r>
        <w:rPr>
          <w:rFonts w:ascii="Times New Roman" w:cs="Times New Roman" w:eastAsia="Times New Roman" w:hAnsi="Times New Roman"/>
          <w:sz w:val="18"/>
          <w:szCs w:val="18"/>
          <w:color w:val="auto"/>
        </w:rPr>
        <w:t>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consumers and businesses spend less, our business, operation outcomes, and financial state may be adversely affected.</w:t>
      </w:r>
    </w:p>
    <w:p>
      <w:pPr>
        <w:spacing w:after="0" w:line="251" w:lineRule="exact"/>
        <w:rPr>
          <w:sz w:val="20"/>
          <w:szCs w:val="20"/>
          <w:color w:val="auto"/>
        </w:rPr>
      </w:pPr>
    </w:p>
    <w:p>
      <w:pPr>
        <w:ind w:right="60" w:firstLine="641"/>
        <w:spacing w:after="0" w:line="253" w:lineRule="auto"/>
        <w:rPr>
          <w:sz w:val="20"/>
          <w:szCs w:val="20"/>
          <w:color w:val="auto"/>
        </w:rPr>
      </w:pPr>
      <w:r>
        <w:rPr>
          <w:rFonts w:ascii="Times New Roman" w:cs="Times New Roman" w:eastAsia="Times New Roman" w:hAnsi="Times New Roman"/>
          <w:sz w:val="18"/>
          <w:szCs w:val="18"/>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and warranty claims and their associated costs may adversely affect our business.</w:t>
      </w:r>
    </w:p>
    <w:p>
      <w:pPr>
        <w:spacing w:after="0" w:line="251" w:lineRule="exact"/>
        <w:rPr>
          <w:sz w:val="20"/>
          <w:szCs w:val="20"/>
          <w:color w:val="auto"/>
        </w:rPr>
      </w:pPr>
    </w:p>
    <w:p>
      <w:pPr>
        <w:ind w:firstLine="641"/>
        <w:spacing w:after="0" w:line="250" w:lineRule="auto"/>
        <w:rPr>
          <w:sz w:val="20"/>
          <w:szCs w:val="20"/>
          <w:color w:val="auto"/>
        </w:rPr>
      </w:pPr>
      <w:r>
        <w:rPr>
          <w:rFonts w:ascii="Times New Roman" w:cs="Times New Roman" w:eastAsia="Times New Roman" w:hAnsi="Times New Roman"/>
          <w:sz w:val="18"/>
          <w:szCs w:val="18"/>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21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revenue and operations may be materially and adversely affected by tariffs and other restrictions on imported goods that have been, and may continue to be, imposed by the U.S. government.</w:t>
      </w:r>
    </w:p>
    <w:p>
      <w:pPr>
        <w:spacing w:after="0" w:line="185" w:lineRule="exact"/>
        <w:rPr>
          <w:sz w:val="20"/>
          <w:szCs w:val="20"/>
          <w:color w:val="auto"/>
        </w:rPr>
      </w:pPr>
    </w:p>
    <w:p>
      <w:pPr>
        <w:ind w:firstLine="641"/>
        <w:spacing w:after="0" w:line="266" w:lineRule="auto"/>
        <w:rPr>
          <w:sz w:val="20"/>
          <w:szCs w:val="20"/>
          <w:color w:val="auto"/>
        </w:rPr>
      </w:pPr>
      <w:r>
        <w:rPr>
          <w:rFonts w:ascii="Times New Roman" w:cs="Times New Roman" w:eastAsia="Times New Roman" w:hAnsi="Times New Roman"/>
          <w:sz w:val="17"/>
          <w:szCs w:val="17"/>
          <w:color w:val="auto"/>
        </w:rPr>
        <w:t>A portion of the raw materials used by us to manufacture our products are obtained, directly or indirectly, from companies located outside of the United States. There is currently significant uncertainty about the future relationship between the U.S. and various other countries with respect to trade policies and tariffs. Recently, the U.S. has announced, delayed, re-imposed, and revised a series of broad-based, as well as country-, bloc-, and sector-specific tariffs on goods imported to the United States, as well as other trade policy changes. For example, the Trump administration has instituted substantial changes to U.S. foreign trade policy with respect to China and other countries, including several rounds of significant increase in tariffs on goods imported into the U.S., and has signaled further changes in trade policy which may include more stringent restrictions on international trade.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increase the costs of certain raw materials we purchase, and/or materially and adversely affect our business, financial condition and results of operations. These and future tariffs, including any retaliatory tariffs that may be imposed by other countries on U.S. exports, as well as uncertainties surrounding domestic and foreign tariffs and any other global trade developments, bring with them uncertainty. We cannot predict future changes to imports covered by tariffs or which countries will be included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5" w:name="page66"/>
    <w:bookmarkEnd w:id="65"/>
    <w:p>
      <w:pPr>
        <w:ind w:right="60"/>
        <w:spacing w:after="0" w:line="277" w:lineRule="auto"/>
        <w:rPr>
          <w:sz w:val="20"/>
          <w:szCs w:val="20"/>
          <w:color w:val="auto"/>
        </w:rPr>
      </w:pPr>
      <w:r>
        <w:rPr>
          <w:rFonts w:ascii="Times New Roman" w:cs="Times New Roman" w:eastAsia="Times New Roman" w:hAnsi="Times New Roman"/>
          <w:sz w:val="18"/>
          <w:szCs w:val="18"/>
          <w:color w:val="auto"/>
        </w:rPr>
        <w:t>excluded from such tariffs. The reactions of other countries and resulting actions on the United States and similarly situated companies could also negatively impact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sales subject us to additional risks that can adversely affect our business, operating results and financial condition.</w:t>
      </w:r>
    </w:p>
    <w:p>
      <w:pPr>
        <w:spacing w:after="0" w:line="251" w:lineRule="exact"/>
        <w:rPr>
          <w:sz w:val="20"/>
          <w:szCs w:val="20"/>
          <w:color w:val="auto"/>
        </w:rPr>
      </w:pPr>
    </w:p>
    <w:p>
      <w:pPr>
        <w:ind w:right="120" w:firstLine="641"/>
        <w:spacing w:after="0" w:line="257" w:lineRule="auto"/>
        <w:rPr>
          <w:sz w:val="20"/>
          <w:szCs w:val="20"/>
          <w:color w:val="auto"/>
        </w:rPr>
      </w:pPr>
      <w:r>
        <w:rPr>
          <w:rFonts w:ascii="Times New Roman" w:cs="Times New Roman" w:eastAsia="Times New Roman" w:hAnsi="Times New Roman"/>
          <w:sz w:val="18"/>
          <w:szCs w:val="18"/>
          <w:color w:val="auto"/>
        </w:rPr>
        <w:t>We have historically derived approximately 15-20% of our annual net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international operations subject the Company to a variety of risks and challenges, including:</w:t>
      </w:r>
    </w:p>
    <w:p>
      <w:pPr>
        <w:spacing w:after="0" w:line="247" w:lineRule="exact"/>
        <w:rPr>
          <w:sz w:val="20"/>
          <w:szCs w:val="20"/>
          <w:color w:val="auto"/>
        </w:rPr>
      </w:pPr>
    </w:p>
    <w:p>
      <w:pPr>
        <w:ind w:left="880" w:hanging="232"/>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related effects on our operating results;</w:t>
      </w:r>
    </w:p>
    <w:p>
      <w:pPr>
        <w:spacing w:after="0" w:line="25"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including wars, in each country or region;</w:t>
      </w:r>
    </w:p>
    <w:p>
      <w:pPr>
        <w:spacing w:after="0" w:line="6"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Brexit; reduction in billings, foreign currency exchange rates, and trade with the EU;</w:t>
      </w:r>
    </w:p>
    <w:p>
      <w:pPr>
        <w:spacing w:after="0" w:line="6" w:lineRule="exact"/>
        <w:rPr>
          <w:rFonts w:ascii="Times New Roman" w:cs="Times New Roman" w:eastAsia="Times New Roman" w:hAnsi="Times New Roman"/>
          <w:sz w:val="18"/>
          <w:szCs w:val="18"/>
          <w:color w:val="auto"/>
        </w:rPr>
      </w:pPr>
    </w:p>
    <w:p>
      <w:pPr>
        <w:ind w:left="820" w:right="3360" w:hanging="172"/>
        <w:spacing w:after="0" w:line="247" w:lineRule="auto"/>
        <w:tabs>
          <w:tab w:leader="none" w:pos="8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widespread outbreak of an illness or disease, or any other public health crisis, such as a resurgence of the COVID-19 pandemic, in each country or region;</w:t>
      </w:r>
    </w:p>
    <w:p>
      <w:pPr>
        <w:spacing w:after="0" w:line="1"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around the world;</w:t>
      </w:r>
    </w:p>
    <w:p>
      <w:pPr>
        <w:spacing w:after="0" w:line="6"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policy, including the imposition of and changes in tariffs and other trade restrictions; and</w:t>
      </w:r>
    </w:p>
    <w:p>
      <w:pPr>
        <w:spacing w:after="0" w:line="6" w:lineRule="exact"/>
        <w:rPr>
          <w:rFonts w:ascii="Times New Roman" w:cs="Times New Roman" w:eastAsia="Times New Roman" w:hAnsi="Times New Roman"/>
          <w:sz w:val="18"/>
          <w:szCs w:val="18"/>
          <w:color w:val="auto"/>
        </w:rPr>
      </w:pPr>
    </w:p>
    <w:p>
      <w:pPr>
        <w:ind w:left="960" w:right="680" w:hanging="312"/>
        <w:spacing w:after="0" w:line="273" w:lineRule="auto"/>
        <w:tabs>
          <w:tab w:leader="none" w:pos="8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and foreign laws and regulations imposed by other countries on foreign operations, 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rely on licensing arrangements in production and other fields, and actions taken by any of our licensing partners could have a material adverse effect on our business.</w:t>
      </w:r>
    </w:p>
    <w:p>
      <w:pPr>
        <w:spacing w:after="0" w:line="185" w:lineRule="exact"/>
        <w:rPr>
          <w:sz w:val="20"/>
          <w:szCs w:val="20"/>
          <w:color w:val="auto"/>
        </w:rPr>
      </w:pPr>
    </w:p>
    <w:p>
      <w:pPr>
        <w:ind w:right="120" w:firstLine="641"/>
        <w:spacing w:after="0" w:line="252" w:lineRule="auto"/>
        <w:rPr>
          <w:sz w:val="20"/>
          <w:szCs w:val="20"/>
          <w:color w:val="auto"/>
        </w:rPr>
      </w:pPr>
      <w:r>
        <w:rPr>
          <w:rFonts w:ascii="Times New Roman" w:cs="Times New Roman" w:eastAsia="Times New Roman" w:hAnsi="Times New Roman"/>
          <w:sz w:val="18"/>
          <w:szCs w:val="18"/>
          <w:color w:val="auto"/>
        </w:rPr>
        <w:t>Some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adoption of new tax legislation could affect our financial performance.</w:t>
      </w:r>
    </w:p>
    <w:p>
      <w:pPr>
        <w:spacing w:after="0" w:line="251" w:lineRule="exact"/>
        <w:rPr>
          <w:sz w:val="20"/>
          <w:szCs w:val="20"/>
          <w:color w:val="auto"/>
        </w:rPr>
      </w:pPr>
    </w:p>
    <w:p>
      <w:pPr>
        <w:ind w:right="20" w:firstLine="641"/>
        <w:spacing w:after="0" w:line="262"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It is difficult to predict whether and when there will be tax law changes having a material adverse effect on our business, financial condition, results of operations and cash flows.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Resolute Holdings Management Agreement</w:t>
      </w:r>
    </w:p>
    <w:p>
      <w:pPr>
        <w:spacing w:after="0" w:line="2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is managed for a fee by Resolute Holdings, which has substantial influence over our business, operations and strategy and upon which our business is heavily reliant.</w:t>
      </w:r>
    </w:p>
    <w:p>
      <w:pPr>
        <w:spacing w:after="0" w:line="172" w:lineRule="exact"/>
        <w:rPr>
          <w:sz w:val="20"/>
          <w:szCs w:val="20"/>
          <w:color w:val="auto"/>
        </w:rPr>
      </w:pPr>
    </w:p>
    <w:p>
      <w:pPr>
        <w:ind w:right="460" w:firstLine="641"/>
        <w:spacing w:after="0" w:line="262" w:lineRule="auto"/>
        <w:rPr>
          <w:sz w:val="20"/>
          <w:szCs w:val="20"/>
          <w:color w:val="auto"/>
        </w:rPr>
      </w:pPr>
      <w:r>
        <w:rPr>
          <w:rFonts w:ascii="Times New Roman" w:cs="Times New Roman" w:eastAsia="Times New Roman" w:hAnsi="Times New Roman"/>
          <w:sz w:val="18"/>
          <w:szCs w:val="18"/>
          <w:color w:val="auto"/>
        </w:rPr>
        <w:t>Pursuant to the Management Agreement between Holdings and Resolute Holdings, Resolute Holdings exercises substantial influence over our business, including being responsible for, among other things: establishing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6" w:name="page67"/>
    <w:bookmarkEnd w:id="66"/>
    <w:p>
      <w:pPr>
        <w:ind w:right="20"/>
        <w:spacing w:after="0" w:line="248" w:lineRule="auto"/>
        <w:rPr>
          <w:sz w:val="20"/>
          <w:szCs w:val="20"/>
          <w:color w:val="auto"/>
        </w:rPr>
      </w:pPr>
      <w:r>
        <w:rPr>
          <w:rFonts w:ascii="Times New Roman" w:cs="Times New Roman" w:eastAsia="Times New Roman" w:hAnsi="Times New Roman"/>
          <w:sz w:val="17"/>
          <w:szCs w:val="17"/>
          <w:color w:val="auto"/>
        </w:rPr>
        <w:t>and monitoring business objectives, financing activities and operating performance; selecting and overseeing the management team and their operating performance; reviewing and approving compensation and benefit plans, programs, policies and agreements, including with respect to any grants of equity awards to persons providing services; devising capital allocation strategies, plans and policies; setting budget parameters and expense guidelines and monitoring compliance therewith; identifying, analyzing and overseeing the consummation of business opportunities and potential acquisitions, dispositions and other business combinations; originating and recommending opportunities to form or acquire, and structuring and managing, any joint ventures; leading or overseeing negotiations with potential participants in any business opportunity under consideration and determining (or delegating to any officer of Holdings the decision to determine) if and when to proceed; engaging and supervising independent contractors and third-party service providers; reviewing and approving compensation and benefit plans, programs, policies and agreements; communicating with the holders of any securities (i) as required to satisfy any reporting and other requirements of any governmental authority having jurisdiction over Holdings and (ii) to maintain effective relations with such holders; overseeing all claims, disputes or controversies (including all litigation, arbitration, settlement or other proceedings or negotiations) (other than with Resolute Holdings or its affiliates); counselling Holdings in connection with decisions required by Delaware law to be made by the Company's Board; and performing such other services from time to time in connection with the management of the business and affairs of Holdings and its activities as the Company's Board shall reasonably request and/or Resolute Holdings shall deem appropriate under the particular circumstances, in each case to the fullest extent permitted by Delaware law, federal securities laws, the New York Stock Exchange listing rules and any other applicable rules and regulations.</w:t>
      </w:r>
    </w:p>
    <w:p>
      <w:pPr>
        <w:spacing w:after="0" w:line="204" w:lineRule="exact"/>
        <w:rPr>
          <w:sz w:val="20"/>
          <w:szCs w:val="20"/>
          <w:color w:val="auto"/>
        </w:rPr>
      </w:pPr>
    </w:p>
    <w:p>
      <w:pPr>
        <w:ind w:right="40" w:firstLine="641"/>
        <w:spacing w:after="0" w:line="242" w:lineRule="auto"/>
        <w:rPr>
          <w:sz w:val="20"/>
          <w:szCs w:val="20"/>
          <w:color w:val="auto"/>
        </w:rPr>
      </w:pPr>
      <w:r>
        <w:rPr>
          <w:rFonts w:ascii="Times New Roman" w:cs="Times New Roman" w:eastAsia="Times New Roman" w:hAnsi="Times New Roman"/>
          <w:sz w:val="18"/>
          <w:szCs w:val="18"/>
          <w:color w:val="auto"/>
        </w:rPr>
        <w:t>Determinations by Resolute Holdings with respect to these matters will impact our day-to-day business and operations, our strategy, and the manner in which we present our results and operations to our stockholders, all of which may change at the discretion of Resolute Holdings. We have also delegated by resolution of the Company's Board authority to approve issuances of our equity for M&amp;A and equity awards, and we have agreed to issue the Company's equity pursuant to those delegations, which could result in existing holders of our Class A Common Stock experiencing dilution.</w:t>
      </w:r>
    </w:p>
    <w:p>
      <w:pPr>
        <w:spacing w:after="0" w:line="207" w:lineRule="exact"/>
        <w:rPr>
          <w:sz w:val="20"/>
          <w:szCs w:val="20"/>
          <w:color w:val="auto"/>
        </w:rPr>
      </w:pPr>
    </w:p>
    <w:p>
      <w:pPr>
        <w:ind w:right="140" w:firstLine="641"/>
        <w:spacing w:after="0" w:line="250" w:lineRule="auto"/>
        <w:rPr>
          <w:sz w:val="20"/>
          <w:szCs w:val="20"/>
          <w:color w:val="auto"/>
        </w:rPr>
      </w:pPr>
      <w:r>
        <w:rPr>
          <w:rFonts w:ascii="Times New Roman" w:cs="Times New Roman" w:eastAsia="Times New Roman" w:hAnsi="Times New Roman"/>
          <w:sz w:val="17"/>
          <w:szCs w:val="17"/>
          <w:color w:val="auto"/>
        </w:rPr>
        <w:t>The success of our business depends on the ability of Resolute Holdings to effectively manage our business and operations. We rely heavily on the skill and expertise of Resolute Holdings and its management team, particularly David Cote and Thomas Knott. The extent and nature of the experience of Mr. Cote, Mr. Knott and Resolute Holdings’ other personnel and the nature of the relationships they have with external contacts, although not guarantees of positive results, are critical to the success of our business. Personnel of Resolute Holdings, including its directors and executive officers, can be replaced or added over time or be required to recuse themselves or otherwise be restricted from participating in their duties, which may impact Resolute Holdings' performance when managing our business and operations. Additionally, while we believe that Resolute Holdings has access to the resources, relationships, and expertise necessary to manage our business, there can be no assurance that such resources, relationships, and expertise will be available in the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Management Agreement does not create a mutually exclusive relationship between Holdings and Resolute Management.</w:t>
      </w:r>
    </w:p>
    <w:p>
      <w:pPr>
        <w:spacing w:after="0" w:line="238" w:lineRule="exact"/>
        <w:rPr>
          <w:sz w:val="20"/>
          <w:szCs w:val="20"/>
          <w:color w:val="auto"/>
        </w:rPr>
      </w:pPr>
    </w:p>
    <w:p>
      <w:pPr>
        <w:ind w:firstLine="641"/>
        <w:spacing w:after="0" w:line="234" w:lineRule="auto"/>
        <w:rPr>
          <w:sz w:val="20"/>
          <w:szCs w:val="20"/>
          <w:color w:val="auto"/>
        </w:rPr>
      </w:pPr>
      <w:r>
        <w:rPr>
          <w:rFonts w:ascii="Times New Roman" w:cs="Times New Roman" w:eastAsia="Times New Roman" w:hAnsi="Times New Roman"/>
          <w:sz w:val="18"/>
          <w:szCs w:val="18"/>
          <w:color w:val="auto"/>
        </w:rPr>
        <w:t>The Management Agreement and the obligations thereunder to provide Holdings with management services does not create a mutually exclusive relationship between Resolute Holdings, on the one hand, and any of the companies that Resolute Holdings manages, including Holdings, on the other. The allocation of Resolute Holdings’ resources is within Resolute Holdings’ sole discretion, and the resources of Resolute Holdings are not required to be, nor are they, fully dedicated to our business and operations. Resolute Holdings is responsible for its own business activities and, as a result, not all of the business time of Resolute Holdings’ personnel will be devoted to our business. Furthermore, we expect that Resolute Holdings will from time to time pursue new business activities, including the management of additional businesses. Accordingly, in addition to the management of Holdings, Resolute Holdings may alternatively focus its efforts on the business(es) of one or more of its other managed companies, the pursuit of additional management agreements with additional managed companies, other strategies, or a combination thereof, each of which could require Resolute Holdings to divert some of its personnel's time and attention away from the management of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Management Agreement may be terminated by Resolute Holdings or Holdings, and a termination fee may be payable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67" w:name="page68"/>
    <w:bookmarkEnd w:id="67"/>
    <w:p>
      <w:pPr>
        <w:ind w:firstLine="641"/>
        <w:spacing w:after="0" w:line="249" w:lineRule="auto"/>
        <w:rPr>
          <w:sz w:val="20"/>
          <w:szCs w:val="20"/>
          <w:color w:val="auto"/>
        </w:rPr>
      </w:pPr>
      <w:r>
        <w:rPr>
          <w:rFonts w:ascii="Times New Roman" w:cs="Times New Roman" w:eastAsia="Times New Roman" w:hAnsi="Times New Roman"/>
          <w:sz w:val="17"/>
          <w:szCs w:val="17"/>
          <w:color w:val="auto"/>
        </w:rPr>
        <w:t>The Management Agreement has an initial term of 10 years, following which it will be subject to automatic renewal for successive 10-year periods. Resolute Holdings may terminate the Management Agreement for any reason upon 180 days’ notice before the last day of the initial term or a renewal term, and no termination fee would be payable upon such termination. Each of Holdings and Resolute Holdings may terminate the Management Agreement upon the occurrence of certain other limited events, and in connection with certain of these limited events, Resolute Holdings has the right to require Holdings to pay a termination fee. The termination fee that may become payable by us in connection with these events could be significant and may have a material adverse effect on our results of operations, or if paid all or partially in shares of our Class A Common Stock, could result in significant dilution to the holders of our Class A Common Stock. We can offer no assurance that Resolute Holdings will continue to manage our business and provide services to us in the future or that we will continue to have access to Resolute Holdings’ personnel. The loss of services or departure of one or more members of Resolute Holdings’ management team could adversely affect our financial performance, business, and results of operations. See “Business — Recent Developments.”</w:t>
      </w:r>
    </w:p>
    <w:p>
      <w:pPr>
        <w:spacing w:after="0" w:line="21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Resolute Holdings maintains a contractual as opposed to a fiduciary relationship with Holdings, and has limited liability under the Management Agreement for which they may be indemnified.</w:t>
      </w:r>
    </w:p>
    <w:p>
      <w:pPr>
        <w:spacing w:after="0" w:line="159" w:lineRule="exact"/>
        <w:rPr>
          <w:sz w:val="20"/>
          <w:szCs w:val="20"/>
          <w:color w:val="auto"/>
        </w:rPr>
      </w:pPr>
    </w:p>
    <w:p>
      <w:pPr>
        <w:ind w:firstLine="641"/>
        <w:spacing w:after="0" w:line="234" w:lineRule="auto"/>
        <w:rPr>
          <w:sz w:val="20"/>
          <w:szCs w:val="20"/>
          <w:color w:val="auto"/>
        </w:rPr>
      </w:pPr>
      <w:r>
        <w:rPr>
          <w:rFonts w:ascii="Times New Roman" w:cs="Times New Roman" w:eastAsia="Times New Roman" w:hAnsi="Times New Roman"/>
          <w:sz w:val="18"/>
          <w:szCs w:val="18"/>
          <w:color w:val="auto"/>
        </w:rPr>
        <w:t>The Management Agreement does not impose on Resolute Holdings an express or implied fiduciary duty to Holdings, any of its controlled affiliates or any holders of equity or voting interests in Holdings or such controlled affiliates, and under the Management Agreement, Resolute Holdings does not assume any responsibility other than to render to Holdings the services called for thereunder in good faith. Under the terms of the Management Agreement, Resolute Holdings and its affiliates and their respective directors, officers, employees, managers, trustees, control persons, partners, stockholders and equity holders (collectively, the “Resolute Holdings Indemnified Parties”) are not liable to Holdings, us or our stockholders for any acts or omissions performed in accordance with and pursuant to, or in furtherance of, the Management Agreement. Holdings has agreed to indemnify the Resolute Holdings Indemnified Parties with respect to all expenses, losses, damages, liabilities, demands, charges and claims of any nature whatsoever (excluding certain limited documented and reasonable out-of-pocket expenses incurred in connection with investigating, preparing or defending any acts or omissions by Holdings or its officers, employees or affiliates performed in accordance with, pursuant to or in furtherance of the Management Agreement) arising from any acts or omissions performed in good faith in accordance with, pursuant to, or in furtherance of the Management Agreement and not constituting bad faith, fraud, willful misconduct, gross negligence or reckless disregard of duties, performed or not performed in good faith in accordance with and pursuant to the Management Agreement. Accordingly, under the management of Resolute Holdings, our business may experience poor performance or losses or incur expenses for which Resolute Holdings will not be liable.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Resolute Holdings and its other affiliates.</w:t>
      </w:r>
    </w:p>
    <w:p>
      <w:pPr>
        <w:spacing w:after="0" w:line="238" w:lineRule="exact"/>
        <w:rPr>
          <w:sz w:val="20"/>
          <w:szCs w:val="20"/>
          <w:color w:val="auto"/>
        </w:rPr>
      </w:pPr>
    </w:p>
    <w:p>
      <w:pPr>
        <w:ind w:right="40" w:firstLine="641"/>
        <w:spacing w:after="0" w:line="234" w:lineRule="auto"/>
        <w:rPr>
          <w:sz w:val="20"/>
          <w:szCs w:val="20"/>
          <w:color w:val="auto"/>
        </w:rPr>
      </w:pPr>
      <w:r>
        <w:rPr>
          <w:rFonts w:ascii="Times New Roman" w:cs="Times New Roman" w:eastAsia="Times New Roman" w:hAnsi="Times New Roman"/>
          <w:sz w:val="18"/>
          <w:szCs w:val="18"/>
          <w:color w:val="auto"/>
        </w:rPr>
        <w:t>In addition to providing management services to Holdings, Resolute Holdings may provide management services to other companies, including those that are in the same or similar lines of business as ours. Moreover, some of our executive officers and/or directors, including David Cote and Thomas Knott, are also executive officers and/or directors of Resolute Holdings and may serve in similar positions at other companies managed by Resolute Holdings. As a result, certain of our directors may have duties to Resolute Holdings which duties could conflict with the duties they owe to us, which could require them to recuse themselves from certain determinations, and could result in action or inaction that is detrimental to our business. In addition, we may from time to time have conflicts of interest with Resolute Holdings in its management of our business as operated through Holdings, which may arise primarily from the involvement of Resolute Holdings and its affiliates in other activities that may conflict with our business, including conflicts between our business activities as operated through Holdings and the business activities of other companies managed by Resolute Holdings. Under the Management Agreement, Resolute Holdings and its affiliates are permitted to engage in such activities, and Resolute Holdings and its affiliates' engagement in such activities may not be favorable to us and may be contrary to our interests. These and other potential conflicts of interest between us and Resolute Holdings and its affiliates could have an adverse effect on the operation of our business.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68" w:name="page69"/>
    <w:bookmarkEnd w:id="68"/>
    <w:p>
      <w:pPr>
        <w:ind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our ownership interest in Holdings, and such ownership may not be sufficient to pay dividends or make distributions or loans to enable us to pay any dividends on our Class A Common Stock or satisfy our other financial obligations, including our obligations under the Tax Receivable Agreement.</w:t>
      </w:r>
    </w:p>
    <w:p>
      <w:pPr>
        <w:spacing w:after="0" w:line="200" w:lineRule="exact"/>
        <w:rPr>
          <w:sz w:val="20"/>
          <w:szCs w:val="20"/>
          <w:color w:val="auto"/>
        </w:rPr>
      </w:pPr>
    </w:p>
    <w:p>
      <w:pPr>
        <w:ind w:right="60" w:firstLine="641"/>
        <w:spacing w:after="0" w:line="253"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Class A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Class A Common Stock or satisfy our other financial obligations, including our obligations under the Tax Receivable Agreement.</w:t>
      </w:r>
    </w:p>
    <w:p>
      <w:pPr>
        <w:spacing w:after="0" w:line="2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pay certain parties for most of the realized benefits relating to any additional tax depreciation or amortization deductions that we may claim.</w:t>
      </w:r>
    </w:p>
    <w:p>
      <w:pPr>
        <w:spacing w:after="0" w:line="185" w:lineRule="exact"/>
        <w:rPr>
          <w:sz w:val="20"/>
          <w:szCs w:val="20"/>
          <w:color w:val="auto"/>
        </w:rPr>
      </w:pPr>
    </w:p>
    <w:p>
      <w:pPr>
        <w:ind w:right="20" w:firstLine="641"/>
        <w:spacing w:after="0" w:line="268" w:lineRule="auto"/>
        <w:rPr>
          <w:sz w:val="20"/>
          <w:szCs w:val="20"/>
          <w:color w:val="auto"/>
        </w:rPr>
      </w:pPr>
      <w:r>
        <w:rPr>
          <w:rFonts w:ascii="Times New Roman" w:cs="Times New Roman" w:eastAsia="Times New Roman" w:hAnsi="Times New Roman"/>
          <w:sz w:val="17"/>
          <w:szCs w:val="17"/>
          <w:color w:val="auto"/>
        </w:rPr>
        <w:t>In connection with the merger with Roman DBDR completed in December 2021, we entered into the Tax Receivable Agreement with Holdings and the TRA Parties (as defined therein). The Tax Receivable Agreement provides for the payment by us to certain TRA Parties of 90% of the benefits, if any, that we are deemed to realize (calculated using certain assumptions) as a result of (i) our allocable share of existing tax basis in the assets of Holdings and its subsidiaries acquired (A) in such transaction and (B) upon sales or exchanges of Holdings Units pursuant to the Exchange Agreement after such transaction,</w:t>
      </w:r>
    </w:p>
    <w:p>
      <w:pPr>
        <w:spacing w:after="0" w:line="1" w:lineRule="exact"/>
        <w:rPr>
          <w:sz w:val="20"/>
          <w:szCs w:val="20"/>
          <w:color w:val="auto"/>
        </w:rPr>
      </w:pPr>
    </w:p>
    <w:p>
      <w:pPr>
        <w:ind w:firstLine="7"/>
        <w:spacing w:after="0" w:line="248" w:lineRule="auto"/>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increases in tax basis that occurred as a result of (A) such transaction and (B) sales or exchanges of Holdings Units pursuant to the Exchange Agreement after such transaction,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the Company may make under the Tax Receivable Agreement will be substantial.</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72" w:lineRule="exact"/>
        <w:rPr>
          <w:sz w:val="20"/>
          <w:szCs w:val="20"/>
          <w:color w:val="auto"/>
        </w:rPr>
      </w:pPr>
    </w:p>
    <w:p>
      <w:pPr>
        <w:ind w:right="40" w:firstLine="641"/>
        <w:spacing w:after="0" w:line="234" w:lineRule="auto"/>
        <w:rPr>
          <w:sz w:val="20"/>
          <w:szCs w:val="20"/>
          <w:color w:val="auto"/>
        </w:rPr>
      </w:pPr>
      <w:r>
        <w:rPr>
          <w:rFonts w:ascii="Times New Roman" w:cs="Times New Roman" w:eastAsia="Times New Roman" w:hAnsi="Times New Roman"/>
          <w:sz w:val="18"/>
          <w:szCs w:val="18"/>
          <w:color w:val="auto"/>
        </w:rPr>
        <w:t>Our payment obligations under the Tax Receivable Agreement may be accelerated in the event of certain changes of control and will be accelerated in the event we elect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15% per annum (as amended in September 2024)) of all future payments that TRA Parties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as well as sufficient taxable income to fully utilize any remaining net operating losses subject to the Tax Receivable Agreement on a straight line basis over the shorter of the statutory expiration period for such net operating losses and the five-year period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00" w:right="379" w:bottom="1440" w:gutter="0" w:footer="0" w:header="0"/>
        </w:sectPr>
      </w:pPr>
    </w:p>
    <w:bookmarkStart w:id="69" w:name="page70"/>
    <w:bookmarkEnd w:id="69"/>
    <w:p>
      <w:pPr>
        <w:ind w:right="20"/>
        <w:spacing w:after="0" w:line="238" w:lineRule="auto"/>
        <w:rPr>
          <w:sz w:val="20"/>
          <w:szCs w:val="20"/>
          <w:color w:val="auto"/>
        </w:rPr>
      </w:pPr>
      <w:r>
        <w:rPr>
          <w:rFonts w:ascii="Times New Roman" w:cs="Times New Roman" w:eastAsia="Times New Roman" w:hAnsi="Times New Roman"/>
          <w:sz w:val="18"/>
          <w:szCs w:val="18"/>
          <w:color w:val="auto"/>
        </w:rPr>
        <w:t>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224"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85"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0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Risks Related to Indebtedness</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Holdings has a substantial amount of indebtedness, which may limit our operating flexibility and could adversely affect our business, financial condition and results of operations.</w:t>
      </w:r>
    </w:p>
    <w:p>
      <w:pPr>
        <w:spacing w:after="0" w:line="185" w:lineRule="exact"/>
        <w:rPr>
          <w:sz w:val="20"/>
          <w:szCs w:val="20"/>
          <w:color w:val="auto"/>
        </w:rPr>
      </w:pPr>
    </w:p>
    <w:p>
      <w:pPr>
        <w:ind w:right="200" w:firstLine="641"/>
        <w:spacing w:after="0" w:line="277" w:lineRule="auto"/>
        <w:rPr>
          <w:sz w:val="20"/>
          <w:szCs w:val="20"/>
          <w:color w:val="auto"/>
        </w:rPr>
      </w:pPr>
      <w:r>
        <w:rPr>
          <w:rFonts w:ascii="Times New Roman" w:cs="Times New Roman" w:eastAsia="Times New Roman" w:hAnsi="Times New Roman"/>
          <w:sz w:val="18"/>
          <w:szCs w:val="18"/>
          <w:color w:val="auto"/>
        </w:rPr>
        <w:t>Holdings had approximately $197.5 million of indebtedness as of December 31, 2024, consisting of amounts outstanding under its senior secured credit facility. This indebtedness could have important consequences to our investors, including, but not limited to:</w:t>
      </w:r>
    </w:p>
    <w:p>
      <w:pPr>
        <w:spacing w:after="0" w:line="190" w:lineRule="exact"/>
        <w:rPr>
          <w:sz w:val="20"/>
          <w:szCs w:val="20"/>
          <w:color w:val="auto"/>
        </w:rPr>
      </w:pPr>
    </w:p>
    <w:p>
      <w:pPr>
        <w:ind w:left="960" w:hanging="3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reducing our flexibility to respond to, general adverse economic and industry conditions;</w:t>
      </w:r>
    </w:p>
    <w:p>
      <w:pPr>
        <w:spacing w:after="0" w:line="25" w:lineRule="exact"/>
        <w:rPr>
          <w:rFonts w:ascii="Times New Roman" w:cs="Times New Roman" w:eastAsia="Times New Roman" w:hAnsi="Times New Roman"/>
          <w:sz w:val="18"/>
          <w:szCs w:val="18"/>
          <w:color w:val="auto"/>
        </w:rPr>
      </w:pPr>
    </w:p>
    <w:p>
      <w:pPr>
        <w:ind w:left="960" w:right="320" w:hanging="312"/>
        <w:spacing w:after="0" w:line="247"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cash flow from operations to servicing debt, including interest payments and excess cash flow prepayment obligations;</w:t>
      </w:r>
    </w:p>
    <w:p>
      <w:pPr>
        <w:spacing w:after="0" w:line="1"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competitive environment; and</w:t>
      </w:r>
    </w:p>
    <w:p>
      <w:pPr>
        <w:spacing w:after="0" w:line="6"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to borrow additional funds and increasing the cost of any such borrowing.</w:t>
      </w:r>
    </w:p>
    <w:p>
      <w:pPr>
        <w:spacing w:after="0" w:line="228" w:lineRule="exact"/>
        <w:rPr>
          <w:sz w:val="20"/>
          <w:szCs w:val="20"/>
          <w:color w:val="auto"/>
        </w:rPr>
      </w:pPr>
    </w:p>
    <w:p>
      <w:pPr>
        <w:ind w:right="120" w:firstLine="641"/>
        <w:spacing w:after="0" w:line="277" w:lineRule="auto"/>
        <w:rPr>
          <w:sz w:val="20"/>
          <w:szCs w:val="20"/>
          <w:color w:val="auto"/>
        </w:rPr>
      </w:pPr>
      <w:r>
        <w:rPr>
          <w:rFonts w:ascii="Times New Roman" w:cs="Times New Roman" w:eastAsia="Times New Roman" w:hAnsi="Times New Roman"/>
          <w:sz w:val="18"/>
          <w:szCs w:val="18"/>
          <w:color w:val="auto"/>
        </w:rPr>
        <w:t>The interest rates in this credit facility are set based upon stated margins above the lender’s base rate and the SOFR, an interest rate at which banks can borrow funds, which is subject to fluctuation. In addition,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70" w:name="page71"/>
    <w:bookmarkEnd w:id="70"/>
    <w:p>
      <w:pPr>
        <w:ind w:right="360"/>
        <w:spacing w:after="0" w:line="277" w:lineRule="auto"/>
        <w:rPr>
          <w:sz w:val="20"/>
          <w:szCs w:val="20"/>
          <w:color w:val="auto"/>
        </w:rPr>
      </w:pPr>
      <w:r>
        <w:rPr>
          <w:rFonts w:ascii="Times New Roman" w:cs="Times New Roman" w:eastAsia="Times New Roman" w:hAnsi="Times New Roman"/>
          <w:sz w:val="18"/>
          <w:szCs w:val="18"/>
          <w:color w:val="auto"/>
        </w:rPr>
        <w:t>rate margin applicable to the term loan and revolving loans can vary by one hundred (100) basis points depending on total leverage ratio. An increase in interest rates would adversely affect our profitability.</w:t>
      </w:r>
    </w:p>
    <w:p>
      <w:pPr>
        <w:spacing w:after="0" w:line="1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Upon the occurrence of an event of default relating to the Holdings' credit facility, the lenders could elect to accelerate payments due and terminate all commitments to extend further credit.</w:t>
      </w:r>
    </w:p>
    <w:p>
      <w:pPr>
        <w:spacing w:after="0" w:line="185" w:lineRule="exact"/>
        <w:rPr>
          <w:sz w:val="20"/>
          <w:szCs w:val="20"/>
          <w:color w:val="auto"/>
        </w:rPr>
      </w:pPr>
    </w:p>
    <w:p>
      <w:pPr>
        <w:ind w:right="140" w:firstLine="641"/>
        <w:spacing w:after="0" w:line="257" w:lineRule="auto"/>
        <w:rPr>
          <w:sz w:val="20"/>
          <w:szCs w:val="20"/>
          <w:color w:val="auto"/>
        </w:rPr>
      </w:pPr>
      <w:r>
        <w:rPr>
          <w:rFonts w:ascii="Times New Roman" w:cs="Times New Roman" w:eastAsia="Times New Roman" w:hAnsi="Times New Roman"/>
          <w:sz w:val="18"/>
          <w:szCs w:val="18"/>
          <w:color w:val="auto"/>
        </w:rPr>
        <w:t>Under the Holdings' credit facility, upon the occurrence of an event of default, the lenders will be able to elect to declare all amounts outstanding under the credit agreement to be immediately due and payable and terminate all commitments to lend additional funds. If Holdings is unable to repay those amounts, the lenders under the credit agreement could proceed to foreclose against the collateral that secures that indebtedness. Holdings has granted the lenders a security interest in substantially all of its assets.</w:t>
      </w:r>
    </w:p>
    <w:p>
      <w:pPr>
        <w:spacing w:after="0" w:line="2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debt outstanding under the Holdings credit facility has a variable rate of interest that is based on the SOFR which may have consequences for us that cannot be reasonably predicted and may increase our cost of borrowing in the future.</w:t>
      </w:r>
    </w:p>
    <w:p>
      <w:pPr>
        <w:spacing w:after="0" w:line="172" w:lineRule="exact"/>
        <w:rPr>
          <w:sz w:val="20"/>
          <w:szCs w:val="20"/>
          <w:color w:val="auto"/>
        </w:rPr>
      </w:pPr>
    </w:p>
    <w:p>
      <w:pPr>
        <w:ind w:firstLine="641"/>
        <w:spacing w:after="0" w:line="239" w:lineRule="auto"/>
        <w:rPr>
          <w:sz w:val="20"/>
          <w:szCs w:val="20"/>
          <w:color w:val="auto"/>
        </w:rPr>
      </w:pPr>
      <w:r>
        <w:rPr>
          <w:rFonts w:ascii="Times New Roman" w:cs="Times New Roman" w:eastAsia="Times New Roman" w:hAnsi="Times New Roman"/>
          <w:sz w:val="18"/>
          <w:szCs w:val="18"/>
          <w:color w:val="auto"/>
        </w:rPr>
        <w:t>In 2023, Holdings amended its credit facility to transition from bearing interest based on London Interbank Offered Rate (“LIBOR”) to SOFR. The use of SOFR-based rates may result in interest rates and/or payments that are higher or lower than the rates and payments that we experienced under LIBOR. Additionally,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Holdings credit facility contains restrictive covenants that may impair its ability to conduct business.</w:t>
      </w:r>
    </w:p>
    <w:p>
      <w:pPr>
        <w:spacing w:after="0" w:line="251" w:lineRule="exact"/>
        <w:rPr>
          <w:sz w:val="20"/>
          <w:szCs w:val="20"/>
          <w:color w:val="auto"/>
        </w:rPr>
      </w:pPr>
    </w:p>
    <w:p>
      <w:pPr>
        <w:ind w:right="20" w:firstLine="641"/>
        <w:spacing w:after="0" w:line="251" w:lineRule="auto"/>
        <w:rPr>
          <w:sz w:val="20"/>
          <w:szCs w:val="20"/>
          <w:color w:val="auto"/>
        </w:rPr>
      </w:pPr>
      <w:r>
        <w:rPr>
          <w:rFonts w:ascii="Times New Roman" w:cs="Times New Roman" w:eastAsia="Times New Roman" w:hAnsi="Times New Roman"/>
          <w:sz w:val="18"/>
          <w:szCs w:val="18"/>
          <w:color w:val="auto"/>
        </w:rPr>
        <w:t>The Holdings credit facility contains operating covenants and financial covenants that may in each case limit management’s discretion with respect to certain business matters. Holdings must comply with a maximum senior secured leverage ratio and a minimum debt service coverage ratio. Among other things, these covenants restrict Holdings’ (and our)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may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Holdings may not be able to maintain compliance with these covenants in the future and, if it fails to do so, it may not be able to obtain waivers from the lenders and/or amend the covenants, which may result in foreclosure of its assets. See Note 6 of Notes to Consolidated Financial Statements in this report for additional information.</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Risks Related to Ownership of our Securities</w:t>
      </w:r>
    </w:p>
    <w:p>
      <w:pPr>
        <w:spacing w:after="0" w:line="24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our ownership of our subsidiaries’ business. If the business of our subsidiaries is not profitably operated, they may be unable to make distributions to enable us to pay any dividends on our common stock or satisfy our other financial obligations.</w:t>
      </w:r>
    </w:p>
    <w:p>
      <w:pPr>
        <w:spacing w:after="0" w:line="185" w:lineRule="exact"/>
        <w:rPr>
          <w:sz w:val="20"/>
          <w:szCs w:val="20"/>
          <w:color w:val="auto"/>
        </w:rPr>
      </w:pPr>
    </w:p>
    <w:p>
      <w:pPr>
        <w:ind w:right="260" w:firstLine="641"/>
        <w:spacing w:after="0" w:line="255" w:lineRule="auto"/>
        <w:rPr>
          <w:sz w:val="20"/>
          <w:szCs w:val="20"/>
          <w:color w:val="auto"/>
        </w:rPr>
      </w:pPr>
      <w:r>
        <w:rPr>
          <w:rFonts w:ascii="Times New Roman" w:cs="Times New Roman" w:eastAsia="Times New Roman" w:hAnsi="Times New Roman"/>
          <w:sz w:val="18"/>
          <w:szCs w:val="18"/>
          <w:color w:val="auto"/>
        </w:rPr>
        <w:t>CompoSecure, Inc. has no direct operations and no significant assets other than the ownership of its subsidiaries, which operate the Company’s business. CompoSecure, Inc. depends on profits generated by its subsidiaries’ business for debt repayment and to generate the funds necessary to meet its other financial obligations, including our expenses as a publicly traded company, and to pay any dividends with respect to our capital stock.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03" w:right="379" w:bottom="1440" w:gutter="0" w:footer="0" w:header="0"/>
        </w:sectPr>
      </w:pPr>
    </w:p>
    <w:bookmarkStart w:id="71" w:name="page72"/>
    <w:bookmarkEnd w:id="71"/>
    <w:p>
      <w:pPr>
        <w:ind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85"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Our Charter contains provisions that may discourage unsolicited takeover proposals that stockholders may consider to be in their best interests. These provisions include the classification of our Board and the ability of our Board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209" w:lineRule="exact"/>
        <w:rPr>
          <w:sz w:val="20"/>
          <w:szCs w:val="20"/>
          <w:color w:val="auto"/>
        </w:rPr>
      </w:pPr>
    </w:p>
    <w:p>
      <w:pPr>
        <w:ind w:right="380" w:firstLine="641"/>
        <w:spacing w:after="0" w:line="262" w:lineRule="auto"/>
        <w:rPr>
          <w:sz w:val="20"/>
          <w:szCs w:val="20"/>
          <w:color w:val="auto"/>
        </w:rPr>
      </w:pPr>
      <w:r>
        <w:rPr>
          <w:rFonts w:ascii="Times New Roman" w:cs="Times New Roman" w:eastAsia="Times New Roman" w:hAnsi="Times New Roman"/>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204" w:lineRule="exact"/>
        <w:rPr>
          <w:sz w:val="20"/>
          <w:szCs w:val="20"/>
          <w:color w:val="auto"/>
        </w:rPr>
      </w:pPr>
    </w:p>
    <w:p>
      <w:pPr>
        <w:ind w:left="960" w:right="700" w:hanging="312"/>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approved either the business combination or the transaction that resulted in the stockholder becoming an interested stockholder;</w:t>
      </w:r>
    </w:p>
    <w:p>
      <w:pPr>
        <w:spacing w:after="0" w:line="190" w:lineRule="exact"/>
        <w:rPr>
          <w:rFonts w:ascii="Times New Roman" w:cs="Times New Roman" w:eastAsia="Times New Roman" w:hAnsi="Times New Roman"/>
          <w:sz w:val="18"/>
          <w:szCs w:val="18"/>
          <w:color w:val="auto"/>
        </w:rPr>
      </w:pPr>
    </w:p>
    <w:p>
      <w:pPr>
        <w:ind w:left="960" w:right="120" w:hanging="312"/>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90" w:lineRule="exact"/>
        <w:rPr>
          <w:rFonts w:ascii="Times New Roman" w:cs="Times New Roman" w:eastAsia="Times New Roman" w:hAnsi="Times New Roman"/>
          <w:sz w:val="18"/>
          <w:szCs w:val="18"/>
          <w:color w:val="auto"/>
        </w:rPr>
      </w:pPr>
    </w:p>
    <w:p>
      <w:pPr>
        <w:ind w:left="960" w:right="60" w:hanging="312"/>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90"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the Company. These provisions could also discourage proxy contests and make it more difficult for public stockholders to elect directors of their choosing.</w:t>
      </w:r>
    </w:p>
    <w:p>
      <w:pPr>
        <w:spacing w:after="0" w:line="1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satisfy the New York Stock Exchange listing requirements in the future, which could limit investors’ ability to effect transactions in our securities and subject us to additional trading restrictions.</w:t>
      </w:r>
    </w:p>
    <w:p>
      <w:pPr>
        <w:spacing w:after="0" w:line="185"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We may be unable to maintain the listing of our securities on the New York Stock Exchange in the future. If our securities are delisted from the New York Stock Exchange, there could be significant material adverse consequences, including:</w:t>
      </w:r>
    </w:p>
    <w:p>
      <w:pPr>
        <w:spacing w:after="0" w:line="190" w:lineRule="exact"/>
        <w:rPr>
          <w:sz w:val="20"/>
          <w:szCs w:val="20"/>
          <w:color w:val="auto"/>
        </w:rPr>
      </w:pPr>
    </w:p>
    <w:p>
      <w:pPr>
        <w:ind w:left="960" w:hanging="31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5"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about the Company; and</w:t>
      </w:r>
    </w:p>
    <w:p>
      <w:pPr>
        <w:spacing w:after="0" w:line="6"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obtain capital or pursue acquisitions by issuing additional equity or convertible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obligations as a result of being a public company.</w:t>
      </w:r>
    </w:p>
    <w:p>
      <w:pPr>
        <w:spacing w:after="0" w:line="251" w:lineRule="exact"/>
        <w:rPr>
          <w:sz w:val="20"/>
          <w:szCs w:val="20"/>
          <w:color w:val="auto"/>
        </w:rPr>
      </w:pPr>
    </w:p>
    <w:p>
      <w:pPr>
        <w:ind w:right="160" w:firstLine="641"/>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thereto and the rules and regulations of the SEC and the New York Stock Exchange, have increased the costs and the time that must be devoted to compliance matters.</w:t>
      </w:r>
    </w:p>
    <w:p>
      <w:pPr>
        <w:spacing w:after="0" w:line="210" w:lineRule="exact"/>
        <w:rPr>
          <w:sz w:val="20"/>
          <w:szCs w:val="20"/>
          <w:color w:val="auto"/>
        </w:rPr>
      </w:pPr>
    </w:p>
    <w:p>
      <w:pPr>
        <w:ind w:right="180" w:firstLine="641"/>
        <w:spacing w:after="0" w:line="257"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72" w:name="page73"/>
    <w:bookmarkEnd w:id="72"/>
    <w:p>
      <w:pPr>
        <w:spacing w:after="0" w:line="262" w:lineRule="auto"/>
        <w:rPr>
          <w:sz w:val="20"/>
          <w:szCs w:val="20"/>
          <w:color w:val="auto"/>
        </w:rPr>
      </w:pPr>
      <w:r>
        <w:rPr>
          <w:rFonts w:ascii="Times New Roman" w:cs="Times New Roman" w:eastAsia="Times New Roman" w:hAnsi="Times New Roman"/>
          <w:sz w:val="18"/>
          <w:szCs w:val="18"/>
          <w:color w:val="auto"/>
        </w:rPr>
        <w:t>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 We expect to cease to be an "emerging growth company" at the end of 2025.</w:t>
      </w:r>
    </w:p>
    <w:p>
      <w:pPr>
        <w:spacing w:after="0" w:line="20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Although we are no longer a "controlled company" within the meaning of the New York Stock Exchange rules, we are relying on exemptions from certain corporate governance requirements during a one-year transition.</w:t>
      </w:r>
    </w:p>
    <w:p>
      <w:pPr>
        <w:spacing w:after="0" w:line="185"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Because Tungsten no longer holds a majority of our Class A Common Stock, we are no longer a "controlled company" under the Sarbanes-Oxley Act and the New York Stock Exchange listing rules. Pursuant to the phase-in periods stipulated by the New York Stock Exchange listing rules, we are required to be in compliance with certain New York Stock Exchange corporate governance requirements within one year following the date of our loss of "controlled company" status. These requirements include that we have (1) a board that is composed of a majority of "independent directors" as defined under the rules of the New York Stock Exchange and (2) compensation and nominating and governance committees composed entirely of independent directors. We are already required to have a fully independent audit committee.</w:t>
      </w:r>
    </w:p>
    <w:p>
      <w:pPr>
        <w:spacing w:after="0" w:line="214" w:lineRule="exact"/>
        <w:rPr>
          <w:sz w:val="20"/>
          <w:szCs w:val="20"/>
          <w:color w:val="auto"/>
        </w:rPr>
      </w:pPr>
    </w:p>
    <w:p>
      <w:pPr>
        <w:jc w:val="both"/>
        <w:ind w:right="120" w:firstLine="641"/>
        <w:spacing w:after="0" w:line="262" w:lineRule="auto"/>
        <w:rPr>
          <w:sz w:val="20"/>
          <w:szCs w:val="20"/>
          <w:color w:val="auto"/>
        </w:rPr>
      </w:pPr>
      <w:r>
        <w:rPr>
          <w:rFonts w:ascii="Times New Roman" w:cs="Times New Roman" w:eastAsia="Times New Roman" w:hAnsi="Times New Roman"/>
          <w:sz w:val="18"/>
          <w:szCs w:val="18"/>
          <w:color w:val="auto"/>
        </w:rPr>
        <w:t>We have been utilizing, and intend to continue to utilize, the one-year transition period described above to achieve full compliance with these New York Stock Exchange requirements. We currently comply with the requirements for a majority of independent directors; however our Board may from time to time elect to rely on the exemption from such requirement.</w:t>
      </w:r>
    </w:p>
    <w:p>
      <w:pPr>
        <w:spacing w:after="0" w:line="204" w:lineRule="exact"/>
        <w:rPr>
          <w:sz w:val="20"/>
          <w:szCs w:val="20"/>
          <w:color w:val="auto"/>
        </w:rPr>
      </w:pPr>
    </w:p>
    <w:p>
      <w:pPr>
        <w:ind w:right="200" w:firstLine="641"/>
        <w:spacing w:after="0" w:line="262" w:lineRule="auto"/>
        <w:rPr>
          <w:sz w:val="20"/>
          <w:szCs w:val="20"/>
          <w:color w:val="auto"/>
        </w:rPr>
      </w:pPr>
      <w:r>
        <w:rPr>
          <w:rFonts w:ascii="Times New Roman" w:cs="Times New Roman" w:eastAsia="Times New Roman" w:hAnsi="Times New Roman"/>
          <w:sz w:val="18"/>
          <w:szCs w:val="18"/>
          <w:color w:val="auto"/>
        </w:rPr>
        <w:t>Additionally, our compensation and nominating and governance committees do not each currently consist entirely of independent directors. Accordingly, you do not, and during this transition period you will not, have the same protections afforded to shareholders of companies that are subject to all of the corporate governance requirements of the New York Stock Exchange applicable to companies that are not "controlled companies."</w:t>
      </w:r>
    </w:p>
    <w:p>
      <w:pPr>
        <w:spacing w:after="0" w:line="2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securities less attractive to investors.</w:t>
      </w:r>
    </w:p>
    <w:p>
      <w:pPr>
        <w:spacing w:after="0" w:line="185" w:lineRule="exact"/>
        <w:rPr>
          <w:sz w:val="20"/>
          <w:szCs w:val="20"/>
          <w:color w:val="auto"/>
        </w:rPr>
      </w:pPr>
    </w:p>
    <w:p>
      <w:pPr>
        <w:ind w:firstLine="641"/>
        <w:spacing w:after="0" w:line="252" w:lineRule="auto"/>
        <w:rPr>
          <w:sz w:val="20"/>
          <w:szCs w:val="20"/>
          <w:color w:val="auto"/>
        </w:rPr>
      </w:pPr>
      <w:r>
        <w:rPr>
          <w:rFonts w:ascii="Times New Roman" w:cs="Times New Roman" w:eastAsia="Times New Roman" w:hAnsi="Times New Roman"/>
          <w:sz w:val="18"/>
          <w:szCs w:val="18"/>
          <w:color w:val="auto"/>
        </w:rPr>
        <w:t>As an “emerging growth company,” we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obtaining stockholder approval of any golden parachute payments not previously approved. In addition, the JOBS Act provides that an emerging growth company can take advantage of an extended transition period for complying with new or revised accounting standards, which we have elected to do. We expect to cease to be an "emerging growth company" at the end of 2025.</w:t>
      </w:r>
    </w:p>
    <w:p>
      <w:pPr>
        <w:spacing w:after="0" w:line="215" w:lineRule="exact"/>
        <w:rPr>
          <w:sz w:val="20"/>
          <w:szCs w:val="20"/>
          <w:color w:val="auto"/>
        </w:rPr>
      </w:pPr>
    </w:p>
    <w:p>
      <w:pPr>
        <w:ind w:right="140" w:firstLine="641"/>
        <w:spacing w:after="0" w:line="26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200"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b w:val="1"/>
          <w:bCs w:val="1"/>
          <w:i w:val="1"/>
          <w:iCs w:val="1"/>
          <w:color w:val="auto"/>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spacing w:after="0" w:line="164" w:lineRule="exact"/>
        <w:rPr>
          <w:sz w:val="20"/>
          <w:szCs w:val="20"/>
          <w:color w:val="auto"/>
        </w:rPr>
      </w:pPr>
    </w:p>
    <w:p>
      <w:pPr>
        <w:ind w:right="460" w:firstLine="641"/>
        <w:spacing w:after="0" w:line="285" w:lineRule="auto"/>
        <w:rPr>
          <w:sz w:val="20"/>
          <w:szCs w:val="20"/>
          <w:color w:val="auto"/>
        </w:rPr>
      </w:pPr>
      <w:r>
        <w:rPr>
          <w:rFonts w:ascii="Times New Roman" w:cs="Times New Roman" w:eastAsia="Times New Roman" w:hAnsi="Times New Roman"/>
          <w:sz w:val="17"/>
          <w:szCs w:val="17"/>
          <w:color w:val="auto"/>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18"/>
          <w:szCs w:val="18"/>
          <w:color w:val="auto"/>
        </w:rPr>
        <w:t>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the New York Stock Exchange.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operating performance does not meet market expectations, the price of our securities may decline.</w:t>
      </w:r>
    </w:p>
    <w:p>
      <w:pPr>
        <w:spacing w:after="0" w:line="238" w:lineRule="exact"/>
        <w:rPr>
          <w:sz w:val="20"/>
          <w:szCs w:val="20"/>
          <w:color w:val="auto"/>
        </w:rPr>
      </w:pPr>
    </w:p>
    <w:p>
      <w:pPr>
        <w:ind w:right="200" w:firstLine="641"/>
        <w:spacing w:after="0" w:line="247" w:lineRule="auto"/>
        <w:rPr>
          <w:sz w:val="20"/>
          <w:szCs w:val="20"/>
          <w:color w:val="auto"/>
        </w:rPr>
      </w:pPr>
      <w:r>
        <w:rPr>
          <w:rFonts w:ascii="Times New Roman" w:cs="Times New Roman" w:eastAsia="Times New Roman" w:hAnsi="Times New Roman"/>
          <w:sz w:val="18"/>
          <w:szCs w:val="18"/>
          <w:color w:val="auto"/>
        </w:rPr>
        <w:t>The trading price of our securities could be volatile and subject to wide fluctuations in response to various factors, some of which are beyond our control. Fluctuations in the price of our securities could result in the loss of all or part of your investment. Any of the factors listed below could have a material adverse effect on your investment in our securities and our securities may trade at prices significantly below the price you paid for them.</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47" w:lineRule="exact"/>
        <w:rPr>
          <w:sz w:val="20"/>
          <w:szCs w:val="20"/>
          <w:color w:val="auto"/>
        </w:rPr>
      </w:pPr>
    </w:p>
    <w:p>
      <w:pPr>
        <w:ind w:left="640" w:right="140" w:firstLine="8"/>
        <w:spacing w:after="0" w:line="526" w:lineRule="auto"/>
        <w:tabs>
          <w:tab w:leader="none" w:pos="9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 ◦ changes in the market’s expectations about our operating results;</w:t>
      </w:r>
    </w:p>
    <w:p>
      <w:pPr>
        <w:spacing w:after="0" w:line="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success of competitors;</w:t>
      </w:r>
    </w:p>
    <w:p>
      <w:pPr>
        <w:spacing w:after="0" w:line="24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our operating results failing to meet market expectations in a particular period;</w:t>
      </w:r>
    </w:p>
    <w:p>
      <w:pPr>
        <w:spacing w:after="0" w:line="247" w:lineRule="exact"/>
        <w:rPr>
          <w:sz w:val="20"/>
          <w:szCs w:val="20"/>
          <w:color w:val="auto"/>
        </w:rPr>
      </w:pPr>
    </w:p>
    <w:p>
      <w:pPr>
        <w:ind w:left="960" w:right="180" w:hanging="312"/>
        <w:spacing w:after="0" w:line="277" w:lineRule="auto"/>
        <w:tabs>
          <w:tab w:leader="none" w:pos="9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Resolute Holdings for management services under the Management Agreement exposes us to risks related to their substantial influence over our business, operations, and strategy;</w:t>
      </w:r>
    </w:p>
    <w:p>
      <w:pPr>
        <w:spacing w:after="0" w:line="190" w:lineRule="exact"/>
        <w:rPr>
          <w:rFonts w:ascii="Times New Roman" w:cs="Times New Roman" w:eastAsia="Times New Roman" w:hAnsi="Times New Roman"/>
          <w:sz w:val="18"/>
          <w:szCs w:val="18"/>
          <w:color w:val="auto"/>
        </w:rPr>
      </w:pPr>
    </w:p>
    <w:p>
      <w:pPr>
        <w:ind w:left="960" w:right="560" w:hanging="312"/>
        <w:spacing w:after="0" w:line="277" w:lineRule="auto"/>
        <w:tabs>
          <w:tab w:leader="none" w:pos="9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financial payment card and digital asset industries and markets in general;</w:t>
      </w:r>
    </w:p>
    <w:p>
      <w:pPr>
        <w:spacing w:after="0" w:line="19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innovative products on a timely basis;</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4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or management;</w:t>
      </w:r>
    </w:p>
    <w:p>
      <w:pPr>
        <w:spacing w:after="0" w:line="247" w:lineRule="exact"/>
        <w:rPr>
          <w:rFonts w:ascii="Times New Roman" w:cs="Times New Roman" w:eastAsia="Times New Roman" w:hAnsi="Times New Roman"/>
          <w:sz w:val="18"/>
          <w:szCs w:val="18"/>
          <w:color w:val="auto"/>
        </w:rPr>
      </w:pPr>
    </w:p>
    <w:p>
      <w:pPr>
        <w:ind w:left="960" w:right="240" w:hanging="312"/>
        <w:spacing w:after="0" w:line="277" w:lineRule="auto"/>
        <w:tabs>
          <w:tab w:leader="none" w:pos="9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securities by our directors, executive officers or significant stockholders or the perception that such sales could occur; and</w:t>
      </w:r>
    </w:p>
    <w:p>
      <w:pPr>
        <w:spacing w:after="0" w:line="190" w:lineRule="exact"/>
        <w:rPr>
          <w:rFonts w:ascii="Times New Roman" w:cs="Times New Roman" w:eastAsia="Times New Roman" w:hAnsi="Times New Roman"/>
          <w:sz w:val="18"/>
          <w:szCs w:val="18"/>
          <w:color w:val="auto"/>
        </w:rPr>
      </w:pPr>
    </w:p>
    <w:p>
      <w:pPr>
        <w:ind w:left="960" w:right="200" w:hanging="312"/>
        <w:spacing w:after="0" w:line="277" w:lineRule="auto"/>
        <w:tabs>
          <w:tab w:leader="none" w:pos="9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90" w:lineRule="exact"/>
        <w:rPr>
          <w:sz w:val="20"/>
          <w:szCs w:val="20"/>
          <w:color w:val="auto"/>
        </w:rPr>
      </w:pPr>
    </w:p>
    <w:p>
      <w:pPr>
        <w:ind w:right="260" w:firstLine="641"/>
        <w:spacing w:after="0" w:line="262"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securities irrespective of our operating performance. The stock market in general and the New York Stock Exchange have experienced price and volume fluctuations that have often been unrelated or disproportionate to the operating performance of the particular</w:t>
      </w:r>
    </w:p>
    <w:p>
      <w:pPr>
        <w:sectPr>
          <w:pgSz w:w="11900" w:h="16838" w:orient="portrait"/>
          <w:cols w:equalWidth="0" w:num="1">
            <w:col w:w="11180"/>
          </w:cols>
          <w:pgMar w:left="320" w:top="140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403" w:right="399" w:bottom="1440" w:gutter="0" w:footer="0" w:header="0"/>
          <w:type w:val="continuous"/>
        </w:sectPr>
      </w:pPr>
    </w:p>
    <w:bookmarkStart w:id="74" w:name="page75"/>
    <w:bookmarkEnd w:id="74"/>
    <w:p>
      <w:pPr>
        <w:ind w:right="140"/>
        <w:spacing w:after="0" w:line="257" w:lineRule="auto"/>
        <w:rPr>
          <w:sz w:val="20"/>
          <w:szCs w:val="20"/>
          <w:color w:val="auto"/>
        </w:rPr>
      </w:pPr>
      <w:r>
        <w:rPr>
          <w:rFonts w:ascii="Times New Roman" w:cs="Times New Roman" w:eastAsia="Times New Roman" w:hAnsi="Times New Roman"/>
          <w:sz w:val="18"/>
          <w:szCs w:val="18"/>
          <w:color w:val="auto"/>
        </w:rPr>
        <w:t>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may not remain in the money, and they may expire worthless.</w:t>
      </w:r>
    </w:p>
    <w:p>
      <w:pPr>
        <w:spacing w:after="0" w:line="251" w:lineRule="exact"/>
        <w:rPr>
          <w:sz w:val="20"/>
          <w:szCs w:val="20"/>
          <w:color w:val="auto"/>
        </w:rPr>
      </w:pPr>
    </w:p>
    <w:p>
      <w:pPr>
        <w:ind w:right="220" w:firstLine="641"/>
        <w:spacing w:after="0" w:line="277" w:lineRule="auto"/>
        <w:rPr>
          <w:sz w:val="20"/>
          <w:szCs w:val="20"/>
          <w:color w:val="auto"/>
        </w:rPr>
      </w:pPr>
      <w:r>
        <w:rPr>
          <w:rFonts w:ascii="Times New Roman" w:cs="Times New Roman" w:eastAsia="Times New Roman" w:hAnsi="Times New Roman"/>
          <w:sz w:val="18"/>
          <w:szCs w:val="18"/>
          <w:color w:val="auto"/>
        </w:rPr>
        <w:t>The exercise price for our Warrants is $7.97 per share (as adjusted effective February 28, 2025), subject to adjustment. There can be no assurance that the Warrants will remain in the money prior to their expiration and, as such, the Warrants may expire worthless.</w:t>
      </w:r>
    </w:p>
    <w:p>
      <w:pPr>
        <w:spacing w:after="0" w:line="190" w:lineRule="exact"/>
        <w:rPr>
          <w:sz w:val="20"/>
          <w:szCs w:val="20"/>
          <w:color w:val="auto"/>
        </w:rPr>
      </w:pPr>
    </w:p>
    <w:p>
      <w:pPr>
        <w:ind w:firstLine="641"/>
        <w:spacing w:after="0" w:line="270" w:lineRule="auto"/>
        <w:rPr>
          <w:sz w:val="20"/>
          <w:szCs w:val="20"/>
          <w:color w:val="auto"/>
        </w:rPr>
      </w:pPr>
      <w:r>
        <w:rPr>
          <w:rFonts w:ascii="Times New Roman" w:cs="Times New Roman" w:eastAsia="Times New Roman" w:hAnsi="Times New Roman"/>
          <w:sz w:val="17"/>
          <w:szCs w:val="17"/>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Warrants to make any change that adversely affects the interests of the registered holders. Accordingly, we may amend the terms of the Warrants in a manner adverse to a holder if holders of at least a majority of the then outstanding Warrants approve of such amendment. Our ability to amend the terms of the Warrants with the consent of at least a majority of the then outstanding Warrants is unlimited. Examples of such amendments could be amendments to, among other things, increase the exercise price of the Warrants, shorten the exercise period or decrease the number of shares of Class A Common Stock purchasable upon exercise of a Warrant.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may be redeemed prior to their exercise at a time that is disadvantageous to the holders, thereby making such Warrants worthless.</w:t>
      </w:r>
    </w:p>
    <w:p>
      <w:pPr>
        <w:spacing w:after="0" w:line="251" w:lineRule="exact"/>
        <w:rPr>
          <w:sz w:val="20"/>
          <w:szCs w:val="20"/>
          <w:color w:val="auto"/>
        </w:rPr>
      </w:pPr>
    </w:p>
    <w:p>
      <w:pPr>
        <w:ind w:right="60" w:firstLine="641"/>
        <w:spacing w:after="0" w:line="250"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$0.01 per warrant, provided that the last reported sales price (or the closing bid price of our Class A Common Stock in the event the shares of our Class A Common Stock are not traded on any specific trading day) of the shares of Class A Common Stock equals or exceeds $14.47 per share (as adjusted effective February 28, 2025 and subject to further adjustment)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21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85" w:lineRule="exact"/>
        <w:rPr>
          <w:sz w:val="20"/>
          <w:szCs w:val="20"/>
          <w:color w:val="auto"/>
        </w:rPr>
      </w:pPr>
    </w:p>
    <w:p>
      <w:pPr>
        <w:ind w:right="20" w:firstLine="641"/>
        <w:spacing w:after="0" w:line="253" w:lineRule="auto"/>
        <w:rPr>
          <w:sz w:val="20"/>
          <w:szCs w:val="20"/>
          <w:color w:val="auto"/>
        </w:rPr>
      </w:pPr>
      <w:r>
        <w:rPr>
          <w:rFonts w:ascii="Times New Roman" w:cs="Times New Roman" w:eastAsia="Times New Roman" w:hAnsi="Times New Roman"/>
          <w:sz w:val="18"/>
          <w:szCs w:val="18"/>
          <w:color w:val="auto"/>
        </w:rPr>
        <w:t>Our outstanding Warrants to purchase, as of September 30, 2025, an aggregate of 3,236,509 shares of our Class A Common Stock are exercisable in accordance with the terms of the warrant agreement governing those securities. Each Warrant entitles its holder to purchase one share of our Class A Common Stock at an exercise price of 7.97 per share (as adjusted effective February 28, 2025, subject to further adjustment,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eligible for resale in the public market. Sales of substantial numbers of such shares in the public market could depress the market price of our securities.</w:t>
      </w:r>
    </w:p>
    <w:p>
      <w:pPr>
        <w:spacing w:after="0" w:line="2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72" w:lineRule="exact"/>
        <w:rPr>
          <w:sz w:val="20"/>
          <w:szCs w:val="20"/>
          <w:color w:val="auto"/>
        </w:rPr>
      </w:pPr>
    </w:p>
    <w:p>
      <w:pPr>
        <w:ind w:right="100" w:firstLine="641"/>
        <w:spacing w:after="0" w:line="234" w:lineRule="auto"/>
        <w:rPr>
          <w:sz w:val="20"/>
          <w:szCs w:val="20"/>
          <w:color w:val="auto"/>
        </w:rPr>
      </w:pPr>
      <w:r>
        <w:rPr>
          <w:rFonts w:ascii="Times New Roman" w:cs="Times New Roman" w:eastAsia="Times New Roman" w:hAnsi="Times New Roman"/>
          <w:sz w:val="18"/>
          <w:szCs w:val="18"/>
          <w:color w:val="auto"/>
        </w:rPr>
        <w:t>Under the Sarbanes-Oxley Act of 2022, we are required to provide management’s attestation on internal controls. Section 404 of the Sarbanes-Oxley Act requires annual management assessments of the effectiveness of our internal control over financial reporting, and generally require in the same report a report by our independent registered public accounting firm on the effectiveness of our internal control over financial reporting. However, under the JOBS Act, our independent registered public accounting firm is not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year in which we marked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 We expect to cease to be an "emerging growth company" at the end of 2025.</w:t>
      </w:r>
    </w:p>
    <w:p>
      <w:pPr>
        <w:spacing w:after="0" w:line="211" w:lineRule="exact"/>
        <w:rPr>
          <w:sz w:val="20"/>
          <w:szCs w:val="20"/>
          <w:color w:val="auto"/>
        </w:rPr>
      </w:pPr>
    </w:p>
    <w:p>
      <w:pPr>
        <w:ind w:right="100" w:firstLine="641"/>
        <w:spacing w:after="0" w:line="239" w:lineRule="auto"/>
        <w:rPr>
          <w:sz w:val="20"/>
          <w:szCs w:val="20"/>
          <w:color w:val="auto"/>
        </w:rPr>
      </w:pPr>
      <w:r>
        <w:rPr>
          <w:rFonts w:ascii="Times New Roman" w:cs="Times New Roman" w:eastAsia="Times New Roman" w:hAnsi="Times New Roman"/>
          <w:sz w:val="18"/>
          <w:szCs w:val="18"/>
          <w:color w:val="auto"/>
        </w:rPr>
        <w:t>Management may not be able to effectively and timely implement controls and procedures that adequately respond to the increased regulatory compliance and reporting requirements that are applicable to us as a public company. If we fail to maintain or implement effective internal controls, we may not be able to report financial results accurately or on a timely basis, detect fraud, or assess whether our internal controls over financial reporting are effective, which may subject us to adverse regulatory consequences and could harm investor confidence and lead to a decrease in the market price of our securities.</w:t>
      </w:r>
    </w:p>
    <w:p>
      <w:pPr>
        <w:spacing w:after="0" w:line="2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operate our business largely depends upon the efforts of certain key personnel. The loss of such key personnel could adversely affect our operations and profitability.</w:t>
      </w:r>
    </w:p>
    <w:p>
      <w:pPr>
        <w:spacing w:after="0" w:line="185"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85" w:lineRule="exact"/>
        <w:rPr>
          <w:sz w:val="20"/>
          <w:szCs w:val="20"/>
          <w:color w:val="auto"/>
        </w:rPr>
      </w:pPr>
    </w:p>
    <w:p>
      <w:pPr>
        <w:ind w:right="120" w:firstLine="641"/>
        <w:spacing w:after="0" w:line="255" w:lineRule="auto"/>
        <w:rPr>
          <w:sz w:val="20"/>
          <w:szCs w:val="20"/>
          <w:color w:val="auto"/>
        </w:rPr>
      </w:pPr>
      <w:r>
        <w:rPr>
          <w:rFonts w:ascii="Times New Roman" w:cs="Times New Roman" w:eastAsia="Times New Roman" w:hAnsi="Times New Roman"/>
          <w:sz w:val="18"/>
          <w:szCs w:val="18"/>
          <w:color w:val="auto"/>
        </w:rPr>
        <w:t>The trading market for our securities may be influenced by the research and reports that industry or securities analysts may publish about us, our business, our market, or our competitors. Analyst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2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securities, including resale of securities issued to certain stockholders, may reduce the market price of our securities that you might otherwise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6" w:name="page77"/>
    <w:bookmarkEnd w:id="76"/>
    <w:p>
      <w:pPr>
        <w:ind w:right="40" w:firstLine="641"/>
        <w:spacing w:after="0" w:line="255" w:lineRule="auto"/>
        <w:rPr>
          <w:sz w:val="20"/>
          <w:szCs w:val="20"/>
          <w:color w:val="auto"/>
        </w:rPr>
      </w:pPr>
      <w:r>
        <w:rPr>
          <w:rFonts w:ascii="Times New Roman" w:cs="Times New Roman" w:eastAsia="Times New Roman" w:hAnsi="Times New Roman"/>
          <w:sz w:val="18"/>
          <w:szCs w:val="18"/>
          <w:color w:val="auto"/>
        </w:rPr>
        <w:t>Future sales of our securities by stockholders which hold large amounts of our securities, including in underwritten offerings that we may be required to facilitate pursuant to such stockholders' registration rights, or in privately negotiated transactions, may reduce the price of our securities. The registration and availability of such a significant number of securities for trading in the public market may increase the volatility in the price of our securities or put significant downward pressure on the price of our securities. In addition, we may use shares of our Class A Common Stock as consideration for future acquisitions, which could further dilute our stockholders.</w:t>
      </w:r>
    </w:p>
    <w:p>
      <w:pPr>
        <w:spacing w:after="0" w:line="20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certain significant stockholders control a significant percentage of our Class A Common Stock, such stockholders may influence major corporate decisions of the Company and our interests may conflict with the interests of other holders of our Class A Common Stock.</w:t>
      </w:r>
    </w:p>
    <w:p>
      <w:pPr>
        <w:spacing w:after="0" w:line="185" w:lineRule="exact"/>
        <w:rPr>
          <w:sz w:val="20"/>
          <w:szCs w:val="20"/>
          <w:color w:val="auto"/>
        </w:rPr>
      </w:pPr>
    </w:p>
    <w:p>
      <w:pPr>
        <w:ind w:right="60" w:firstLine="641"/>
        <w:spacing w:after="0" w:line="253" w:lineRule="auto"/>
        <w:rPr>
          <w:sz w:val="20"/>
          <w:szCs w:val="20"/>
          <w:color w:val="auto"/>
        </w:rPr>
      </w:pPr>
      <w:r>
        <w:rPr>
          <w:rFonts w:ascii="Times New Roman" w:cs="Times New Roman" w:eastAsia="Times New Roman" w:hAnsi="Times New Roman"/>
          <w:sz w:val="18"/>
          <w:szCs w:val="18"/>
          <w:color w:val="auto"/>
        </w:rPr>
        <w:t>At September 30, 2025, Tungsten beneficially owned approximately 41% of the shares of our outstanding shares of Class A Common Stock. As a result of this control, Tungsten is able to influence matters requiring approval by our stockholders and/or our Board, including the election of directors and the approval of business combinations or dispositions and other extraordinary transactions. Tungsten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Tungsten may in the future own businesses that directly compete with the business of the Company.</w:t>
      </w:r>
    </w:p>
    <w:p>
      <w:pPr>
        <w:spacing w:after="0" w:line="214" w:lineRule="exact"/>
        <w:rPr>
          <w:sz w:val="20"/>
          <w:szCs w:val="20"/>
          <w:color w:val="auto"/>
        </w:rPr>
      </w:pPr>
    </w:p>
    <w:p>
      <w:pPr>
        <w:ind w:right="200" w:firstLine="641"/>
        <w:spacing w:after="0" w:line="262" w:lineRule="auto"/>
        <w:rPr>
          <w:sz w:val="20"/>
          <w:szCs w:val="20"/>
          <w:color w:val="auto"/>
        </w:rPr>
      </w:pPr>
      <w:r>
        <w:rPr>
          <w:rFonts w:ascii="Times New Roman" w:cs="Times New Roman" w:eastAsia="Times New Roman" w:hAnsi="Times New Roman"/>
          <w:sz w:val="18"/>
          <w:szCs w:val="18"/>
          <w:color w:val="auto"/>
        </w:rPr>
        <w:t>Additionally, following the Spin-Off, our business, which we operate through Holdings, is managed by Resolute Holdings, a separate public company that is party to the Management Agreement with Holdings. Pursuant to the Management Agreement, Resolute Holdings has substantial influence over our business, operations and strategy. See "Risks Related to the Resolute Holdings Management Agreement."</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85" w:lineRule="exact"/>
        <w:rPr>
          <w:sz w:val="20"/>
          <w:szCs w:val="20"/>
          <w:color w:val="auto"/>
        </w:rPr>
      </w:pPr>
    </w:p>
    <w:p>
      <w:pPr>
        <w:ind w:firstLine="641"/>
        <w:spacing w:after="0" w:line="250" w:lineRule="auto"/>
        <w:rPr>
          <w:sz w:val="20"/>
          <w:szCs w:val="20"/>
          <w:color w:val="auto"/>
        </w:rPr>
      </w:pPr>
      <w:r>
        <w:rPr>
          <w:rFonts w:ascii="Times New Roman" w:cs="Times New Roman" w:eastAsia="Times New Roman" w:hAnsi="Times New Roman"/>
          <w:sz w:val="18"/>
          <w:szCs w:val="18"/>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85" w:lineRule="exact"/>
        <w:rPr>
          <w:sz w:val="20"/>
          <w:szCs w:val="20"/>
          <w:color w:val="auto"/>
        </w:rPr>
      </w:pPr>
    </w:p>
    <w:p>
      <w:pPr>
        <w:jc w:val="both"/>
        <w:ind w:right="80" w:firstLine="641"/>
        <w:spacing w:after="0" w:line="262"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in the State of Delaware will be the sole and exclusive forum for any stockholder to bring any state law claims for (a) any derivative action or proceeding brought on behalf of us, (b) any action asserting a claim of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77" w:name="page78"/>
    <w:bookmarkEnd w:id="77"/>
    <w:p>
      <w:pPr>
        <w:ind w:right="200"/>
        <w:spacing w:after="0" w:line="262" w:lineRule="auto"/>
        <w:rPr>
          <w:sz w:val="20"/>
          <w:szCs w:val="20"/>
          <w:color w:val="auto"/>
        </w:rPr>
      </w:pPr>
      <w:r>
        <w:rPr>
          <w:rFonts w:ascii="Times New Roman" w:cs="Times New Roman" w:eastAsia="Times New Roman" w:hAnsi="Times New Roman"/>
          <w:sz w:val="18"/>
          <w:szCs w:val="18"/>
          <w:color w:val="auto"/>
        </w:rPr>
        <w:t>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204"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16" w:lineRule="exact"/>
        <w:rPr>
          <w:sz w:val="20"/>
          <w:szCs w:val="20"/>
          <w:color w:val="auto"/>
        </w:rPr>
      </w:pPr>
    </w:p>
    <w:p>
      <w:pPr>
        <w:ind w:right="20" w:firstLine="641"/>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85" w:lineRule="exact"/>
        <w:rPr>
          <w:sz w:val="20"/>
          <w:szCs w:val="20"/>
          <w:color w:val="auto"/>
        </w:rPr>
      </w:pPr>
    </w:p>
    <w:p>
      <w:pPr>
        <w:ind w:firstLine="641"/>
        <w:spacing w:after="0" w:line="273" w:lineRule="auto"/>
        <w:rPr>
          <w:sz w:val="20"/>
          <w:szCs w:val="20"/>
          <w:color w:val="auto"/>
        </w:rPr>
      </w:pPr>
      <w:r>
        <w:rPr>
          <w:rFonts w:ascii="Times New Roman" w:cs="Times New Roman" w:eastAsia="Times New Roman" w:hAnsi="Times New Roman"/>
          <w:sz w:val="17"/>
          <w:szCs w:val="17"/>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51" w:lineRule="exact"/>
        <w:rPr>
          <w:sz w:val="20"/>
          <w:szCs w:val="20"/>
          <w:color w:val="auto"/>
        </w:rPr>
      </w:pPr>
    </w:p>
    <w:p>
      <w:pPr>
        <w:ind w:right="20" w:firstLine="641"/>
        <w:spacing w:after="0" w:line="257" w:lineRule="auto"/>
        <w:rPr>
          <w:sz w:val="20"/>
          <w:szCs w:val="20"/>
          <w:color w:val="auto"/>
        </w:rPr>
      </w:pPr>
      <w:r>
        <w:rPr>
          <w:rFonts w:ascii="Times New Roman" w:cs="Times New Roman" w:eastAsia="Times New Roman" w:hAnsi="Times New Roman"/>
          <w:sz w:val="18"/>
          <w:szCs w:val="18"/>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220" w:lineRule="exact"/>
        <w:rPr>
          <w:sz w:val="20"/>
          <w:szCs w:val="20"/>
          <w:color w:val="auto"/>
        </w:rPr>
      </w:pPr>
    </w:p>
    <w:p>
      <w:pPr>
        <w:jc w:val="both"/>
        <w:ind w:right="420"/>
        <w:spacing w:after="0" w:line="257" w:lineRule="auto"/>
        <w:rPr>
          <w:sz w:val="20"/>
          <w:szCs w:val="20"/>
          <w:color w:val="auto"/>
        </w:rPr>
      </w:pPr>
      <w:r>
        <w:rPr>
          <w:rFonts w:ascii="Times New Roman" w:cs="Times New Roman" w:eastAsia="Times New Roman" w:hAnsi="Times New Roman"/>
          <w:sz w:val="18"/>
          <w:szCs w:val="18"/>
          <w:color w:val="auto"/>
        </w:rPr>
        <w:t>On September 8, 2025, pursuant to the Agreement and Plan of Merger (the "Merger Agreement"), dated April 19, 2021. by and among Roman DBDR, Roman Parent Merger Sub, LLC (a wholly-owned subsidiary of Roman DBDR), and Holdings, the Company issued an aggregate of approximately 4.3 million shares (as adjusted for the Spin-Off) of Class A Common Stock to certain current and former Holdings equity holders upon achieving a $17.10 volume-weighted average price per share of Class A Common Stock (as adjusted for the Spin-Off). The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03" w:right="379" w:bottom="1440" w:gutter="0" w:footer="0" w:header="0"/>
        </w:sectPr>
      </w:pPr>
    </w:p>
    <w:bookmarkStart w:id="78" w:name="page79"/>
    <w:bookmarkEnd w:id="78"/>
    <w:p>
      <w:pPr>
        <w:spacing w:after="0" w:line="178"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shares were not registered under the Securities Act and were issued in reliance on the exemption from registration requirements provided by Section 4(a)(2) of the Securities Act and/or Regulation D promulgated thereunder, as a transaction by an issuer not involving a public offering without any form of general solicitation, advertising or the involvement of any underwriters.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Repurchases of Equity Securities</w:t>
      </w:r>
    </w:p>
    <w:p>
      <w:pPr>
        <w:spacing w:after="0" w:line="24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March 6, 2024, we announced that our Board of Directors (“Board”) had authorized a program to repurchase (“Repurchase Program”) up to $40.0 million (increased to up to $100 million in February 2025) in the aggregate of our outstanding shares of Class A Common Stock or warrants (collectively, the “Securities”). The Repurchase Program is effective March 7, 2024 through March 7, 2027. Repurchases of Securities under the Repurchase Program may be made from time to time, on the open market, in privately negotiated transactions, tender offers, or by other methods, at the discretion of the management of the Company in accordance with our senior credit facility and Indenture for the Exchangeable Notes, as applicable, and other applicable legal requirements. Repurchases of Common Stock will be in accordance with the limitations set forth in Rule 10b-18 promulgated under the Securities Exchange Act of 1934, as amended. The timing and amount of the repurchases will depend on market conditions and other requirements. The Repurchase Program does not obligate the Company to repurchase any dollar amount of Securities and the Repurchase Program may be extended, modified, suspended, or discontinued at any time. Any shares of Common Stock repurchased under the program may either be returned to the status of authorized but unissued shares of Common Stock or held as treasury stock. During the quarter ended September 30, 2025, the Company purchased an aggregate of 647,782 shares in open market transactions at an average price of $18.90 per share for an aggregate purchase price of approximately $12.2 million. These purchases were completed in August 2025. As of September 30, 2025, $87.8 million of the repurchase authorization under the Repurchase Program remained available.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Section 16 officers adopted, modified, or terminated any Rule 10b5-1 trading arrangement or any non-Rule 10b5-1 trading arrangement, as those terms are defined in Regulation S-K, Item 408.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88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7"/>
        </w:trPr>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8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0000FF"/>
                <w:w w:val="98"/>
              </w:rPr>
              <w:t>Amended and Restated CompoSecure, Inc. Non-Employee Director Compensation Policy, effective September 23, 2025.</w:t>
            </w:r>
          </w:p>
        </w:tc>
      </w:tr>
      <w:tr>
        <w:trPr>
          <w:trHeight w:val="20"/>
        </w:trPr>
        <w:tc>
          <w:tcPr>
            <w:tcW w:w="1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r>
      <w:tr>
        <w:trPr>
          <w:trHeight w:val="528"/>
        </w:trPr>
        <w:tc>
          <w:tcPr>
            <w:tcW w:w="180" w:type="dxa"/>
            <w:vAlign w:val="bottom"/>
          </w:tcPr>
          <w:p>
            <w:pPr>
              <w:spacing w:after="0"/>
              <w:rPr>
                <w:sz w:val="24"/>
                <w:szCs w:val="2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E32E1"/>
                <w:w w:val="98"/>
              </w:rPr>
              <w:t>*+</w:t>
            </w:r>
          </w:p>
        </w:tc>
        <w:tc>
          <w:tcPr>
            <w:tcW w:w="8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0000FF"/>
              </w:rPr>
              <w:t>CompoSecure, Inc. Executive Severance Plan, adopted October 2025.</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70" w:lineRule="exact"/>
        <w:rPr>
          <w:sz w:val="20"/>
          <w:szCs w:val="20"/>
          <w:color w:val="auto"/>
        </w:rPr>
      </w:pPr>
    </w:p>
    <w:tbl>
      <w:tblPr>
        <w:tblLayout w:type="fixed"/>
        <w:tblInd w:w="195" w:type="dxa"/>
        <w:tblCellMar>
          <w:top w:w="0" w:type="dxa"/>
          <w:left w:w="0" w:type="dxa"/>
          <w:bottom w:w="0" w:type="dxa"/>
          <w:right w:w="0" w:type="dxa"/>
        </w:tblCellMar>
      </w:tblPr>
      <w:tr>
        <w:trPr>
          <w:trHeight w:val="207"/>
        </w:trPr>
        <w:tc>
          <w:tcPr>
            <w:tcW w:w="11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0E32E1"/>
                <w:w w:val="98"/>
              </w:rPr>
              <w:t>10.3*+</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Offer Letter between CompoSecure, L.L.C. and Mary Holt, dated October 9, 2025</w:t>
            </w:r>
          </w:p>
        </w:tc>
      </w:tr>
      <w:tr>
        <w:trPr>
          <w:trHeight w:val="20"/>
        </w:trPr>
        <w:tc>
          <w:tcPr>
            <w:tcW w:w="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
        </w:trPr>
        <w:tc>
          <w:tcPr>
            <w:tcW w:w="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520" w:type="dxa"/>
            <w:vAlign w:val="bottom"/>
            <w:gridSpan w:val="2"/>
            <w:shd w:val="clear" w:color="auto" w:fill="0000FF"/>
          </w:tcPr>
          <w:p>
            <w:pPr>
              <w:spacing w:after="0" w:line="20" w:lineRule="exact"/>
              <w:rPr>
                <w:sz w:val="1"/>
                <w:szCs w:val="1"/>
                <w:color w:val="auto"/>
              </w:rPr>
            </w:pPr>
          </w:p>
        </w:tc>
        <w:tc>
          <w:tcPr>
            <w:tcW w:w="27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5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520" w:type="dxa"/>
            <w:vAlign w:val="bottom"/>
            <w:gridSpan w:val="2"/>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11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Pursuant to 18 U.S.C. Section 1350 as adopted pursuant to Section 906 of the Sarbanes-Oxley Act</w:t>
            </w:r>
          </w:p>
        </w:tc>
      </w:tr>
      <w:tr>
        <w:trPr>
          <w:trHeight w:val="180"/>
        </w:trPr>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9860" w:type="dxa"/>
            <w:vAlign w:val="bottom"/>
            <w:tcBorders>
              <w:top w:val="single" w:sz="8" w:color="0000FF"/>
            </w:tcBorders>
            <w:gridSpan w:val="5"/>
          </w:tcPr>
          <w:p>
            <w:pPr>
              <w:spacing w:after="0" w:line="181"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5"/>
                <w:szCs w:val="15"/>
                <w:color w:val="auto"/>
              </w:rPr>
            </w:pPr>
          </w:p>
        </w:tc>
      </w:tr>
      <w:tr>
        <w:trPr>
          <w:trHeight w:val="20"/>
        </w:trPr>
        <w:tc>
          <w:tcPr>
            <w:tcW w:w="1100" w:type="dxa"/>
            <w:vAlign w:val="bottom"/>
            <w:tcBorders>
              <w:right w:val="single" w:sz="8" w:color="0000FF"/>
            </w:tcBorders>
            <w:gridSpan w:val="5"/>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01"/>
        </w:trPr>
        <w:tc>
          <w:tcPr>
            <w:tcW w:w="110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w:t>
            </w:r>
          </w:p>
        </w:tc>
      </w:tr>
      <w:tr>
        <w:trPr>
          <w:trHeight w:val="180"/>
        </w:trPr>
        <w:tc>
          <w:tcPr>
            <w:tcW w:w="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9820" w:type="dxa"/>
            <w:vAlign w:val="bottom"/>
            <w:tcBorders>
              <w:top w:val="single" w:sz="8" w:color="0000FF"/>
            </w:tcBorders>
            <w:gridSpan w:val="4"/>
          </w:tcPr>
          <w:p>
            <w:pPr>
              <w:spacing w:after="0" w:line="181" w:lineRule="exact"/>
              <w:rPr>
                <w:sz w:val="20"/>
                <w:szCs w:val="20"/>
                <w:color w:val="auto"/>
              </w:rPr>
            </w:pPr>
            <w:r>
              <w:rPr>
                <w:rFonts w:ascii="Times New Roman" w:cs="Times New Roman" w:eastAsia="Times New Roman" w:hAnsi="Times New Roman"/>
                <w:sz w:val="18"/>
                <w:szCs w:val="18"/>
                <w:color w:val="0000FF"/>
              </w:rPr>
              <w:t>of 2002.</w:t>
            </w:r>
          </w:p>
        </w:tc>
        <w:tc>
          <w:tcPr>
            <w:tcW w:w="60" w:type="dxa"/>
            <w:vAlign w:val="bottom"/>
            <w:gridSpan w:val="2"/>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6" w:lineRule="exact"/>
        <w:rPr>
          <w:sz w:val="20"/>
          <w:szCs w:val="20"/>
          <w:color w:val="auto"/>
        </w:rPr>
      </w:pPr>
    </w:p>
    <w:p>
      <w:pPr>
        <w:ind w:left="1275" w:hanging="959"/>
        <w:spacing w:after="0" w:line="237" w:lineRule="auto"/>
        <w:tabs>
          <w:tab w:leader="none" w:pos="1275" w:val="left"/>
        </w:tabs>
        <w:numPr>
          <w:ilvl w:val="0"/>
          <w:numId w:val="23"/>
        </w:numPr>
        <w:rPr>
          <w:rFonts w:ascii="Times New Roman" w:cs="Times New Roman" w:eastAsia="Times New Roman" w:hAnsi="Times New Roman"/>
          <w:sz w:val="18"/>
          <w:szCs w:val="18"/>
          <w:color w:val="0E32E1"/>
        </w:rPr>
      </w:pPr>
      <w:r>
        <w:rPr>
          <w:rFonts w:ascii="Times New Roman" w:cs="Times New Roman" w:eastAsia="Times New Roman" w:hAnsi="Times New Roman"/>
          <w:sz w:val="18"/>
          <w:szCs w:val="18"/>
          <w:color w:val="0E32E1"/>
        </w:rPr>
        <w:t>The following materials from CompoSecure, Inc.'s Form 10-Q for the quarter ended September 30, 2025, formatted in Extensible Business Reporting Language (XBRL): (i) Consolidated Balance Sheets as of September 30, 2025 (Unaudited) and December 31, 2024, (ii) Consolidated Statements of Operations (Unaudited) for the three and nine months ended September 30, 2025 and September 30, 2024, (iii) Consolidated Statements of Comprehensive Income (Unaudited) for the three and nine months ended September 30, 2025 and September 30, 2024, (iv) Consolidated Statements of Stockholders’ Equity (Unaudited) for the three and nine months ended September 30, 2025 and September 30, 2024, (v) Consolidated Statements of Cash Flows (Unaudited) for the nine months ended September 30, 2025 and September 30, 2024, and (vi) Notes to Consolidated Financial Statements - Unaudited.</w:t>
      </w:r>
    </w:p>
    <w:p>
      <w:pPr>
        <w:spacing w:after="0" w:line="292" w:lineRule="exact"/>
        <w:rPr>
          <w:sz w:val="20"/>
          <w:szCs w:val="20"/>
          <w:color w:val="auto"/>
        </w:rPr>
      </w:pPr>
    </w:p>
    <w:p>
      <w:pPr>
        <w:ind w:left="-5" w:right="4200" w:firstLine="321"/>
        <w:spacing w:after="0" w:line="425" w:lineRule="auto"/>
        <w:tabs>
          <w:tab w:leader="none" w:pos="1264" w:val="left"/>
        </w:tabs>
        <w:numPr>
          <w:ilvl w:val="1"/>
          <w:numId w:val="24"/>
        </w:numPr>
        <w:rPr>
          <w:rFonts w:ascii="Times New Roman" w:cs="Times New Roman" w:eastAsia="Times New Roman" w:hAnsi="Times New Roman"/>
          <w:sz w:val="18"/>
          <w:szCs w:val="18"/>
          <w:color w:val="0E32E1"/>
        </w:rPr>
      </w:pPr>
      <w:r>
        <w:rPr>
          <w:rFonts w:ascii="Times New Roman" w:cs="Times New Roman" w:eastAsia="Times New Roman" w:hAnsi="Times New Roman"/>
          <w:sz w:val="18"/>
          <w:szCs w:val="18"/>
          <w:color w:val="0E32E1"/>
        </w:rPr>
        <w:t xml:space="preserve">Cover Page Interactive Data File (embedded within the inline XBRL document) </w:t>
      </w:r>
      <w:r>
        <w:rPr>
          <w:rFonts w:ascii="Times New Roman" w:cs="Times New Roman" w:eastAsia="Times New Roman" w:hAnsi="Times New Roman"/>
          <w:sz w:val="18"/>
          <w:szCs w:val="18"/>
          <w:color w:val="000000"/>
        </w:rPr>
        <w:t>* Filed herewith.</w:t>
      </w:r>
    </w:p>
    <w:p>
      <w:pPr>
        <w:spacing w:after="0" w:line="1" w:lineRule="exact"/>
        <w:rPr>
          <w:rFonts w:ascii="Times New Roman" w:cs="Times New Roman" w:eastAsia="Times New Roman" w:hAnsi="Times New Roman"/>
          <w:sz w:val="18"/>
          <w:szCs w:val="18"/>
          <w:color w:val="0E32E1"/>
        </w:rPr>
      </w:pPr>
    </w:p>
    <w:p>
      <w:pPr>
        <w:ind w:left="435" w:hanging="435"/>
        <w:spacing w:after="0"/>
        <w:tabs>
          <w:tab w:leader="none" w:pos="4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67" w:lineRule="exact"/>
        <w:rPr>
          <w:sz w:val="20"/>
          <w:szCs w:val="20"/>
          <w:color w:val="auto"/>
        </w:rPr>
      </w:pPr>
    </w:p>
    <w:p>
      <w:pPr>
        <w:ind w:left="435" w:hanging="435"/>
        <w:spacing w:after="0"/>
        <w:tabs>
          <w:tab w:leader="none" w:pos="4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67" w:lineRule="exact"/>
        <w:rPr>
          <w:sz w:val="20"/>
          <w:szCs w:val="20"/>
          <w:color w:val="auto"/>
        </w:rPr>
      </w:pPr>
    </w:p>
    <w:p>
      <w:pPr>
        <w:ind w:left="435" w:right="840" w:hanging="435"/>
        <w:spacing w:after="0" w:line="262" w:lineRule="auto"/>
        <w:tabs>
          <w:tab w:leader="none" w:pos="4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line="269" w:lineRule="exact"/>
        <w:rPr>
          <w:sz w:val="20"/>
          <w:szCs w:val="20"/>
          <w:color w:val="auto"/>
        </w:rPr>
      </w:pPr>
    </w:p>
    <w:p>
      <w:pPr>
        <w:ind w:left="435" w:right="540" w:hanging="435"/>
        <w:spacing w:after="0" w:line="262" w:lineRule="auto"/>
        <w:tabs>
          <w:tab w:leader="none" w:pos="4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redacted provisions or terms of this Exhibit pursuant to Regulation S-K Item 601(b)(10)(iv). The Company agrees to furnish an unredacted copy of the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71120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75"/>
          </w:cols>
          <w:pgMar w:left="345" w:top="1440" w:right="3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1" w:lineRule="exact"/>
        <w:rPr>
          <w:sz w:val="20"/>
          <w:szCs w:val="20"/>
          <w:color w:val="auto"/>
        </w:rPr>
      </w:pPr>
    </w:p>
    <w:p>
      <w:pPr>
        <w:ind w:firstLine="641"/>
        <w:spacing w:after="0" w:line="246"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u w:val="single" w:color="auto"/>
          <w:color w:val="auto"/>
        </w:rPr>
        <w:t>CompoSecure, Inc.</w:t>
      </w:r>
    </w:p>
    <w:p>
      <w:pPr>
        <w:spacing w:after="0" w:line="341" w:lineRule="exact"/>
        <w:rPr>
          <w:sz w:val="20"/>
          <w:szCs w:val="20"/>
          <w:color w:val="auto"/>
        </w:rPr>
      </w:pPr>
    </w:p>
    <w:p>
      <w:pPr>
        <w:ind w:left="20"/>
        <w:spacing w:after="0"/>
        <w:tabs>
          <w:tab w:leader="none" w:pos="6320" w:val="left"/>
        </w:tabs>
        <w:rPr>
          <w:sz w:val="20"/>
          <w:szCs w:val="20"/>
          <w:color w:val="auto"/>
        </w:rPr>
      </w:pPr>
      <w:r>
        <w:rPr>
          <w:rFonts w:ascii="Times New Roman" w:cs="Times New Roman" w:eastAsia="Times New Roman" w:hAnsi="Times New Roman"/>
          <w:sz w:val="18"/>
          <w:szCs w:val="18"/>
          <w:color w:val="auto"/>
        </w:rPr>
        <w:t>Date: November 03, 2025</w:t>
      </w:r>
      <w:r>
        <w:rPr>
          <w:sz w:val="20"/>
          <w:szCs w:val="20"/>
          <w:color w:val="auto"/>
        </w:rPr>
        <w:tab/>
      </w:r>
      <w:r>
        <w:rPr>
          <w:rFonts w:ascii="Times New Roman" w:cs="Times New Roman" w:eastAsia="Times New Roman" w:hAnsi="Times New Roman"/>
          <w:sz w:val="17"/>
          <w:szCs w:val="17"/>
          <w:color w:val="auto"/>
        </w:rPr>
        <w:t>By: /s/ Jonathan C.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41275</wp:posOffset>
            </wp:positionV>
            <wp:extent cx="29178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7825" cy="8255"/>
                    </a:xfrm>
                    <a:prstGeom prst="rect">
                      <a:avLst/>
                    </a:prstGeom>
                    <a:noFill/>
                  </pic:spPr>
                </pic:pic>
              </a:graphicData>
            </a:graphic>
          </wp:anchor>
        </w:drawing>
      </w:r>
    </w:p>
    <w:p>
      <w:pPr>
        <w:spacing w:after="0" w:line="6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231F20"/>
        </w:rPr>
        <w:t>Name: Jonathan C. Wilk</w:t>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231F20"/>
        </w:rPr>
        <w:t>Title: President and Chief Executive Officer</w:t>
      </w:r>
    </w:p>
    <w:p>
      <w:pPr>
        <w:ind w:left="6640"/>
        <w:spacing w:after="0"/>
        <w:rPr>
          <w:sz w:val="20"/>
          <w:szCs w:val="20"/>
          <w:color w:val="auto"/>
        </w:rPr>
      </w:pPr>
      <w:r>
        <w:rPr>
          <w:rFonts w:ascii="Times New Roman" w:cs="Times New Roman" w:eastAsia="Times New Roman" w:hAnsi="Times New Roman"/>
          <w:sz w:val="18"/>
          <w:szCs w:val="18"/>
          <w:color w:val="231F20"/>
        </w:rPr>
        <w:t>(Principal Executive Officer)</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320" w:val="left"/>
        </w:tabs>
        <w:rPr>
          <w:sz w:val="20"/>
          <w:szCs w:val="20"/>
          <w:color w:val="auto"/>
        </w:rPr>
      </w:pPr>
      <w:r>
        <w:rPr>
          <w:rFonts w:ascii="Times New Roman" w:cs="Times New Roman" w:eastAsia="Times New Roman" w:hAnsi="Times New Roman"/>
          <w:sz w:val="18"/>
          <w:szCs w:val="18"/>
          <w:color w:val="231F20"/>
        </w:rPr>
        <w:t>Date: November 03, 2025</w:t>
      </w:r>
      <w:r>
        <w:rPr>
          <w:sz w:val="20"/>
          <w:szCs w:val="20"/>
          <w:color w:val="auto"/>
        </w:rPr>
        <w:tab/>
      </w:r>
      <w:r>
        <w:rPr>
          <w:rFonts w:ascii="Times New Roman" w:cs="Times New Roman" w:eastAsia="Times New Roman" w:hAnsi="Times New Roman"/>
          <w:sz w:val="17"/>
          <w:szCs w:val="17"/>
          <w:color w:val="231F20"/>
        </w:rPr>
        <w:t>By:</w:t>
      </w:r>
    </w:p>
    <w:p>
      <w:pPr>
        <w:spacing w:after="0" w:line="4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231F20"/>
        </w:rPr>
        <w:t>/s/ Timothy Fitzsimmons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24130</wp:posOffset>
            </wp:positionV>
            <wp:extent cx="29178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17825" cy="8255"/>
                    </a:xfrm>
                    <a:prstGeom prst="rect">
                      <a:avLst/>
                    </a:prstGeom>
                    <a:noFill/>
                  </pic:spPr>
                </pic:pic>
              </a:graphicData>
            </a:graphic>
          </wp:anchor>
        </w:drawing>
      </w:r>
    </w:p>
    <w:p>
      <w:pPr>
        <w:spacing w:after="0" w:line="4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Name: Timothy Fitzsimmons</w:t>
      </w:r>
    </w:p>
    <w:p>
      <w:pPr>
        <w:spacing w:after="0" w:line="2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39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COMPOSECURE,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 COMPENSATION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(Amended and Restated Effective as of September 23, 2025)</w:t>
      </w:r>
    </w:p>
    <w:p>
      <w:pPr>
        <w:spacing w:after="0" w:line="23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21"/>
          <w:szCs w:val="21"/>
          <w:color w:val="auto"/>
        </w:rPr>
        <w:t>CompoSecure,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the granting of cash and equity compensation to the members of its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represents an effective tool to attract, retain, and reward such members of the Board who are not employees of the Company (each, a “</w:t>
      </w:r>
      <w:r>
        <w:rPr>
          <w:rFonts w:ascii="Times New Roman" w:cs="Times New Roman" w:eastAsia="Times New Roman" w:hAnsi="Times New Roman"/>
          <w:sz w:val="21"/>
          <w:szCs w:val="21"/>
          <w:b w:val="1"/>
          <w:bCs w:val="1"/>
          <w:color w:val="auto"/>
        </w:rPr>
        <w:t>Non-Employee Director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Non-Employee Directors</w:t>
      </w:r>
      <w:r>
        <w:rPr>
          <w:rFonts w:ascii="Times New Roman" w:cs="Times New Roman" w:eastAsia="Times New Roman" w:hAnsi="Times New Roman"/>
          <w:sz w:val="21"/>
          <w:szCs w:val="21"/>
          <w:color w:val="auto"/>
        </w:rPr>
        <w:t>”) and who are eligible to receive such compensation, as provided herein. This Non-Employee Director Compensation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has been adopted by the Board to formalize the Company’s policy regarding compensation that may be paid to the eligible Non-Employee Directors, which compensation will include both cash compensation and equity awards granted in accordance with the provisions of the Company’s 2021 Incentive Equity Plan (as may be amended from time to time,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The Compensation Committee of the Board or those persons or bodies to whom administration of the Plan, or part of the Plan, has been delegated as permitted by applicable law, regulations, the applicable stock exchange rules and in accordance with the Plan (the “</w:t>
      </w:r>
      <w:r>
        <w:rPr>
          <w:rFonts w:ascii="Times New Roman" w:cs="Times New Roman" w:eastAsia="Times New Roman" w:hAnsi="Times New Roman"/>
          <w:sz w:val="21"/>
          <w:szCs w:val="21"/>
          <w:b w:val="1"/>
          <w:bCs w:val="1"/>
          <w:color w:val="auto"/>
        </w:rPr>
        <w:t>Administrator</w:t>
      </w:r>
      <w:r>
        <w:rPr>
          <w:rFonts w:ascii="Times New Roman" w:cs="Times New Roman" w:eastAsia="Times New Roman" w:hAnsi="Times New Roman"/>
          <w:sz w:val="21"/>
          <w:szCs w:val="21"/>
          <w:color w:val="auto"/>
        </w:rPr>
        <w:t>”) shall have full power and authority to administer this Policy. Unless otherwise defined herein, capitalized terms used in this Policy will have the meaning given such terms in the Plan.</w:t>
      </w:r>
    </w:p>
    <w:p>
      <w:pPr>
        <w:spacing w:after="0" w:line="161" w:lineRule="exact"/>
        <w:rPr>
          <w:sz w:val="20"/>
          <w:szCs w:val="20"/>
          <w:color w:val="auto"/>
        </w:rPr>
      </w:pPr>
    </w:p>
    <w:p>
      <w:pPr>
        <w:ind w:left="640" w:hanging="313"/>
        <w:spacing w:after="0"/>
        <w:tabs>
          <w:tab w:leader="none" w:pos="64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189" w:lineRule="exact"/>
        <w:rPr>
          <w:rFonts w:ascii="Times New Roman" w:cs="Times New Roman" w:eastAsia="Times New Roman" w:hAnsi="Times New Roman"/>
          <w:sz w:val="21"/>
          <w:szCs w:val="21"/>
          <w:b w:val="1"/>
          <w:bCs w:val="1"/>
          <w:color w:val="auto"/>
        </w:rPr>
      </w:pPr>
    </w:p>
    <w:p>
      <w:pPr>
        <w:jc w:val="both"/>
        <w:ind w:firstLine="648"/>
        <w:spacing w:after="0" w:line="220" w:lineRule="auto"/>
        <w:tabs>
          <w:tab w:leader="none" w:pos="128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The cash and equity-based compensation described in this Policy (other than as provided in Section E hereof) shall be paid or be made, as applicable, automatically and without further action of the Board, to each Covered Director. For purposes of this Policy, “</w:t>
      </w:r>
      <w:r>
        <w:rPr>
          <w:rFonts w:ascii="Times New Roman" w:cs="Times New Roman" w:eastAsia="Times New Roman" w:hAnsi="Times New Roman"/>
          <w:sz w:val="21"/>
          <w:szCs w:val="21"/>
          <w:b w:val="1"/>
          <w:bCs w:val="1"/>
          <w:color w:val="auto"/>
        </w:rPr>
        <w:t>Covered Director</w:t>
      </w:r>
      <w:r>
        <w:rPr>
          <w:rFonts w:ascii="Times New Roman" w:cs="Times New Roman" w:eastAsia="Times New Roman" w:hAnsi="Times New Roman"/>
          <w:sz w:val="21"/>
          <w:szCs w:val="21"/>
          <w:color w:val="auto"/>
        </w:rPr>
        <w:t>” means any member of the Board who is not an employee, independent contractor or consultant of the Company or any of its subsidiaries (other than an individual who is an independent contractor or consultant of the Company solely by virtue of being a member of the Board). For the avoidance of doubt, the term “</w:t>
      </w:r>
      <w:r>
        <w:rPr>
          <w:rFonts w:ascii="Times New Roman" w:cs="Times New Roman" w:eastAsia="Times New Roman" w:hAnsi="Times New Roman"/>
          <w:sz w:val="21"/>
          <w:szCs w:val="21"/>
          <w:b w:val="1"/>
          <w:bCs w:val="1"/>
          <w:color w:val="auto"/>
        </w:rPr>
        <w:t>Covered Directors</w:t>
      </w:r>
      <w:r>
        <w:rPr>
          <w:rFonts w:ascii="Times New Roman" w:cs="Times New Roman" w:eastAsia="Times New Roman" w:hAnsi="Times New Roman"/>
          <w:sz w:val="21"/>
          <w:szCs w:val="21"/>
          <w:color w:val="auto"/>
        </w:rPr>
        <w:t>” does not include any Non-Employee Directors who are prohibited by a contractual obligation or employment policy from receiving compensation for their service on the Board, or who have otherwise notified the Company that they have declined to receive all or any portion of their compensation for their service on the Board.</w:t>
      </w:r>
    </w:p>
    <w:p>
      <w:pPr>
        <w:spacing w:after="0" w:line="152" w:lineRule="exact"/>
        <w:rPr>
          <w:rFonts w:ascii="Times New Roman" w:cs="Times New Roman" w:eastAsia="Times New Roman" w:hAnsi="Times New Roman"/>
          <w:sz w:val="21"/>
          <w:szCs w:val="21"/>
          <w:color w:val="auto"/>
        </w:rPr>
      </w:pPr>
    </w:p>
    <w:p>
      <w:pPr>
        <w:jc w:val="both"/>
        <w:ind w:firstLine="648"/>
        <w:spacing w:after="0"/>
        <w:tabs>
          <w:tab w:leader="none" w:pos="128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 Each Covered Director will be solely responsible for any tax obligations incurred by such Covered Director as a result of any cash payments and/or equity awards that such Covered Director receives pursuant to this Policy.</w:t>
      </w:r>
    </w:p>
    <w:p>
      <w:pPr>
        <w:spacing w:after="0" w:line="367"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Cash Compensation</w:t>
      </w:r>
    </w:p>
    <w:p>
      <w:pPr>
        <w:spacing w:after="0" w:line="185" w:lineRule="exact"/>
        <w:rPr>
          <w:rFonts w:ascii="Times New Roman" w:cs="Times New Roman" w:eastAsia="Times New Roman" w:hAnsi="Times New Roman"/>
          <w:sz w:val="21"/>
          <w:szCs w:val="21"/>
          <w:b w:val="1"/>
          <w:bCs w:val="1"/>
          <w:color w:val="auto"/>
        </w:rPr>
      </w:pPr>
    </w:p>
    <w:p>
      <w:pPr>
        <w:ind w:firstLine="648"/>
        <w:spacing w:after="0" w:line="253" w:lineRule="auto"/>
        <w:tabs>
          <w:tab w:leader="none" w:pos="128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Board Retainer</w:t>
      </w:r>
      <w:r>
        <w:rPr>
          <w:rFonts w:ascii="Times New Roman" w:cs="Times New Roman" w:eastAsia="Times New Roman" w:hAnsi="Times New Roman"/>
          <w:sz w:val="21"/>
          <w:szCs w:val="21"/>
          <w:color w:val="auto"/>
        </w:rPr>
        <w:t>. Each Covered Director shall be paid an annual cash retainer of $50,000 (the “</w:t>
      </w:r>
      <w:r>
        <w:rPr>
          <w:rFonts w:ascii="Times New Roman" w:cs="Times New Roman" w:eastAsia="Times New Roman" w:hAnsi="Times New Roman"/>
          <w:sz w:val="21"/>
          <w:szCs w:val="21"/>
          <w:b w:val="1"/>
          <w:bCs w:val="1"/>
          <w:color w:val="auto"/>
        </w:rPr>
        <w:t>Annual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Board Retainer</w:t>
      </w:r>
      <w:r>
        <w:rPr>
          <w:rFonts w:ascii="Times New Roman" w:cs="Times New Roman" w:eastAsia="Times New Roman" w:hAnsi="Times New Roman"/>
          <w:sz w:val="21"/>
          <w:szCs w:val="21"/>
          <w:color w:val="auto"/>
        </w:rPr>
        <w:t>”).</w:t>
      </w:r>
    </w:p>
    <w:p>
      <w:pPr>
        <w:spacing w:after="0" w:line="136" w:lineRule="exact"/>
        <w:rPr>
          <w:rFonts w:ascii="Times New Roman" w:cs="Times New Roman" w:eastAsia="Times New Roman" w:hAnsi="Times New Roman"/>
          <w:sz w:val="21"/>
          <w:szCs w:val="21"/>
          <w:color w:val="auto"/>
        </w:rPr>
      </w:pPr>
    </w:p>
    <w:p>
      <w:pPr>
        <w:ind w:firstLine="648"/>
        <w:spacing w:after="0" w:line="249" w:lineRule="auto"/>
        <w:tabs>
          <w:tab w:leader="none" w:pos="128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Committee Chair Retainer</w:t>
      </w:r>
      <w:r>
        <w:rPr>
          <w:rFonts w:ascii="Times New Roman" w:cs="Times New Roman" w:eastAsia="Times New Roman" w:hAnsi="Times New Roman"/>
          <w:sz w:val="21"/>
          <w:szCs w:val="21"/>
          <w:color w:val="auto"/>
        </w:rPr>
        <w:t>. A Covered Director shall be paid an annual cash retainer for Committee chair service (the “</w:t>
      </w:r>
      <w:r>
        <w:rPr>
          <w:rFonts w:ascii="Times New Roman" w:cs="Times New Roman" w:eastAsia="Times New Roman" w:hAnsi="Times New Roman"/>
          <w:sz w:val="21"/>
          <w:szCs w:val="21"/>
          <w:b w:val="1"/>
          <w:bCs w:val="1"/>
          <w:color w:val="auto"/>
        </w:rPr>
        <w:t>Annual Committee Chair Retainer</w:t>
      </w:r>
      <w:r>
        <w:rPr>
          <w:rFonts w:ascii="Times New Roman" w:cs="Times New Roman" w:eastAsia="Times New Roman" w:hAnsi="Times New Roman"/>
          <w:sz w:val="21"/>
          <w:szCs w:val="21"/>
          <w:color w:val="auto"/>
        </w:rPr>
        <w:t>”), as follows:</w:t>
      </w:r>
    </w:p>
    <w:p>
      <w:pPr>
        <w:spacing w:after="0" w:line="140"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2"/>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Audit Committee Chair</w:t>
      </w:r>
      <w:r>
        <w:rPr>
          <w:rFonts w:ascii="Times New Roman" w:cs="Times New Roman" w:eastAsia="Times New Roman" w:hAnsi="Times New Roman"/>
          <w:sz w:val="21"/>
          <w:szCs w:val="21"/>
          <w:color w:val="auto"/>
        </w:rPr>
        <w:t>: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04" w:right="339" w:bottom="1440" w:gutter="0" w:footer="0" w:header="0"/>
        </w:sectPr>
      </w:pPr>
    </w:p>
    <w:bookmarkStart w:id="82" w:name="page83"/>
    <w:bookmarkEnd w:id="82"/>
    <w:p>
      <w:pPr>
        <w:ind w:left="1940" w:hanging="651"/>
        <w:spacing w:after="0"/>
        <w:tabs>
          <w:tab w:leader="none" w:pos="194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Committee Chair</w:t>
      </w:r>
      <w:r>
        <w:rPr>
          <w:rFonts w:ascii="Times New Roman" w:cs="Times New Roman" w:eastAsia="Times New Roman" w:hAnsi="Times New Roman"/>
          <w:sz w:val="21"/>
          <w:szCs w:val="21"/>
          <w:color w:val="auto"/>
        </w:rPr>
        <w:t>: $15,000.</w:t>
      </w:r>
    </w:p>
    <w:p>
      <w:pPr>
        <w:spacing w:after="0" w:line="185" w:lineRule="exact"/>
        <w:rPr>
          <w:rFonts w:ascii="Times New Roman" w:cs="Times New Roman" w:eastAsia="Times New Roman" w:hAnsi="Times New Roman"/>
          <w:sz w:val="21"/>
          <w:szCs w:val="21"/>
          <w:color w:val="auto"/>
        </w:rPr>
      </w:pPr>
    </w:p>
    <w:p>
      <w:pPr>
        <w:ind w:left="1920" w:hanging="631"/>
        <w:spacing w:after="0"/>
        <w:tabs>
          <w:tab w:leader="none" w:pos="19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Nominating/Governance Committee Chair</w:t>
      </w:r>
      <w:r>
        <w:rPr>
          <w:rFonts w:ascii="Times New Roman" w:cs="Times New Roman" w:eastAsia="Times New Roman" w:hAnsi="Times New Roman"/>
          <w:sz w:val="21"/>
          <w:szCs w:val="21"/>
          <w:color w:val="auto"/>
        </w:rPr>
        <w:t>: $10,000.</w:t>
      </w:r>
    </w:p>
    <w:p>
      <w:pPr>
        <w:spacing w:after="0" w:line="213" w:lineRule="exact"/>
        <w:rPr>
          <w:sz w:val="20"/>
          <w:szCs w:val="20"/>
          <w:color w:val="auto"/>
        </w:rPr>
      </w:pPr>
    </w:p>
    <w:p>
      <w:pPr>
        <w:ind w:left="1280"/>
        <w:spacing w:after="0" w:line="288" w:lineRule="auto"/>
        <w:rPr>
          <w:sz w:val="20"/>
          <w:szCs w:val="20"/>
          <w:color w:val="auto"/>
        </w:rPr>
      </w:pPr>
      <w:r>
        <w:rPr>
          <w:rFonts w:ascii="Times New Roman" w:cs="Times New Roman" w:eastAsia="Times New Roman" w:hAnsi="Times New Roman"/>
          <w:sz w:val="21"/>
          <w:szCs w:val="21"/>
          <w:color w:val="auto"/>
        </w:rPr>
        <w:t>For the avoidance of doubt, there are no per-meeting attendance fees for attending Board or Board committee meetings.</w:t>
      </w:r>
    </w:p>
    <w:p>
      <w:pPr>
        <w:spacing w:after="0" w:line="111" w:lineRule="exact"/>
        <w:rPr>
          <w:sz w:val="20"/>
          <w:szCs w:val="20"/>
          <w:color w:val="auto"/>
        </w:rPr>
      </w:pPr>
    </w:p>
    <w:p>
      <w:pPr>
        <w:ind w:left="1280" w:hanging="632"/>
        <w:spacing w:after="0"/>
        <w:tabs>
          <w:tab w:leader="none" w:pos="12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 of Payments</w:t>
      </w:r>
      <w:r>
        <w:rPr>
          <w:rFonts w:ascii="Times New Roman" w:cs="Times New Roman" w:eastAsia="Times New Roman" w:hAnsi="Times New Roman"/>
          <w:sz w:val="21"/>
          <w:szCs w:val="21"/>
          <w:color w:val="auto"/>
        </w:rPr>
        <w:t>. The Annual Board Retainer and Annual Committee Chair Retainer will be paid quarterly in</w:t>
      </w:r>
    </w:p>
    <w:p>
      <w:pPr>
        <w:spacing w:after="0"/>
        <w:rPr>
          <w:sz w:val="20"/>
          <w:szCs w:val="20"/>
          <w:color w:val="auto"/>
        </w:rPr>
      </w:pPr>
      <w:r>
        <w:rPr>
          <w:rFonts w:ascii="Times New Roman" w:cs="Times New Roman" w:eastAsia="Times New Roman" w:hAnsi="Times New Roman"/>
          <w:sz w:val="21"/>
          <w:szCs w:val="21"/>
          <w:color w:val="auto"/>
        </w:rPr>
        <w:t>arrears.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C. Equity Compensation</w:t>
      </w:r>
    </w:p>
    <w:p>
      <w:pPr>
        <w:spacing w:after="0" w:line="217"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21"/>
          <w:szCs w:val="21"/>
          <w:color w:val="auto"/>
        </w:rPr>
        <w:t>Covered Directors generally shall be entitled to receive all types of equity awards (except Incentive Stock Options) under the Plan (or any equity plan properly adopted by the Company and approved by the Company’s stockholders as may be in place at the time of such grant), including awards not specifically covered under this Policy. All grants of awards to Covered Directors pursuant to this Section C shall be granted on an automatic and nondiscretionary basis, in accordance with the following provisions and the applicable provisions of the Plan and shall be evidenced by an award agreement.</w:t>
      </w:r>
    </w:p>
    <w:p>
      <w:pPr>
        <w:spacing w:after="0" w:line="141" w:lineRule="exact"/>
        <w:rPr>
          <w:sz w:val="20"/>
          <w:szCs w:val="20"/>
          <w:color w:val="auto"/>
        </w:rPr>
      </w:pPr>
    </w:p>
    <w:p>
      <w:pPr>
        <w:ind w:left="1280" w:hanging="632"/>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Equity Awards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jc w:val="both"/>
        <w:ind w:firstLine="1289"/>
        <w:spacing w:after="0" w:line="219" w:lineRule="auto"/>
        <w:tabs>
          <w:tab w:leader="none" w:pos="1912"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Annual Equity Award</w:t>
      </w:r>
      <w:r>
        <w:rPr>
          <w:rFonts w:ascii="Times New Roman" w:cs="Times New Roman" w:eastAsia="Times New Roman" w:hAnsi="Times New Roman"/>
          <w:sz w:val="21"/>
          <w:szCs w:val="21"/>
          <w:color w:val="auto"/>
        </w:rPr>
        <w:t>. Each calendar year, effective as of the date of the annual meeting of the Company’s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stockholders (the “</w:t>
      </w:r>
      <w:r>
        <w:rPr>
          <w:rFonts w:ascii="Times New Roman" w:cs="Times New Roman" w:eastAsia="Times New Roman" w:hAnsi="Times New Roman"/>
          <w:sz w:val="21"/>
          <w:szCs w:val="21"/>
          <w:b w:val="1"/>
          <w:bCs w:val="1"/>
          <w:color w:val="auto"/>
        </w:rPr>
        <w:t>Annual Meeting</w:t>
      </w:r>
      <w:r>
        <w:rPr>
          <w:rFonts w:ascii="Times New Roman" w:cs="Times New Roman" w:eastAsia="Times New Roman" w:hAnsi="Times New Roman"/>
          <w:sz w:val="21"/>
          <w:szCs w:val="21"/>
          <w:color w:val="auto"/>
        </w:rPr>
        <w:t>”), each Covered Director who either (I) has been nominated by the Board to be elected as a Director at such Annual Meeting, or (II) has a term of service extending beyond the date of such Annual Meeting, automatically will be granted an option to purchase shares of the Company’s Class A Common Stock (the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par value $0.0001 per share (an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with a Fair Market Value (as defined below) of $250,000 (the “</w:t>
      </w:r>
      <w:r>
        <w:rPr>
          <w:rFonts w:ascii="Times New Roman" w:cs="Times New Roman" w:eastAsia="Times New Roman" w:hAnsi="Times New Roman"/>
          <w:sz w:val="21"/>
          <w:szCs w:val="21"/>
          <w:b w:val="1"/>
          <w:bCs w:val="1"/>
          <w:color w:val="auto"/>
        </w:rPr>
        <w:t>Annual Equity Award</w:t>
      </w:r>
      <w:r>
        <w:rPr>
          <w:rFonts w:ascii="Times New Roman" w:cs="Times New Roman" w:eastAsia="Times New Roman" w:hAnsi="Times New Roman"/>
          <w:sz w:val="21"/>
          <w:szCs w:val="21"/>
          <w:color w:val="auto"/>
        </w:rPr>
        <w:t>”) effective as of such Annual Meeting. Notwithstanding the foregoing, if a Covered Director is also a member of the board of directors or equivalent governing body of Resolute Holdings Management, Inc. or the public parent of any other entity that is managed by Resolute Holdings Management, Inc. or any of its controlled affiliates pursuant to a management agreement or similar agreement (a “</w:t>
      </w:r>
      <w:r>
        <w:rPr>
          <w:rFonts w:ascii="Times New Roman" w:cs="Times New Roman" w:eastAsia="Times New Roman" w:hAnsi="Times New Roman"/>
          <w:sz w:val="21"/>
          <w:szCs w:val="21"/>
          <w:b w:val="1"/>
          <w:bCs w:val="1"/>
          <w:color w:val="auto"/>
        </w:rPr>
        <w:t>Dual-Hatted Director</w:t>
      </w:r>
      <w:r>
        <w:rPr>
          <w:rFonts w:ascii="Times New Roman" w:cs="Times New Roman" w:eastAsia="Times New Roman" w:hAnsi="Times New Roman"/>
          <w:sz w:val="21"/>
          <w:szCs w:val="21"/>
          <w:color w:val="auto"/>
        </w:rPr>
        <w:t>”), the Fair Market Value of the Annual Equity Award granted to such Dual-Hatted Director will instead be $150,000.</w:t>
      </w:r>
    </w:p>
    <w:p>
      <w:pPr>
        <w:spacing w:after="0" w:line="147" w:lineRule="exact"/>
        <w:rPr>
          <w:rFonts w:ascii="Times New Roman" w:cs="Times New Roman" w:eastAsia="Times New Roman" w:hAnsi="Times New Roman"/>
          <w:sz w:val="21"/>
          <w:szCs w:val="21"/>
          <w:color w:val="auto"/>
        </w:rPr>
      </w:pPr>
    </w:p>
    <w:p>
      <w:pPr>
        <w:jc w:val="both"/>
        <w:ind w:firstLine="1289"/>
        <w:spacing w:after="0" w:line="224" w:lineRule="auto"/>
        <w:tabs>
          <w:tab w:leader="none" w:pos="1924"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Prorated Annual Equity Award</w:t>
      </w:r>
      <w:r>
        <w:rPr>
          <w:rFonts w:ascii="Times New Roman" w:cs="Times New Roman" w:eastAsia="Times New Roman" w:hAnsi="Times New Roman"/>
          <w:sz w:val="21"/>
          <w:szCs w:val="21"/>
          <w:color w:val="auto"/>
        </w:rPr>
        <w:t>. In addition, an individual who first becomes a Covered Director (including,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the avoidance of doubt, any Dual-Hatted Director) after the occurrence of the Annual Meeting for the year of their appointment or election to the Board shall receive an initial prorated equity award of an Option for the period beginning on the date such Covered Director is initially elected to the Board through the next Annual Meeting (“</w:t>
      </w:r>
      <w:r>
        <w:rPr>
          <w:rFonts w:ascii="Times New Roman" w:cs="Times New Roman" w:eastAsia="Times New Roman" w:hAnsi="Times New Roman"/>
          <w:sz w:val="21"/>
          <w:szCs w:val="21"/>
          <w:b w:val="1"/>
          <w:bCs w:val="1"/>
          <w:color w:val="auto"/>
        </w:rPr>
        <w:t>Prorated Annual Equity Award</w:t>
      </w:r>
      <w:r>
        <w:rPr>
          <w:rFonts w:ascii="Times New Roman" w:cs="Times New Roman" w:eastAsia="Times New Roman" w:hAnsi="Times New Roman"/>
          <w:sz w:val="21"/>
          <w:szCs w:val="21"/>
          <w:color w:val="auto"/>
        </w:rPr>
        <w:t>”). Such Prorated Annual Equity Award shall be granted as of the date on which such Covered Director commences their service as a member of the Board.</w:t>
      </w:r>
    </w:p>
    <w:p>
      <w:pPr>
        <w:spacing w:after="0" w:line="149" w:lineRule="exact"/>
        <w:rPr>
          <w:rFonts w:ascii="Times New Roman" w:cs="Times New Roman" w:eastAsia="Times New Roman" w:hAnsi="Times New Roman"/>
          <w:sz w:val="21"/>
          <w:szCs w:val="21"/>
          <w:color w:val="auto"/>
        </w:rPr>
      </w:pPr>
    </w:p>
    <w:p>
      <w:pPr>
        <w:jc w:val="both"/>
        <w:ind w:firstLine="648"/>
        <w:spacing w:after="0" w:line="225" w:lineRule="auto"/>
        <w:tabs>
          <w:tab w:leader="none" w:pos="128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Equity Award</w:t>
      </w:r>
      <w:r>
        <w:rPr>
          <w:rFonts w:ascii="Times New Roman" w:cs="Times New Roman" w:eastAsia="Times New Roman" w:hAnsi="Times New Roman"/>
          <w:sz w:val="21"/>
          <w:szCs w:val="21"/>
          <w:color w:val="auto"/>
        </w:rPr>
        <w:t>. Each individual who is initially appointed or elected to the Board and is a Covered Director shall receive an initial equity award of an Option (“</w:t>
      </w:r>
      <w:r>
        <w:rPr>
          <w:rFonts w:ascii="Times New Roman" w:cs="Times New Roman" w:eastAsia="Times New Roman" w:hAnsi="Times New Roman"/>
          <w:sz w:val="21"/>
          <w:szCs w:val="21"/>
          <w:b w:val="1"/>
          <w:bCs w:val="1"/>
          <w:color w:val="auto"/>
        </w:rPr>
        <w:t>Initial Equity Award</w:t>
      </w:r>
      <w:r>
        <w:rPr>
          <w:rFonts w:ascii="Times New Roman" w:cs="Times New Roman" w:eastAsia="Times New Roman" w:hAnsi="Times New Roman"/>
          <w:sz w:val="21"/>
          <w:szCs w:val="21"/>
          <w:color w:val="auto"/>
        </w:rPr>
        <w:t>”) with a Fair Market Value of $200,000. Such Initial Equity Award shall be granted as of the date on which such Covered Director commences their service as a member of the Board. Notwithstanding the foregoing, the Fair Market Value of the Initial Equity Award granted to a Dual-Hatted Director will instead be $150,000.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1" w:right="339" w:bottom="1440" w:gutter="0" w:footer="0" w:header="0"/>
        </w:sectPr>
      </w:pPr>
    </w:p>
    <w:bookmarkStart w:id="83" w:name="page84"/>
    <w:bookmarkEnd w:id="83"/>
    <w:p>
      <w:pPr>
        <w:jc w:val="both"/>
        <w:ind w:firstLine="648"/>
        <w:spacing w:after="0" w:line="233" w:lineRule="auto"/>
        <w:tabs>
          <w:tab w:leader="none" w:pos="128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Shares Underlying an Option</w:t>
      </w:r>
      <w:r>
        <w:rPr>
          <w:rFonts w:ascii="Times New Roman" w:cs="Times New Roman" w:eastAsia="Times New Roman" w:hAnsi="Times New Roman"/>
          <w:sz w:val="21"/>
          <w:szCs w:val="21"/>
          <w:color w:val="auto"/>
        </w:rPr>
        <w:t>. The number of Shares subject to an Option, relating to each Annual Equity Award or Initial Equity Award, as applicable, shall be determined by the Administrator in its sole discretion based on the applicable Fair Market Value as described below.</w:t>
      </w:r>
    </w:p>
    <w:p>
      <w:pPr>
        <w:spacing w:after="0" w:line="151" w:lineRule="exact"/>
        <w:rPr>
          <w:rFonts w:ascii="Times New Roman" w:cs="Times New Roman" w:eastAsia="Times New Roman" w:hAnsi="Times New Roman"/>
          <w:sz w:val="21"/>
          <w:szCs w:val="21"/>
          <w:color w:val="auto"/>
        </w:rPr>
      </w:pPr>
    </w:p>
    <w:p>
      <w:pPr>
        <w:jc w:val="both"/>
        <w:ind w:firstLine="648"/>
        <w:spacing w:after="0" w:line="217" w:lineRule="auto"/>
        <w:tabs>
          <w:tab w:leader="none" w:pos="128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Except as provided herein, each Annual Equity Award and each Initial Equity Award shall vest in equal annual installments over a four-year period commencing on the date on which the applicable award is granted (the “</w:t>
      </w:r>
      <w:r>
        <w:rPr>
          <w:rFonts w:ascii="Times New Roman" w:cs="Times New Roman" w:eastAsia="Times New Roman" w:hAnsi="Times New Roman"/>
          <w:sz w:val="21"/>
          <w:szCs w:val="21"/>
          <w:b w:val="1"/>
          <w:bCs w:val="1"/>
          <w:color w:val="auto"/>
        </w:rPr>
        <w:t>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The vesting of such awards shall be subject, in all cases, to the Covered Director’s continued service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through the applicable vesting date(s) and the terms of the related award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 provision of a Covered Director’s award agreement to the contrary, in the event of a Covered Director’s termination of service due to such Covered Director’s death or Disability, then any Option or portion thereof held by such Covered Director (including, for the avoidance of doubt, any Option that has been granted in accordance with this Policy or any conversion plan of the Company) shall vest and become exercisable as of the date of such Covered Director’s termination of service and shall remain exercisable until the tenth anniversary of the date of grant. If the Covered Director elects to retire from the Board at any time prior to the end of the Service Period, the Administrator will have the authority to accelerate the vesting of all or a portion of the Annual Equity Award and the Initial Equity Award. No Annual Equity Award or Initial Equity Award will be accelerated if a Covered Director is disqualified or removed prior to the end of the Service Period, with or without cause, from the Board. Notwithstanding the foregoing, all unvested Annual Equity Awards and Initial Equity Awards outstanding immediately prior to the effectiveness of a Change of Control (as defined in the Plan) shall vest as of the effective date of such Change of Control.</w:t>
      </w:r>
    </w:p>
    <w:p>
      <w:pPr>
        <w:spacing w:after="0" w:line="145" w:lineRule="exact"/>
        <w:rPr>
          <w:rFonts w:ascii="Times New Roman" w:cs="Times New Roman" w:eastAsia="Times New Roman" w:hAnsi="Times New Roman"/>
          <w:sz w:val="21"/>
          <w:szCs w:val="21"/>
          <w:color w:val="auto"/>
        </w:rPr>
      </w:pPr>
    </w:p>
    <w:p>
      <w:pPr>
        <w:jc w:val="both"/>
        <w:ind w:firstLine="648"/>
        <w:spacing w:after="0" w:line="223" w:lineRule="auto"/>
        <w:tabs>
          <w:tab w:leader="none" w:pos="128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For the purposes of this Policy, the “</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per share shall be equal to the closing price of the Common Stock, as reported on the national securities exchange on which the Common Stock is then listed (or any other reporting system selected by the Administrator, in its sole discretion) on the date as of which the determination is being made or, if no sales of shares are reported on such date, on the most recent preceding day on which there were sales of shares reported. The “</w:t>
      </w:r>
      <w:r>
        <w:rPr>
          <w:rFonts w:ascii="Times New Roman" w:cs="Times New Roman" w:eastAsia="Times New Roman" w:hAnsi="Times New Roman"/>
          <w:sz w:val="21"/>
          <w:szCs w:val="21"/>
          <w:b w:val="1"/>
          <w:bCs w:val="1"/>
          <w:color w:val="auto"/>
        </w:rPr>
        <w:t>Fair Market Value</w:t>
      </w:r>
      <w:r>
        <w:rPr>
          <w:rFonts w:ascii="Times New Roman" w:cs="Times New Roman" w:eastAsia="Times New Roman" w:hAnsi="Times New Roman"/>
          <w:sz w:val="21"/>
          <w:szCs w:val="21"/>
          <w:color w:val="auto"/>
        </w:rPr>
        <w:t>” of an Option shall be determined by the Administrator in its sole discretion. The Administrator has historically utilized the Black-Scholes option pricing model based upon information available at the time of grant.</w:t>
      </w:r>
    </w:p>
    <w:p>
      <w:pPr>
        <w:spacing w:after="0" w:line="149" w:lineRule="exact"/>
        <w:rPr>
          <w:rFonts w:ascii="Times New Roman" w:cs="Times New Roman" w:eastAsia="Times New Roman" w:hAnsi="Times New Roman"/>
          <w:sz w:val="21"/>
          <w:szCs w:val="21"/>
          <w:color w:val="auto"/>
        </w:rPr>
      </w:pPr>
    </w:p>
    <w:p>
      <w:pPr>
        <w:ind w:right="20" w:firstLine="648"/>
        <w:spacing w:after="0" w:line="253" w:lineRule="auto"/>
        <w:tabs>
          <w:tab w:leader="none" w:pos="128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For the purposes of this Policy, the “</w:t>
      </w:r>
      <w:r>
        <w:rPr>
          <w:rFonts w:ascii="Times New Roman" w:cs="Times New Roman" w:eastAsia="Times New Roman" w:hAnsi="Times New Roman"/>
          <w:sz w:val="21"/>
          <w:szCs w:val="21"/>
          <w:b w:val="1"/>
          <w:bCs w:val="1"/>
          <w:color w:val="auto"/>
        </w:rPr>
        <w:t>Exercise Price</w:t>
      </w:r>
      <w:r>
        <w:rPr>
          <w:rFonts w:ascii="Times New Roman" w:cs="Times New Roman" w:eastAsia="Times New Roman" w:hAnsi="Times New Roman"/>
          <w:sz w:val="21"/>
          <w:szCs w:val="21"/>
          <w:color w:val="auto"/>
        </w:rPr>
        <w:t>” of an Option shall be the Fair Market Value of a share of Common Stock on the date the Option is granted.</w:t>
      </w:r>
    </w:p>
    <w:p>
      <w:pPr>
        <w:spacing w:after="0" w:line="132" w:lineRule="exact"/>
        <w:rPr>
          <w:rFonts w:ascii="Times New Roman" w:cs="Times New Roman" w:eastAsia="Times New Roman" w:hAnsi="Times New Roman"/>
          <w:sz w:val="21"/>
          <w:szCs w:val="21"/>
          <w:color w:val="auto"/>
        </w:rPr>
      </w:pPr>
    </w:p>
    <w:p>
      <w:pPr>
        <w:ind w:left="640" w:hanging="313"/>
        <w:spacing w:after="0"/>
        <w:tabs>
          <w:tab w:leader="none" w:pos="640"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Travel Expenses</w:t>
      </w:r>
    </w:p>
    <w:p>
      <w:pPr>
        <w:spacing w:after="0" w:line="216"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All reasonable, customary and documented travel expenses incurred by Non-Employee Directors in attending Board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Board committee meetings shall be reimbursed by the Company.</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E. Adjustments</w:t>
      </w:r>
    </w:p>
    <w:p>
      <w:pPr>
        <w:spacing w:after="0" w:line="217"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21"/>
          <w:szCs w:val="21"/>
          <w:color w:val="auto"/>
        </w:rPr>
        <w:t>In the event that any dividend or other distribution (whether in the form of cash, shares of Common Stock, other securities or other property), recapitalization, stock split, reverse stock split, reorganization, merger, consolidation, split-up, spin-off, combination, repurchase, or exchange of shares of Common Stock or other securities of the Company or other change in the corporate structure of the Company affecting such shares occurs, the Administrator shall make adjustments, if any, to the number, class or kind of Options then outstanding, including, for the avoidance of doubt, the applicable Exercise Price, in accordance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1" w:right="339" w:bottom="1440" w:gutter="0" w:footer="0" w:header="0"/>
        </w:sectPr>
      </w:pPr>
    </w:p>
    <w:bookmarkStart w:id="84" w:name="page85"/>
    <w:bookmarkEnd w:id="84"/>
    <w:p>
      <w:pPr>
        <w:ind w:left="320"/>
        <w:spacing w:after="0"/>
        <w:rPr>
          <w:sz w:val="20"/>
          <w:szCs w:val="20"/>
          <w:color w:val="auto"/>
        </w:rPr>
      </w:pPr>
      <w:r>
        <w:rPr>
          <w:rFonts w:ascii="Times New Roman" w:cs="Times New Roman" w:eastAsia="Times New Roman" w:hAnsi="Times New Roman"/>
          <w:sz w:val="21"/>
          <w:szCs w:val="21"/>
          <w:b w:val="1"/>
          <w:bCs w:val="1"/>
          <w:color w:val="auto"/>
        </w:rPr>
        <w:t>F. Taxes</w:t>
      </w:r>
    </w:p>
    <w:p>
      <w:pPr>
        <w:spacing w:after="0" w:line="217"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Compensation paid to Covered Directors is not generally subject to U.S. federal income or employment tax withholding. However, if any such compensation payable under this Policy is subject to required withholding under any state, local or foreign tax law, the Company shall have the right to deduct from cash payments made to a Covered Director, or to make such other arrangements as may be necessary to collect from such Covered Director, any applicable taxes (including social contributions or similar payments) required to be withheld with respect to such payments, and to take such other action as the Administrator may deem advisable to enable the Company and the Covered Director to satisfy obligations for the payment of withholding taxes and other tax obligations relating to any such compensation.</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G. Conversions</w:t>
      </w:r>
    </w:p>
    <w:p>
      <w:pPr>
        <w:spacing w:after="0" w:line="217" w:lineRule="exact"/>
        <w:rPr>
          <w:sz w:val="20"/>
          <w:szCs w:val="20"/>
          <w:color w:val="auto"/>
        </w:rPr>
      </w:pPr>
    </w:p>
    <w:p>
      <w:pPr>
        <w:jc w:val="both"/>
        <w:ind w:right="20" w:firstLine="641"/>
        <w:spacing w:after="0" w:line="302" w:lineRule="auto"/>
        <w:rPr>
          <w:sz w:val="20"/>
          <w:szCs w:val="20"/>
          <w:color w:val="auto"/>
        </w:rPr>
      </w:pPr>
      <w:r>
        <w:rPr>
          <w:rFonts w:ascii="Times New Roman" w:cs="Times New Roman" w:eastAsia="Times New Roman" w:hAnsi="Times New Roman"/>
          <w:sz w:val="21"/>
          <w:szCs w:val="21"/>
          <w:color w:val="auto"/>
        </w:rPr>
        <w:t>A Covered Director may elect to convert his or her Annual Board Retainer and Annual Committee Chair Retainer into an Option in accordance with any conversion plan that may be adopted by the Administrator.</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H. Effective Date; Amendment</w:t>
      </w:r>
    </w:p>
    <w:p>
      <w:pPr>
        <w:spacing w:after="0" w:line="217" w:lineRule="exact"/>
        <w:rPr>
          <w:sz w:val="20"/>
          <w:szCs w:val="20"/>
          <w:color w:val="auto"/>
        </w:rPr>
      </w:pPr>
    </w:p>
    <w:p>
      <w:pPr>
        <w:jc w:val="both"/>
        <w:ind w:firstLine="641"/>
        <w:spacing w:after="0" w:line="260" w:lineRule="auto"/>
        <w:rPr>
          <w:sz w:val="20"/>
          <w:szCs w:val="20"/>
          <w:color w:val="auto"/>
        </w:rPr>
      </w:pPr>
      <w:r>
        <w:rPr>
          <w:rFonts w:ascii="Times New Roman" w:cs="Times New Roman" w:eastAsia="Times New Roman" w:hAnsi="Times New Roman"/>
          <w:sz w:val="21"/>
          <w:szCs w:val="21"/>
          <w:color w:val="auto"/>
        </w:rPr>
        <w:t>This Amended and Restated Policy is effective as of September 23, 2025. The Policy may be amended at any time by the Board upon the recommendation of the Administrator, or by the Administrator, without the consent of any Covered Director who has received an award of Options, provided that such amendment will be of general application to all Covered Directors subject to this Policy and will not, without the specific written consent of any such Covered Director, adversely affect, in a material manner, any outstanding Options or the right of a Covered Director to receive all amounts due and payable with respect to an award of Options. Any amendment to this Policy shall be effective as of the date such amendment is so approved or as of such later date as may be specified by the Board or the Administrator when amending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COMPOSECURE,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SEVERANCE PLAN</w:t>
      </w:r>
    </w:p>
    <w:p>
      <w:pPr>
        <w:spacing w:after="0" w:line="198" w:lineRule="exact"/>
        <w:rPr>
          <w:sz w:val="20"/>
          <w:szCs w:val="20"/>
          <w:color w:val="auto"/>
        </w:rPr>
      </w:pPr>
    </w:p>
    <w:p>
      <w:pPr>
        <w:ind w:right="200" w:firstLine="1282"/>
        <w:spacing w:after="0" w:line="30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CompoSecure,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considers it essential to the best interests of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stockholders to foster the continued employment of its executives; and</w:t>
      </w:r>
    </w:p>
    <w:p>
      <w:pPr>
        <w:spacing w:after="0" w:line="119" w:lineRule="exact"/>
        <w:rPr>
          <w:sz w:val="20"/>
          <w:szCs w:val="20"/>
          <w:color w:val="auto"/>
        </w:rPr>
      </w:pPr>
    </w:p>
    <w:p>
      <w:pPr>
        <w:ind w:right="480" w:firstLine="1282"/>
        <w:spacing w:after="0" w:line="27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of the Board of Directors of the Company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has determined to adopt this CompoSecure, Inc. Executive Severance Plan (this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to provide stability and reinforce and encourage the continued attention and dedication of the Company’s executives to the Company.</w:t>
      </w:r>
    </w:p>
    <w:p>
      <w:pPr>
        <w:spacing w:after="0" w:line="154" w:lineRule="exact"/>
        <w:rPr>
          <w:sz w:val="20"/>
          <w:szCs w:val="20"/>
          <w:color w:val="auto"/>
        </w:rPr>
      </w:pPr>
    </w:p>
    <w:p>
      <w:pPr>
        <w:ind w:right="400" w:firstLine="1282"/>
        <w:spacing w:after="0" w:line="306" w:lineRule="auto"/>
        <w:rPr>
          <w:sz w:val="20"/>
          <w:szCs w:val="20"/>
          <w:color w:val="auto"/>
        </w:rPr>
      </w:pPr>
      <w:r>
        <w:rPr>
          <w:rFonts w:ascii="Times New Roman" w:cs="Times New Roman" w:eastAsia="Times New Roman" w:hAnsi="Times New Roman"/>
          <w:sz w:val="21"/>
          <w:szCs w:val="21"/>
          <w:b w:val="1"/>
          <w:bCs w:val="1"/>
          <w:color w:val="auto"/>
        </w:rPr>
        <w:t>NOW, THEREFORE, BE IT RESOLVED</w:t>
      </w:r>
      <w:r>
        <w:rPr>
          <w:rFonts w:ascii="Times New Roman" w:cs="Times New Roman" w:eastAsia="Times New Roman" w:hAnsi="Times New Roman"/>
          <w:sz w:val="21"/>
          <w:szCs w:val="21"/>
          <w:color w:val="auto"/>
        </w:rPr>
        <w:t>, the Committee hereby adopts this Plan as of October 2, 2025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for the benefit of the Company’s executives on the terms and conditions hereinafter stated.</w:t>
      </w:r>
    </w:p>
    <w:p>
      <w:pPr>
        <w:spacing w:after="0" w:line="92"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As hereinafter used:</w:t>
      </w:r>
    </w:p>
    <w:p>
      <w:pPr>
        <w:spacing w:after="0" w:line="27" w:lineRule="exact"/>
        <w:rPr>
          <w:sz w:val="20"/>
          <w:szCs w:val="20"/>
          <w:color w:val="auto"/>
        </w:rPr>
      </w:pPr>
    </w:p>
    <w:p>
      <w:pPr>
        <w:ind w:right="460" w:firstLine="1282"/>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Accrued Obligations</w:t>
      </w:r>
      <w:r>
        <w:rPr>
          <w:rFonts w:ascii="Times New Roman" w:cs="Times New Roman" w:eastAsia="Times New Roman" w:hAnsi="Times New Roman"/>
          <w:sz w:val="21"/>
          <w:szCs w:val="21"/>
          <w:color w:val="auto"/>
        </w:rPr>
        <w:t>” shall mean the sum of (i) the Participant’s Base Salary through the Employment Termination Date and (ii) to the extent required by law or applicable Company policy, any accrued vacation pay earned by the Participant, in each case, to the extent not theretofore paid.</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shall have the meaning set forth in Rule 12b-2 of the Exchange Act.</w:t>
      </w:r>
    </w:p>
    <w:p>
      <w:pPr>
        <w:spacing w:after="0" w:line="226" w:lineRule="exact"/>
        <w:rPr>
          <w:sz w:val="20"/>
          <w:szCs w:val="20"/>
          <w:color w:val="auto"/>
        </w:rPr>
      </w:pPr>
    </w:p>
    <w:p>
      <w:pPr>
        <w:ind w:right="1100" w:firstLine="1282"/>
        <w:spacing w:after="0" w:line="30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shall mean the Participant’s annual bonus under the then-current non-equity incentive compensation plan of the Company and any of its Affiliates.</w:t>
      </w:r>
    </w:p>
    <w:p>
      <w:pPr>
        <w:spacing w:after="0" w:line="119" w:lineRule="exact"/>
        <w:rPr>
          <w:sz w:val="20"/>
          <w:szCs w:val="20"/>
          <w:color w:val="auto"/>
        </w:rPr>
      </w:pPr>
    </w:p>
    <w:p>
      <w:pPr>
        <w:ind w:right="120" w:firstLine="1282"/>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Multiple</w:t>
      </w:r>
      <w:r>
        <w:rPr>
          <w:rFonts w:ascii="Times New Roman" w:cs="Times New Roman" w:eastAsia="Times New Roman" w:hAnsi="Times New Roman"/>
          <w:sz w:val="21"/>
          <w:szCs w:val="21"/>
          <w:color w:val="auto"/>
        </w:rPr>
        <w:t>” shall mean (i) two times for the Chief Executive Officer of the Company and (ii) one times for other Participants.</w:t>
      </w:r>
    </w:p>
    <w:p>
      <w:pPr>
        <w:spacing w:after="0" w:line="134" w:lineRule="exact"/>
        <w:rPr>
          <w:sz w:val="20"/>
          <w:szCs w:val="20"/>
          <w:color w:val="auto"/>
        </w:rPr>
      </w:pPr>
    </w:p>
    <w:p>
      <w:pPr>
        <w:ind w:right="20" w:firstLine="1282"/>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shall mean the annual base salary paid by the Company or any of its Affiliates to the Participant, and shall not include any amounts received under any non-equity incentive or other bonus plan.</w:t>
      </w:r>
    </w:p>
    <w:p>
      <w:pPr>
        <w:spacing w:after="0" w:line="147" w:lineRule="exact"/>
        <w:rPr>
          <w:sz w:val="20"/>
          <w:szCs w:val="20"/>
          <w:color w:val="auto"/>
        </w:rPr>
      </w:pPr>
    </w:p>
    <w:p>
      <w:pPr>
        <w:ind w:right="100" w:firstLine="1282"/>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Obligations</w:t>
      </w:r>
      <w:r>
        <w:rPr>
          <w:rFonts w:ascii="Times New Roman" w:cs="Times New Roman" w:eastAsia="Times New Roman" w:hAnsi="Times New Roman"/>
          <w:sz w:val="21"/>
          <w:szCs w:val="21"/>
          <w:color w:val="auto"/>
        </w:rPr>
        <w:t>” shall mean all benefits to which the Participant (or his or her designated beneficiary or legal representative, as applicable) is entitled or vested (or becomes entitled or vested as a result of termination) under the terms of all Benefit Plans in which the Participant is a participant as of the Participant’s termination of employment and to the extent not theretofore paid or provided.</w:t>
      </w:r>
    </w:p>
    <w:p>
      <w:pPr>
        <w:spacing w:after="0" w:line="162" w:lineRule="exact"/>
        <w:rPr>
          <w:sz w:val="20"/>
          <w:szCs w:val="20"/>
          <w:color w:val="auto"/>
        </w:rPr>
      </w:pPr>
    </w:p>
    <w:p>
      <w:pPr>
        <w:ind w:right="900" w:firstLine="1282"/>
        <w:spacing w:after="0" w:line="30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Plans</w:t>
      </w:r>
      <w:r>
        <w:rPr>
          <w:rFonts w:ascii="Times New Roman" w:cs="Times New Roman" w:eastAsia="Times New Roman" w:hAnsi="Times New Roman"/>
          <w:sz w:val="21"/>
          <w:szCs w:val="21"/>
          <w:color w:val="auto"/>
        </w:rPr>
        <w:t>” shall mean all employee retirement and welfare benefit plans, agreements, arrangements, programs, policies, practices, contracts or agreement of the Company and its Affiliates.</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shall have the meaning set forth in the recitals.</w:t>
      </w:r>
    </w:p>
    <w:p>
      <w:pPr>
        <w:sectPr>
          <w:pgSz w:w="11900" w:h="16838" w:orient="portrait"/>
          <w:cols w:equalWidth="0" w:num="1">
            <w:col w:w="11240"/>
          </w:cols>
          <w:pgMar w:left="320" w:top="119" w:right="339" w:bottom="1440" w:gutter="0" w:footer="0" w:header="0"/>
        </w:sectPr>
      </w:pPr>
    </w:p>
    <w:bookmarkStart w:id="86" w:name="page87"/>
    <w:bookmarkEnd w:id="86"/>
    <w:p>
      <w:pPr>
        <w:ind w:firstLine="1282"/>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shall have the meaning given to that term in any written employment agreement or offer letter between the Company and the Participant, or if no such agreement exists or if such term is not defined therein, and unless otherwise defined in the Grant Instrument, Cause means a finding by the Committee that the Participant (i) has breached his or her employment or service contract with the Company, (ii) has engaged in disloyalty to the Company, including, without limitation, fraud, embezzlement, theft, commission of a felony or proven dishonesty, (iii) has disclosed trade secrets or confidential information of the Company to Persons not entitled to receive such information, (iv) has breached any written non-competition, non-solicitation, invention assignment or confidentiality agreement between the Participant and the Company or (v) has engaged in such other behavior detrimental to the interests of the Company as the Committee determines.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shall mean the Consolidated Omnibus Budget Reconciliation Act of 1985.</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mean the Internal Revenue Code of 1986, as amended.</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shall have the meaning set forth in the recitals.</w:t>
      </w:r>
    </w:p>
    <w:p>
      <w:pPr>
        <w:spacing w:after="0" w:line="226" w:lineRule="exact"/>
        <w:rPr>
          <w:sz w:val="20"/>
          <w:szCs w:val="20"/>
          <w:color w:val="auto"/>
        </w:rPr>
      </w:pPr>
    </w:p>
    <w:p>
      <w:pPr>
        <w:ind w:right="80" w:firstLine="12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shall have the meaning set forth in the recitals, and shall include (i) any successor to CompoSecure, Inc. (or any successor to it), including but not limited to any entity into which CompoSecure, Inc. is merged, consolidated or amalgamated, and (ii) any Affiliate of the Company, as applicable, to the extent the Participant is employed by or seconded to any such Affiliate or any entity to which the Company may assign this Plan in accordance with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Employment Termination Date</w:t>
      </w:r>
      <w:r>
        <w:rPr>
          <w:rFonts w:ascii="Times New Roman" w:cs="Times New Roman" w:eastAsia="Times New Roman" w:hAnsi="Times New Roman"/>
          <w:sz w:val="21"/>
          <w:szCs w:val="21"/>
          <w:color w:val="auto"/>
        </w:rPr>
        <w:t>” shall mean the date on which a Participant incurs a termination of employment.</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shall mean the Securities Exchange Act of 1934, as amended.</w:t>
      </w:r>
    </w:p>
    <w:p>
      <w:pPr>
        <w:spacing w:after="0" w:line="226" w:lineRule="exact"/>
        <w:rPr>
          <w:sz w:val="20"/>
          <w:szCs w:val="20"/>
          <w:color w:val="auto"/>
        </w:rPr>
      </w:pPr>
    </w:p>
    <w:p>
      <w:pPr>
        <w:ind w:right="140" w:firstLine="1282"/>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Independent Tax Advisor</w:t>
      </w:r>
      <w:r>
        <w:rPr>
          <w:rFonts w:ascii="Times New Roman" w:cs="Times New Roman" w:eastAsia="Times New Roman" w:hAnsi="Times New Roman"/>
          <w:sz w:val="21"/>
          <w:szCs w:val="21"/>
          <w:color w:val="auto"/>
        </w:rPr>
        <w:t>” shall mean a lawyer with a nationally recognized law firm, a certified public accountant with a nationally recognized accounting firm, or a compensation consultant with a nationally recognized actuarial and benefits consulting firm, in each case with expertise in the area of executive compensation tax law, who shall be selected by the Company, and all of whose fees and disbursements shall be paid by the Company.</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Severance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right="400" w:firstLine="1282"/>
        <w:spacing w:after="0" w:line="27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shall mean (i) the Chief Executive Officer of the Company, (ii) an individual who is in a direct reporting relationship to the Chief Executive Officer (excluding, for the avoidance of doubt, administrative staff), and (iii) any other individual designated as a Participant by the Committee, in each case, who has executed a Participation Agreement.</w:t>
      </w:r>
    </w:p>
    <w:p>
      <w:pPr>
        <w:sectPr>
          <w:pgSz w:w="11900" w:h="16838" w:orient="portrait"/>
          <w:cols w:equalWidth="0" w:num="1">
            <w:col w:w="11200"/>
          </w:cols>
          <w:pgMar w:left="320" w:top="1404" w:right="379" w:bottom="1440" w:gutter="0" w:footer="0" w:header="0"/>
        </w:sectPr>
      </w:pPr>
    </w:p>
    <w:bookmarkStart w:id="87" w:name="page88"/>
    <w:bookmarkEnd w:id="87"/>
    <w:p>
      <w:pPr>
        <w:ind w:right="840" w:firstLine="1282"/>
        <w:spacing w:after="0" w:line="292" w:lineRule="auto"/>
        <w:rPr>
          <w:sz w:val="20"/>
          <w:szCs w:val="20"/>
          <w:color w:val="auto"/>
        </w:rPr>
      </w:pPr>
      <w:r>
        <w:rPr>
          <w:rFonts w:ascii="Times New Roman" w:cs="Times New Roman" w:eastAsia="Times New Roman" w:hAnsi="Times New Roman"/>
          <w:sz w:val="21"/>
          <w:szCs w:val="21"/>
          <w:b w:val="1"/>
          <w:bCs w:val="1"/>
          <w:color w:val="auto"/>
        </w:rPr>
        <w:t>“Participation Agreement</w:t>
      </w:r>
      <w:r>
        <w:rPr>
          <w:rFonts w:ascii="Times New Roman" w:cs="Times New Roman" w:eastAsia="Times New Roman" w:hAnsi="Times New Roman"/>
          <w:sz w:val="21"/>
          <w:szCs w:val="21"/>
          <w:color w:val="auto"/>
        </w:rPr>
        <w:t>” shall mean a participation agreement by and between the Company and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Participant,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shall mean the Participant and the Company.</w:t>
      </w:r>
    </w:p>
    <w:p>
      <w:pPr>
        <w:spacing w:after="0" w:line="239" w:lineRule="exact"/>
        <w:rPr>
          <w:sz w:val="20"/>
          <w:szCs w:val="20"/>
          <w:color w:val="auto"/>
        </w:rPr>
      </w:pPr>
    </w:p>
    <w:p>
      <w:pPr>
        <w:ind w:firstLine="1282"/>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have the meaning given in Section 3(a)(9) of the Exchange Act, as modified and used in Sections 13(d) thereof, except that such term shall not include (i) the Company or any of its Affiliates, (ii) a trustee or other fiduciary holding securities under a Benefit Plan of the Company or any of its Affiliates, (iii) an underwriter temporarily holding securities pursuant to an offering by the Company of such securities, or (iv) an entity owned, directly or indirectly, by the shareholders of the Company in the same proportions as their ownership of the ordinary shares of the Company.</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shall have the meaning set forth in the recitals.</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Q/A-24(c) Payments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Reduced Amount</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“Restrictive Covenants</w:t>
      </w:r>
      <w:r>
        <w:rPr>
          <w:rFonts w:ascii="Times New Roman" w:cs="Times New Roman" w:eastAsia="Times New Roman" w:hAnsi="Times New Roman"/>
          <w:sz w:val="21"/>
          <w:szCs w:val="21"/>
          <w:color w:val="auto"/>
        </w:rPr>
        <w:t>” shall have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w:t>
      </w:r>
    </w:p>
    <w:p>
      <w:pPr>
        <w:spacing w:after="0" w:line="239" w:lineRule="exact"/>
        <w:rPr>
          <w:sz w:val="20"/>
          <w:szCs w:val="20"/>
          <w:color w:val="auto"/>
        </w:rPr>
      </w:pPr>
    </w:p>
    <w:p>
      <w:pPr>
        <w:ind w:right="180" w:firstLine="1282"/>
        <w:spacing w:after="0" w:line="29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Severance Period</w:t>
      </w:r>
      <w:r>
        <w:rPr>
          <w:rFonts w:ascii="Times New Roman" w:cs="Times New Roman" w:eastAsia="Times New Roman" w:hAnsi="Times New Roman"/>
          <w:sz w:val="21"/>
          <w:szCs w:val="21"/>
          <w:color w:val="auto"/>
        </w:rPr>
        <w:t>” shall mean the number of years following the Employment Termination Date that is equal to the Applicable Multiple.</w:t>
      </w:r>
    </w:p>
    <w:p>
      <w:pPr>
        <w:spacing w:after="0" w:line="103"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1"/>
          <w:szCs w:val="21"/>
          <w:i w:val="1"/>
          <w:iCs w:val="1"/>
          <w:color w:val="auto"/>
        </w:rPr>
        <w:t>Severance Eligibility and Payments</w:t>
      </w:r>
      <w:r>
        <w:rPr>
          <w:rFonts w:ascii="Times New Roman" w:cs="Times New Roman" w:eastAsia="Times New Roman" w:hAnsi="Times New Roman"/>
          <w:sz w:val="21"/>
          <w:szCs w:val="21"/>
          <w:color w:val="auto"/>
        </w:rPr>
        <w:t>.</w:t>
      </w:r>
    </w:p>
    <w:p>
      <w:pPr>
        <w:ind w:firstLine="1282"/>
        <w:spacing w:after="0" w:line="220" w:lineRule="auto"/>
        <w:rPr>
          <w:sz w:val="20"/>
          <w:szCs w:val="20"/>
          <w:color w:val="auto"/>
        </w:rPr>
      </w:pPr>
      <w:r>
        <w:rPr>
          <w:rFonts w:ascii="Times New Roman" w:cs="Times New Roman" w:eastAsia="Times New Roman" w:hAnsi="Times New Roman"/>
          <w:sz w:val="21"/>
          <w:szCs w:val="21"/>
          <w:color w:val="auto"/>
        </w:rPr>
        <w:t>2.1 Notwithstanding anything else in this Plan to the contrary, a Participant shall only be entitled to the compensation and benefits provided under this Plan if the Participant (i) enters into a Participation Agreement and (ii) continues to comply with any restrictive covenants set forth in any written agreement with the Company to which the employee is subject (including, without limitation, as set forth in the Participation Agreement and any other non-compete, non-solicit, non-disparagement and confidentiality obligations) (the “</w:t>
      </w:r>
      <w:r>
        <w:rPr>
          <w:rFonts w:ascii="Times New Roman" w:cs="Times New Roman" w:eastAsia="Times New Roman" w:hAnsi="Times New Roman"/>
          <w:sz w:val="21"/>
          <w:szCs w:val="21"/>
          <w:b w:val="1"/>
          <w:bCs w:val="1"/>
          <w:color w:val="auto"/>
        </w:rPr>
        <w:t>Restrictive Covenants</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right="140" w:firstLine="1282"/>
        <w:spacing w:after="0" w:line="229"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i w:val="1"/>
          <w:iCs w:val="1"/>
          <w:color w:val="auto"/>
        </w:rPr>
        <w:t>Benefits Upon Qualifying Termination</w:t>
      </w:r>
      <w:r>
        <w:rPr>
          <w:rFonts w:ascii="Times New Roman" w:cs="Times New Roman" w:eastAsia="Times New Roman" w:hAnsi="Times New Roman"/>
          <w:sz w:val="21"/>
          <w:szCs w:val="21"/>
          <w:color w:val="auto"/>
        </w:rPr>
        <w:t>. Upon a termination of the Participant’s employment relationship with the Company by the Company without Cause (such termination, a “</w:t>
      </w:r>
      <w:r>
        <w:rPr>
          <w:rFonts w:ascii="Times New Roman" w:cs="Times New Roman" w:eastAsia="Times New Roman" w:hAnsi="Times New Roman"/>
          <w:sz w:val="21"/>
          <w:szCs w:val="21"/>
          <w:b w:val="1"/>
          <w:bCs w:val="1"/>
          <w:color w:val="auto"/>
        </w:rPr>
        <w:t>Qualifying Termination</w:t>
      </w:r>
      <w:r>
        <w:rPr>
          <w:rFonts w:ascii="Times New Roman" w:cs="Times New Roman" w:eastAsia="Times New Roman" w:hAnsi="Times New Roman"/>
          <w:sz w:val="21"/>
          <w:szCs w:val="21"/>
          <w:color w:val="auto"/>
        </w:rPr>
        <w:t>”), then the Participant shall be entitled to the following, in lieu of any severance payments or benefits otherwise payable to the Participant under any plan or arrangement between the Company or any of its Affiliates and the Participant:</w:t>
      </w:r>
    </w:p>
    <w:p>
      <w:pPr>
        <w:spacing w:after="0" w:line="151" w:lineRule="exact"/>
        <w:rPr>
          <w:sz w:val="20"/>
          <w:szCs w:val="20"/>
          <w:color w:val="auto"/>
        </w:rPr>
      </w:pPr>
    </w:p>
    <w:p>
      <w:pPr>
        <w:ind w:left="2560" w:hanging="630"/>
        <w:spacing w:after="0"/>
        <w:tabs>
          <w:tab w:leader="none" w:pos="25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Accrued Obligations in a lump sum in cash;</w:t>
      </w:r>
    </w:p>
    <w:p>
      <w:pPr>
        <w:spacing w:after="0" w:line="185" w:lineRule="exact"/>
        <w:rPr>
          <w:rFonts w:ascii="Times New Roman" w:cs="Times New Roman" w:eastAsia="Times New Roman" w:hAnsi="Times New Roman"/>
          <w:sz w:val="21"/>
          <w:szCs w:val="21"/>
          <w:color w:val="auto"/>
        </w:rPr>
      </w:pPr>
    </w:p>
    <w:p>
      <w:pPr>
        <w:ind w:left="2560" w:hanging="630"/>
        <w:spacing w:after="0"/>
        <w:tabs>
          <w:tab w:leader="none" w:pos="25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Benefit Obligations (subject to the terms of the applicable Benefit Plans); and</w:t>
      </w:r>
    </w:p>
    <w:p>
      <w:pPr>
        <w:spacing w:after="0" w:line="185" w:lineRule="exact"/>
        <w:rPr>
          <w:rFonts w:ascii="Times New Roman" w:cs="Times New Roman" w:eastAsia="Times New Roman" w:hAnsi="Times New Roman"/>
          <w:sz w:val="21"/>
          <w:szCs w:val="21"/>
          <w:color w:val="auto"/>
        </w:rPr>
      </w:pPr>
    </w:p>
    <w:p>
      <w:pPr>
        <w:ind w:right="520" w:firstLine="1930"/>
        <w:spacing w:after="0" w:line="249" w:lineRule="auto"/>
        <w:tabs>
          <w:tab w:leader="none" w:pos="256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within 55 days following the Employment Termination Date, the Participant has executed a general release and waiver agreement in the</w:t>
      </w:r>
    </w:p>
    <w:p>
      <w:pPr>
        <w:sectPr>
          <w:pgSz w:w="11900" w:h="16838" w:orient="portrait"/>
          <w:cols w:equalWidth="0" w:num="1">
            <w:col w:w="11180"/>
          </w:cols>
          <w:pgMar w:left="320" w:top="1404" w:right="399" w:bottom="1440" w:gutter="0" w:footer="0" w:header="0"/>
        </w:sectPr>
      </w:pPr>
    </w:p>
    <w:bookmarkStart w:id="88" w:name="page89"/>
    <w:bookmarkEnd w:id="88"/>
    <w:p>
      <w:pPr>
        <w:ind w:right="260"/>
        <w:spacing w:after="0" w:line="253" w:lineRule="auto"/>
        <w:rPr>
          <w:sz w:val="20"/>
          <w:szCs w:val="20"/>
          <w:color w:val="auto"/>
        </w:rPr>
      </w:pPr>
      <w:r>
        <w:rPr>
          <w:rFonts w:ascii="Times New Roman" w:cs="Times New Roman" w:eastAsia="Times New Roman" w:hAnsi="Times New Roman"/>
          <w:sz w:val="21"/>
          <w:szCs w:val="21"/>
          <w:color w:val="auto"/>
        </w:rPr>
        <w:t>form provided by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and any applicable revocation periods relating to the Release have expired, and subject to the Participant’s compliance with the Restrictive Covenants and the Release:</w:t>
      </w:r>
    </w:p>
    <w:p>
      <w:pPr>
        <w:spacing w:after="0" w:line="136" w:lineRule="exact"/>
        <w:rPr>
          <w:sz w:val="20"/>
          <w:szCs w:val="20"/>
          <w:color w:val="auto"/>
        </w:rPr>
      </w:pPr>
    </w:p>
    <w:p>
      <w:pPr>
        <w:ind w:left="1280" w:right="40" w:firstLine="1292"/>
        <w:spacing w:after="0" w:line="228" w:lineRule="auto"/>
        <w:tabs>
          <w:tab w:leader="none" w:pos="319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Applicable Multiple times the sum of (1) the rate of Base Salary then in effect up to and including the Employment Termination Date, and (2) the Participant’s Annual Bonus at target, which shall be paid in substantially equal installments during the Severance Period in accordance with the Company’s normal payroll periods;</w:t>
      </w:r>
    </w:p>
    <w:p>
      <w:pPr>
        <w:spacing w:after="0" w:line="151" w:lineRule="exact"/>
        <w:rPr>
          <w:rFonts w:ascii="Times New Roman" w:cs="Times New Roman" w:eastAsia="Times New Roman" w:hAnsi="Times New Roman"/>
          <w:sz w:val="21"/>
          <w:szCs w:val="21"/>
          <w:color w:val="auto"/>
        </w:rPr>
      </w:pPr>
    </w:p>
    <w:p>
      <w:pPr>
        <w:ind w:left="1280" w:firstLine="1292"/>
        <w:spacing w:after="0" w:line="233" w:lineRule="auto"/>
        <w:tabs>
          <w:tab w:leader="none" w:pos="319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lump-sum cash amount equal to the COBRA premiums that the Participant would pay if he or she elected continued health coverage under the Company’s health plan for the Participant and his or her dependents for the Severance Period, based on the COBRA rates in effect at the termination date;</w:t>
      </w:r>
    </w:p>
    <w:p>
      <w:pPr>
        <w:spacing w:after="0" w:line="151" w:lineRule="exact"/>
        <w:rPr>
          <w:rFonts w:ascii="Times New Roman" w:cs="Times New Roman" w:eastAsia="Times New Roman" w:hAnsi="Times New Roman"/>
          <w:sz w:val="21"/>
          <w:szCs w:val="21"/>
          <w:color w:val="auto"/>
        </w:rPr>
      </w:pPr>
    </w:p>
    <w:p>
      <w:pPr>
        <w:ind w:left="1280" w:right="40" w:firstLine="1292"/>
        <w:spacing w:after="0" w:line="233" w:lineRule="auto"/>
        <w:tabs>
          <w:tab w:leader="none" w:pos="319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Outplacement services supplied by a service provider selected by the Company for a period of six months;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services must commence no later than 90 days after the Employment Termination Date and terminate 12 months after commencement of same; and</w:t>
      </w:r>
    </w:p>
    <w:p>
      <w:pPr>
        <w:spacing w:after="0" w:line="151" w:lineRule="exact"/>
        <w:rPr>
          <w:rFonts w:ascii="Times New Roman" w:cs="Times New Roman" w:eastAsia="Times New Roman" w:hAnsi="Times New Roman"/>
          <w:sz w:val="21"/>
          <w:szCs w:val="21"/>
          <w:color w:val="auto"/>
        </w:rPr>
      </w:pPr>
    </w:p>
    <w:p>
      <w:pPr>
        <w:ind w:left="1280" w:right="140" w:firstLine="1292"/>
        <w:spacing w:after="0" w:line="218" w:lineRule="auto"/>
        <w:tabs>
          <w:tab w:leader="none" w:pos="319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vested options to purchase Company stock that were granted to the Participant prior to the Employment Termination Date shall remain outstanding and exercisable until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Employment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no event shall any such options remain outstanding and exercisable beyond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anniversary of the applicable grant date.</w:t>
      </w:r>
    </w:p>
    <w:p>
      <w:pPr>
        <w:spacing w:after="0" w:line="62" w:lineRule="exact"/>
        <w:rPr>
          <w:sz w:val="20"/>
          <w:szCs w:val="20"/>
          <w:color w:val="auto"/>
        </w:rPr>
      </w:pPr>
    </w:p>
    <w:p>
      <w:pPr>
        <w:ind w:right="120" w:firstLine="1282"/>
        <w:spacing w:after="0" w:line="220"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i w:val="1"/>
          <w:iCs w:val="1"/>
          <w:color w:val="auto"/>
        </w:rPr>
        <w:t>Timing of Severance Payments</w:t>
      </w:r>
      <w:r>
        <w:rPr>
          <w:rFonts w:ascii="Times New Roman" w:cs="Times New Roman" w:eastAsia="Times New Roman" w:hAnsi="Times New Roman"/>
          <w:sz w:val="21"/>
          <w:szCs w:val="21"/>
          <w:color w:val="auto"/>
        </w:rPr>
        <w:t xml:space="preserve">. The Company shall pay (or cause to be paid) to the Participant the amounts or benefits specified in </w:t>
      </w:r>
      <w:r>
        <w:rPr>
          <w:rFonts w:ascii="Times New Roman" w:cs="Times New Roman" w:eastAsia="Times New Roman" w:hAnsi="Times New Roman"/>
          <w:sz w:val="21"/>
          <w:szCs w:val="21"/>
          <w:u w:val="single" w:color="auto"/>
          <w:color w:val="auto"/>
        </w:rPr>
        <w:t>Section 2.2(i)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(iii)(B)</w:t>
      </w:r>
      <w:r>
        <w:rPr>
          <w:rFonts w:ascii="Times New Roman" w:cs="Times New Roman" w:eastAsia="Times New Roman" w:hAnsi="Times New Roman"/>
          <w:sz w:val="21"/>
          <w:szCs w:val="21"/>
          <w:color w:val="auto"/>
        </w:rPr>
        <w:t xml:space="preserve"> 60 days following the Employment Termination Date, and those specified in </w:t>
      </w:r>
      <w:r>
        <w:rPr>
          <w:rFonts w:ascii="Times New Roman" w:cs="Times New Roman" w:eastAsia="Times New Roman" w:hAnsi="Times New Roman"/>
          <w:sz w:val="21"/>
          <w:szCs w:val="21"/>
          <w:u w:val="single" w:color="auto"/>
          <w:color w:val="auto"/>
        </w:rPr>
        <w:t>Section 2.2(iii)(A)</w:t>
      </w:r>
      <w:r>
        <w:rPr>
          <w:rFonts w:ascii="Times New Roman" w:cs="Times New Roman" w:eastAsia="Times New Roman" w:hAnsi="Times New Roman"/>
          <w:sz w:val="21"/>
          <w:szCs w:val="21"/>
          <w:color w:val="auto"/>
        </w:rPr>
        <w:t xml:space="preserve"> in substantially equal installments during the Severance Period in accordance with the Company’s normal payroll periods. For the avoidance of doubt,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shall not result in a delay of: (i) any payment of Accrued Obligations that otherwise would occur on an earlier date in accordance with applicable law or the usual and customary payroll policies of the Company (as in effect immediately prior to the Participant’s termination of employment) or (ii) any payment of the Benefit Obligations that otherwise would occur pursuant to the terms and conditions of the applicable Benefit Plans (as in effect immediately prior to the Participant’s termination of employment).</w:t>
      </w:r>
    </w:p>
    <w:p>
      <w:pPr>
        <w:spacing w:after="0" w:line="153" w:lineRule="exact"/>
        <w:rPr>
          <w:sz w:val="20"/>
          <w:szCs w:val="20"/>
          <w:color w:val="auto"/>
        </w:rPr>
      </w:pPr>
    </w:p>
    <w:p>
      <w:pPr>
        <w:ind w:right="80" w:firstLine="1282"/>
        <w:spacing w:after="0"/>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i w:val="1"/>
          <w:iCs w:val="1"/>
          <w:color w:val="auto"/>
        </w:rPr>
        <w:t>Other Terminations</w:t>
      </w:r>
      <w:r>
        <w:rPr>
          <w:rFonts w:ascii="Times New Roman" w:cs="Times New Roman" w:eastAsia="Times New Roman" w:hAnsi="Times New Roman"/>
          <w:sz w:val="21"/>
          <w:szCs w:val="21"/>
          <w:color w:val="auto"/>
        </w:rPr>
        <w:t>. For the avoidance of doubt, the Participant shall not be entitled to any payments or benefits pursuant to this Plan if the Participant experiences a termination of employment that does not constitute a Qualifying Termination. In addition, if the Participant’s position is eliminated and the Participant is offered a new position within the Company with Base Salary at least equivalent to the Participant’s then-current level, then, regardless of the geographic location of the new position, the Participant shall not be entitled to any payments or benefits pursuant to this Plan if the Participant declines such offer.</w:t>
      </w:r>
    </w:p>
    <w:p>
      <w:pPr>
        <w:spacing w:after="0" w:line="289" w:lineRule="exact"/>
        <w:rPr>
          <w:sz w:val="20"/>
          <w:szCs w:val="20"/>
          <w:color w:val="auto"/>
        </w:rPr>
      </w:pPr>
    </w:p>
    <w:p>
      <w:pPr>
        <w:ind w:right="100" w:firstLine="1282"/>
        <w:spacing w:after="0" w:line="223"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i w:val="1"/>
          <w:iCs w:val="1"/>
          <w:color w:val="auto"/>
        </w:rPr>
        <w:t>Other Severance Payments</w:t>
      </w:r>
      <w:r>
        <w:rPr>
          <w:rFonts w:ascii="Times New Roman" w:cs="Times New Roman" w:eastAsia="Times New Roman" w:hAnsi="Times New Roman"/>
          <w:sz w:val="21"/>
          <w:szCs w:val="21"/>
          <w:color w:val="auto"/>
        </w:rPr>
        <w:t>. In the event that the Company is obligated by law or contract to pay a Participant other severance pay, a termination indemnity, notice pay or the like, or if the Company is obligated by law to provide advance notice of separation (“</w:t>
      </w:r>
      <w:r>
        <w:rPr>
          <w:rFonts w:ascii="Times New Roman" w:cs="Times New Roman" w:eastAsia="Times New Roman" w:hAnsi="Times New Roman"/>
          <w:sz w:val="21"/>
          <w:szCs w:val="21"/>
          <w:b w:val="1"/>
          <w:bCs w:val="1"/>
          <w:color w:val="auto"/>
        </w:rPr>
        <w:t>Other Severance</w:t>
      </w:r>
      <w:r>
        <w:rPr>
          <w:rFonts w:ascii="Times New Roman" w:cs="Times New Roman" w:eastAsia="Times New Roman" w:hAnsi="Times New Roman"/>
          <w:sz w:val="21"/>
          <w:szCs w:val="21"/>
          <w:color w:val="auto"/>
        </w:rPr>
        <w:t xml:space="preserve">”), then the amount of severance under </w:t>
      </w:r>
      <w:r>
        <w:rPr>
          <w:rFonts w:ascii="Times New Roman" w:cs="Times New Roman" w:eastAsia="Times New Roman" w:hAnsi="Times New Roman"/>
          <w:sz w:val="21"/>
          <w:szCs w:val="21"/>
          <w:u w:val="single" w:color="auto"/>
          <w:color w:val="auto"/>
        </w:rPr>
        <w:t>Section 2.2(iii)(A)</w:t>
      </w:r>
      <w:r>
        <w:rPr>
          <w:rFonts w:ascii="Times New Roman" w:cs="Times New Roman" w:eastAsia="Times New Roman" w:hAnsi="Times New Roman"/>
          <w:sz w:val="21"/>
          <w:szCs w:val="21"/>
          <w:color w:val="auto"/>
        </w:rPr>
        <w:t xml:space="preserve"> otherwise payable to such Participant shall be reduced by the amount of any such Other Severance actually paid to the Participant (but not below zero). Notwithstanding anything to the contrary herein, nothing in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shall prevent the Board, or the Committee, from making any subsequent</w:t>
      </w:r>
    </w:p>
    <w:p>
      <w:pPr>
        <w:sectPr>
          <w:pgSz w:w="11900" w:h="16838" w:orient="portrait"/>
          <w:cols w:equalWidth="0" w:num="1">
            <w:col w:w="11220"/>
          </w:cols>
          <w:pgMar w:left="320" w:top="1377" w:right="359" w:bottom="1440" w:gutter="0" w:footer="0" w:header="0"/>
        </w:sectPr>
      </w:pPr>
    </w:p>
    <w:bookmarkStart w:id="89" w:name="page90"/>
    <w:bookmarkEnd w:id="89"/>
    <w:p>
      <w:pPr>
        <w:ind w:right="100"/>
        <w:spacing w:after="0" w:line="233" w:lineRule="auto"/>
        <w:rPr>
          <w:sz w:val="20"/>
          <w:szCs w:val="20"/>
          <w:color w:val="auto"/>
        </w:rPr>
      </w:pPr>
      <w:r>
        <w:rPr>
          <w:rFonts w:ascii="Times New Roman" w:cs="Times New Roman" w:eastAsia="Times New Roman" w:hAnsi="Times New Roman"/>
          <w:sz w:val="21"/>
          <w:szCs w:val="21"/>
          <w:color w:val="auto"/>
        </w:rPr>
        <w:t xml:space="preserve">determinations with respect to severance payments and benefits payable to a Participant. For the avoidance of doubt,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2.5</w:t>
      </w:r>
      <w:r>
        <w:rPr>
          <w:rFonts w:ascii="Times New Roman" w:cs="Times New Roman" w:eastAsia="Times New Roman" w:hAnsi="Times New Roman"/>
          <w:sz w:val="21"/>
          <w:szCs w:val="21"/>
          <w:color w:val="auto"/>
        </w:rPr>
        <w:t xml:space="preserve"> shall not apply to any accelerated vesting, payment or settlement of long-term cash or equity incentive awards that specifically provide for such treatment in connection with a Qualifying Termination or similar event.</w:t>
      </w:r>
    </w:p>
    <w:p>
      <w:pPr>
        <w:spacing w:after="0" w:line="148" w:lineRule="exact"/>
        <w:rPr>
          <w:sz w:val="20"/>
          <w:szCs w:val="20"/>
          <w:color w:val="auto"/>
        </w:rPr>
      </w:pPr>
    </w:p>
    <w:p>
      <w:pPr>
        <w:ind w:right="60" w:firstLine="1282"/>
        <w:spacing w:after="0"/>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i w:val="1"/>
          <w:iCs w:val="1"/>
          <w:color w:val="auto"/>
        </w:rPr>
        <w:t>No Mitigation</w:t>
      </w:r>
      <w:r>
        <w:rPr>
          <w:rFonts w:ascii="Times New Roman" w:cs="Times New Roman" w:eastAsia="Times New Roman" w:hAnsi="Times New Roman"/>
          <w:sz w:val="21"/>
          <w:szCs w:val="21"/>
          <w:color w:val="auto"/>
        </w:rPr>
        <w:t xml:space="preserve">. The Company agrees that, if the Participant’s employment with the Company terminates, the Participant is not required to seek other employment or to attempt in any way to reduce any amounts payable to the Participant by the Company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hereof. Further, except as set forth in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the amount of any payment or benefit provided for in this Plan shall not be reduced by any compensation earned by the Participant as the result of employment by another employer, by retirement benefits, by offset against any amount claimed to be owed by the Participant to the Company or otherwise.</w:t>
      </w:r>
    </w:p>
    <w:p>
      <w:pPr>
        <w:spacing w:after="0" w:line="289" w:lineRule="exact"/>
        <w:rPr>
          <w:sz w:val="20"/>
          <w:szCs w:val="20"/>
          <w:color w:val="auto"/>
        </w:rPr>
      </w:pPr>
    </w:p>
    <w:p>
      <w:pPr>
        <w:ind w:right="100" w:firstLine="1282"/>
        <w:spacing w:after="0" w:line="226"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i w:val="1"/>
          <w:iCs w:val="1"/>
          <w:color w:val="auto"/>
        </w:rPr>
        <w:t>Forfeiture and Repayment</w:t>
      </w:r>
      <w:r>
        <w:rPr>
          <w:rFonts w:ascii="Times New Roman" w:cs="Times New Roman" w:eastAsia="Times New Roman" w:hAnsi="Times New Roman"/>
          <w:sz w:val="21"/>
          <w:szCs w:val="21"/>
          <w:color w:val="auto"/>
        </w:rPr>
        <w:t xml:space="preserve">. Notwithstanding anything to the contrary herein, in the event the Participant breaches the terms of the Restrictive Covenants or the Release, the Participant shall immediately forfeit all amounts owed to the Participant under this Plan (to the extent unpaid) and repay to the Company within 10 days of such breach the full pre-tax value of all payments previously paid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for the avoidance of doubt, this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shall not apply to the Accrued Obligations or Benefit Obligations.</w:t>
      </w:r>
    </w:p>
    <w:p>
      <w:pPr>
        <w:spacing w:after="0" w:line="145" w:lineRule="exact"/>
        <w:rPr>
          <w:sz w:val="20"/>
          <w:szCs w:val="20"/>
          <w:color w:val="auto"/>
        </w:rPr>
      </w:pPr>
    </w:p>
    <w:p>
      <w:pPr>
        <w:jc w:val="both"/>
        <w:ind w:right="240" w:firstLine="1282"/>
        <w:spacing w:after="0"/>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i w:val="1"/>
          <w:iCs w:val="1"/>
          <w:color w:val="auto"/>
        </w:rPr>
        <w:t>Notice of Termination</w:t>
      </w:r>
      <w:r>
        <w:rPr>
          <w:rFonts w:ascii="Times New Roman" w:cs="Times New Roman" w:eastAsia="Times New Roman" w:hAnsi="Times New Roman"/>
          <w:sz w:val="21"/>
          <w:szCs w:val="21"/>
          <w:color w:val="auto"/>
        </w:rPr>
        <w:t>. Any purported termination of the Participant’s employment pursuant to this Plan shall be communicated by a “</w:t>
      </w:r>
      <w:r>
        <w:rPr>
          <w:rFonts w:ascii="Times New Roman" w:cs="Times New Roman" w:eastAsia="Times New Roman" w:hAnsi="Times New Roman"/>
          <w:sz w:val="21"/>
          <w:szCs w:val="21"/>
          <w:b w:val="1"/>
          <w:bCs w:val="1"/>
          <w:color w:val="auto"/>
        </w:rPr>
        <w:t>Notice of Termination</w:t>
      </w:r>
      <w:r>
        <w:rPr>
          <w:rFonts w:ascii="Times New Roman" w:cs="Times New Roman" w:eastAsia="Times New Roman" w:hAnsi="Times New Roman"/>
          <w:sz w:val="21"/>
          <w:szCs w:val="21"/>
          <w:color w:val="auto"/>
        </w:rPr>
        <w:t xml:space="preserve">” from the Company to the Participant in accordance with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hereof.</w:t>
      </w:r>
    </w:p>
    <w:p>
      <w:pPr>
        <w:spacing w:after="0" w:line="158"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i w:val="1"/>
          <w:iCs w:val="1"/>
          <w:color w:val="auto"/>
        </w:rPr>
        <w:t>Successors; Binding Agreement</w:t>
      </w:r>
      <w:r>
        <w:rPr>
          <w:rFonts w:ascii="Times New Roman" w:cs="Times New Roman" w:eastAsia="Times New Roman" w:hAnsi="Times New Roman"/>
          <w:sz w:val="21"/>
          <w:szCs w:val="21"/>
          <w:color w:val="auto"/>
        </w:rPr>
        <w:t>.</w:t>
      </w:r>
    </w:p>
    <w:p>
      <w:pPr>
        <w:ind w:right="560" w:firstLine="1282"/>
        <w:spacing w:after="0" w:line="222"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i w:val="1"/>
          <w:iCs w:val="1"/>
          <w:color w:val="auto"/>
        </w:rPr>
        <w:t>Successors</w:t>
      </w:r>
      <w:r>
        <w:rPr>
          <w:rFonts w:ascii="Times New Roman" w:cs="Times New Roman" w:eastAsia="Times New Roman" w:hAnsi="Times New Roman"/>
          <w:sz w:val="21"/>
          <w:szCs w:val="21"/>
          <w:color w:val="auto"/>
        </w:rPr>
        <w:t>. In addition to any obligations imposed by law upon any successor to the Company, the Company shall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such succession had taken place.</w:t>
      </w:r>
    </w:p>
    <w:p>
      <w:pPr>
        <w:spacing w:after="0" w:line="147" w:lineRule="exact"/>
        <w:rPr>
          <w:sz w:val="20"/>
          <w:szCs w:val="20"/>
          <w:color w:val="auto"/>
        </w:rPr>
      </w:pPr>
    </w:p>
    <w:p>
      <w:pPr>
        <w:ind w:right="60" w:firstLine="1282"/>
        <w:spacing w:after="0" w:line="226"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i w:val="1"/>
          <w:iCs w:val="1"/>
          <w:color w:val="auto"/>
        </w:rPr>
        <w:t>Enforcement by Participant’s Successors</w:t>
      </w:r>
      <w:r>
        <w:rPr>
          <w:rFonts w:ascii="Times New Roman" w:cs="Times New Roman" w:eastAsia="Times New Roman" w:hAnsi="Times New Roman"/>
          <w:sz w:val="21"/>
          <w:szCs w:val="21"/>
          <w:color w:val="auto"/>
        </w:rPr>
        <w:t>. The Company’s obligations under this Plan shall inure to the benefit of and be enforceable by the Participant’s personal or legal representatives, executors, administrators, successors, heirs, distributees, devisees and legatees. If the Participant shall die while any amount would still be payable to the Participant hereunder if the Participant had continued to live, all such amounts, unless otherwise provided herein, shall be paid in accordance with the terms of this Plan to the executors, personal representatives or administrators of the Participant’s estate.</w:t>
      </w:r>
    </w:p>
    <w:p>
      <w:pPr>
        <w:spacing w:after="0" w:line="145" w:lineRule="exact"/>
        <w:rPr>
          <w:sz w:val="20"/>
          <w:szCs w:val="20"/>
          <w:color w:val="auto"/>
        </w:rPr>
      </w:pPr>
    </w:p>
    <w:p>
      <w:pPr>
        <w:jc w:val="both"/>
        <w:ind w:right="80" w:firstLine="1282"/>
        <w:spacing w:after="0" w:line="221"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i w:val="1"/>
          <w:iCs w:val="1"/>
          <w:color w:val="auto"/>
        </w:rPr>
        <w:t>Plan Modification or Termination</w:t>
      </w:r>
      <w:r>
        <w:rPr>
          <w:rFonts w:ascii="Times New Roman" w:cs="Times New Roman" w:eastAsia="Times New Roman" w:hAnsi="Times New Roman"/>
          <w:sz w:val="21"/>
          <w:szCs w:val="21"/>
          <w:color w:val="auto"/>
        </w:rPr>
        <w:t xml:space="preserve">. This Plan may be amended in any manner or terminated in whole or in part by the Committee upon 30 days’ prior notice to the Participants in accordance with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hereof. Any action of the Committee in amending or terminating this Plan (or any appendix or exhibit thereto) shall be taken in a non-fiduciary capacity.</w:t>
      </w:r>
    </w:p>
    <w:p>
      <w:pPr>
        <w:ind w:left="1280"/>
        <w:spacing w:after="0" w:line="214" w:lineRule="auto"/>
        <w:tabs>
          <w:tab w:leader="none" w:pos="2560" w:val="left"/>
        </w:tabs>
        <w:rPr>
          <w:sz w:val="20"/>
          <w:szCs w:val="20"/>
          <w:color w:val="auto"/>
        </w:rPr>
      </w:pPr>
      <w:r>
        <w:rPr>
          <w:rFonts w:ascii="Times New Roman" w:cs="Times New Roman" w:eastAsia="Times New Roman" w:hAnsi="Times New Roman"/>
          <w:sz w:val="21"/>
          <w:szCs w:val="21"/>
          <w:color w:val="auto"/>
        </w:rPr>
        <w:t>Section 6.</w:t>
      </w:r>
      <w:r>
        <w:rPr>
          <w:sz w:val="20"/>
          <w:szCs w:val="20"/>
          <w:color w:val="auto"/>
        </w:rPr>
        <w:tab/>
      </w:r>
      <w:r>
        <w:rPr>
          <w:rFonts w:ascii="Times New Roman" w:cs="Times New Roman" w:eastAsia="Times New Roman" w:hAnsi="Times New Roman"/>
          <w:sz w:val="21"/>
          <w:szCs w:val="21"/>
          <w:i w:val="1"/>
          <w:iCs w:val="1"/>
          <w:color w:val="auto"/>
        </w:rPr>
        <w:t>Parachute Payments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firstLine="1282"/>
        <w:spacing w:after="0" w:line="218" w:lineRule="auto"/>
        <w:rPr>
          <w:sz w:val="20"/>
          <w:szCs w:val="20"/>
          <w:color w:val="auto"/>
        </w:rPr>
      </w:pPr>
      <w:r>
        <w:rPr>
          <w:rFonts w:ascii="Times New Roman" w:cs="Times New Roman" w:eastAsia="Times New Roman" w:hAnsi="Times New Roman"/>
          <w:sz w:val="21"/>
          <w:szCs w:val="21"/>
          <w:color w:val="auto"/>
        </w:rPr>
        <w:t>6.1 Notwithstanding any other provision of this Plan or any compensation or benefit program or other agreement to the contrary, if any payment or benefit by or from the Company or any of its Affiliates to or for the benefit of the Participant, whether paid or payable or distributed or distributable pursuant to the terms of this Plan or otherwise, would be subject to the Excise Tax (as hereinafter defined) (all such payments and benefits being collectively referred to herein as the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xml:space="preserve">”), then except as otherwise provided in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the Payments shall be reduced (but not below zero) or eliminated (as further provided for in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to the extent the Independent Tax Advisor shall reasonably determine is necessary so that no portion of the Payments shall be subject to the Excise Tax (the “</w:t>
      </w:r>
      <w:r>
        <w:rPr>
          <w:rFonts w:ascii="Times New Roman" w:cs="Times New Roman" w:eastAsia="Times New Roman" w:hAnsi="Times New Roman"/>
          <w:sz w:val="21"/>
          <w:szCs w:val="21"/>
          <w:b w:val="1"/>
          <w:bCs w:val="1"/>
          <w:color w:val="auto"/>
        </w:rPr>
        <w:t>Reduced Amount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1" w:right="339" w:bottom="1440" w:gutter="0" w:footer="0" w:header="0"/>
        </w:sectPr>
      </w:pPr>
    </w:p>
    <w:bookmarkStart w:id="90" w:name="page91"/>
    <w:bookmarkEnd w:id="90"/>
    <w:p>
      <w:pPr>
        <w:ind w:right="240" w:firstLine="1282"/>
        <w:spacing w:after="0" w:line="225" w:lineRule="auto"/>
        <w:rPr>
          <w:sz w:val="20"/>
          <w:szCs w:val="20"/>
          <w:color w:val="auto"/>
        </w:rPr>
      </w:pPr>
      <w:r>
        <w:rPr>
          <w:rFonts w:ascii="Times New Roman" w:cs="Times New Roman" w:eastAsia="Times New Roman" w:hAnsi="Times New Roman"/>
          <w:sz w:val="21"/>
          <w:szCs w:val="21"/>
          <w:color w:val="auto"/>
        </w:rPr>
        <w:t xml:space="preserve">6.2 Notwithstanding the provisions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if the Independent Tax Advisor reasonably determines that the Participant would receive, in the aggregate, a greater amount of the Payments on an after-tax basis (including all applicable federal, state and local income, employment and other applicable taxes and the Excise Tax) if the Payments were not reduced or eliminated to the Reduced Amount pursuant to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then no such reduction shall be made notwithstanding that all or any portion of the Payments may be subject to the Excise Tax.</w:t>
      </w:r>
    </w:p>
    <w:p>
      <w:pPr>
        <w:spacing w:after="0" w:line="150" w:lineRule="exact"/>
        <w:rPr>
          <w:sz w:val="20"/>
          <w:szCs w:val="20"/>
          <w:color w:val="auto"/>
        </w:rPr>
      </w:pPr>
    </w:p>
    <w:p>
      <w:pPr>
        <w:ind w:firstLine="1282"/>
        <w:spacing w:after="0" w:line="217" w:lineRule="auto"/>
        <w:rPr>
          <w:sz w:val="20"/>
          <w:szCs w:val="20"/>
          <w:color w:val="auto"/>
        </w:rPr>
      </w:pPr>
      <w:r>
        <w:rPr>
          <w:rFonts w:ascii="Times New Roman" w:cs="Times New Roman" w:eastAsia="Times New Roman" w:hAnsi="Times New Roman"/>
          <w:sz w:val="21"/>
          <w:szCs w:val="21"/>
          <w:color w:val="auto"/>
        </w:rPr>
        <w:t xml:space="preserve">6.3 For purposes of determining which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shall be given effect, the determination of which Payments shall be reduced or eliminated to avoid the Excise Tax shall be made by the Independent Tax Advisor. The Independent Tax Advisor shall provide its determinations, together with detailed supporting calculations and documentation, to the Company and the Participant for their review no later than 10 days after the change in control (within the meaning of Code Section 280G). If a reduction in payments or benefits is necessary so that the Payments equal the Reduced Amount, reduction shall occur in the following order: (i) first by reducing or eliminating the portion of the Payments that are payable in cash, (ii) second by reducing or eliminating the portion of the Payments that are not payable in cash (other than Payments as to which Treasury Regulations Section 1.280G-1 Q/A – 24(c) (or any successor provision thereto) applies (“</w:t>
      </w:r>
      <w:r>
        <w:rPr>
          <w:rFonts w:ascii="Times New Roman" w:cs="Times New Roman" w:eastAsia="Times New Roman" w:hAnsi="Times New Roman"/>
          <w:sz w:val="21"/>
          <w:szCs w:val="21"/>
          <w:b w:val="1"/>
          <w:bCs w:val="1"/>
          <w:color w:val="auto"/>
        </w:rPr>
        <w:t>Q/A-24(c) Payments</w:t>
      </w:r>
      <w:r>
        <w:rPr>
          <w:rFonts w:ascii="Times New Roman" w:cs="Times New Roman" w:eastAsia="Times New Roman" w:hAnsi="Times New Roman"/>
          <w:sz w:val="21"/>
          <w:szCs w:val="21"/>
          <w:color w:val="auto"/>
        </w:rPr>
        <w:t xml:space="preserve">”)) and (iii) third by reducing or eliminating Q/A-24(c) Payments. In the event that any Q/A-24(c) Payment or acceleration is to be reduced, such Q/A-24(c) Payment shall be reduced or cancelled in the reverse order of the date of grant of the awards. The determinations of the Independent Tax Advisor under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shall, after due consideration of the Company’s and the Participant’s comments with respect to such determinations and the interpretation and application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be final and binding on the Parties absent manifest error. The Company and the Participant shall furnish to the Independent Tax Advisor such information and documents as the Independent Tax Advisor may reasonably request in order to make the determinations required under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7.</w:t>
      </w:r>
      <w:r>
        <w:rPr>
          <w:sz w:val="20"/>
          <w:szCs w:val="20"/>
          <w:color w:val="auto"/>
        </w:rPr>
        <w:tab/>
      </w:r>
      <w:r>
        <w:rPr>
          <w:rFonts w:ascii="Times New Roman" w:cs="Times New Roman" w:eastAsia="Times New Roman" w:hAnsi="Times New Roman"/>
          <w:sz w:val="21"/>
          <w:szCs w:val="21"/>
          <w:i w:val="1"/>
          <w:iCs w:val="1"/>
          <w:color w:val="auto"/>
        </w:rPr>
        <w:t>General Provisions</w:t>
      </w:r>
      <w:r>
        <w:rPr>
          <w:rFonts w:ascii="Times New Roman" w:cs="Times New Roman" w:eastAsia="Times New Roman" w:hAnsi="Times New Roman"/>
          <w:sz w:val="21"/>
          <w:szCs w:val="21"/>
          <w:color w:val="auto"/>
        </w:rPr>
        <w:t>.</w:t>
      </w:r>
    </w:p>
    <w:p>
      <w:pPr>
        <w:jc w:val="both"/>
        <w:ind w:right="340" w:firstLine="1282"/>
        <w:spacing w:after="0" w:line="225"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 All notices and communications that are required or permitted to be given hereunder shall be in writing and shall be deemed to have been duly given when delivered personally or upon mailing by registered or certified mail, postage prepaid, return receipt requested, as follows:</w:t>
      </w:r>
    </w:p>
    <w:p>
      <w:pPr>
        <w:spacing w:after="0" w:line="17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6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CompoSecure, Inc.</w:t>
      </w:r>
    </w:p>
    <w:p>
      <w:pPr>
        <w:spacing w:after="0" w:line="3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309 Pierce Street</w:t>
      </w:r>
    </w:p>
    <w:p>
      <w:pPr>
        <w:spacing w:after="0" w:line="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Somerset, New Jersey 08873</w:t>
      </w:r>
    </w:p>
    <w:p>
      <w:pPr>
        <w:spacing w:after="0" w:line="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Attention: Stacey Gutman</w:t>
      </w:r>
    </w:p>
    <w:p>
      <w:pPr>
        <w:spacing w:after="0" w:line="1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Email: sgutman@composecure.com</w:t>
      </w:r>
    </w:p>
    <w:p>
      <w:pPr>
        <w:spacing w:after="0" w:line="20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If to the Participant, to the address on file with the Company,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in either case to such other address as may be specified in a notice given by one Party to the other Party hereunder.</w:t>
      </w:r>
    </w:p>
    <w:p>
      <w:pPr>
        <w:spacing w:after="0" w:line="209" w:lineRule="exact"/>
        <w:rPr>
          <w:sz w:val="20"/>
          <w:szCs w:val="20"/>
          <w:color w:val="auto"/>
        </w:rPr>
      </w:pPr>
    </w:p>
    <w:p>
      <w:pPr>
        <w:ind w:right="360" w:firstLine="1282"/>
        <w:spacing w:after="0" w:line="229"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i w:val="1"/>
          <w:iCs w:val="1"/>
          <w:color w:val="auto"/>
        </w:rPr>
        <w:t>Administration</w:t>
      </w:r>
      <w:r>
        <w:rPr>
          <w:rFonts w:ascii="Times New Roman" w:cs="Times New Roman" w:eastAsia="Times New Roman" w:hAnsi="Times New Roman"/>
          <w:sz w:val="21"/>
          <w:szCs w:val="21"/>
          <w:color w:val="auto"/>
        </w:rPr>
        <w:t>. This Plan shall be interpreted, administered and operated by the Committee, which shall have complete authority, in its sole discretion subject to the express provisions of this Plan, to interpret this Plan, to prescribe, amend and rescind rules and regulations relating to it and to make all other determinations necessary or advisable for the administration of this Plan (including, without limitation, any determinations regarding eligibility</w:t>
      </w:r>
    </w:p>
    <w:p>
      <w:pPr>
        <w:sectPr>
          <w:pgSz w:w="11900" w:h="16838" w:orient="portrait"/>
          <w:cols w:equalWidth="0" w:num="1">
            <w:col w:w="11220"/>
          </w:cols>
          <w:pgMar w:left="320" w:top="1381" w:right="359" w:bottom="1440" w:gutter="0" w:footer="0" w:header="0"/>
        </w:sectPr>
      </w:pPr>
    </w:p>
    <w:bookmarkStart w:id="91" w:name="page92"/>
    <w:bookmarkEnd w:id="91"/>
    <w:p>
      <w:pPr>
        <w:ind w:right="60"/>
        <w:spacing w:after="0" w:line="249" w:lineRule="auto"/>
        <w:rPr>
          <w:sz w:val="20"/>
          <w:szCs w:val="20"/>
          <w:color w:val="auto"/>
        </w:rPr>
      </w:pPr>
      <w:r>
        <w:rPr>
          <w:rFonts w:ascii="Times New Roman" w:cs="Times New Roman" w:eastAsia="Times New Roman" w:hAnsi="Times New Roman"/>
          <w:sz w:val="21"/>
          <w:szCs w:val="21"/>
          <w:color w:val="auto"/>
        </w:rPr>
        <w:t>to participate in this Plan). The Committee may delegate any of its duties hereunder to such person or persons from time to time as it may designate.</w:t>
      </w:r>
    </w:p>
    <w:p>
      <w:pPr>
        <w:spacing w:after="0" w:line="136" w:lineRule="exact"/>
        <w:rPr>
          <w:sz w:val="20"/>
          <w:szCs w:val="20"/>
          <w:color w:val="auto"/>
        </w:rPr>
      </w:pPr>
    </w:p>
    <w:p>
      <w:pPr>
        <w:ind w:right="60" w:firstLine="1282"/>
        <w:spacing w:after="0" w:line="223"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i w:val="1"/>
          <w:iCs w:val="1"/>
          <w:color w:val="auto"/>
        </w:rPr>
        <w:t>Assignment</w:t>
      </w:r>
      <w:r>
        <w:rPr>
          <w:rFonts w:ascii="Times New Roman" w:cs="Times New Roman" w:eastAsia="Times New Roman" w:hAnsi="Times New Roman"/>
          <w:sz w:val="21"/>
          <w:szCs w:val="21"/>
          <w:color w:val="auto"/>
        </w:rPr>
        <w:t>. Except as otherwise provided herein or by law, no right or interest of any Participant under this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this Plan shall be subject to any obligation or liability of such Participant. When a payment is due under this Plan to a Participant who is unable to care for his or her affairs, payment may be made directly to his or her legal guardian or personal representative.</w:t>
      </w:r>
    </w:p>
    <w:p>
      <w:pPr>
        <w:spacing w:after="0" w:line="150" w:lineRule="exact"/>
        <w:rPr>
          <w:sz w:val="20"/>
          <w:szCs w:val="20"/>
          <w:color w:val="auto"/>
        </w:rPr>
      </w:pPr>
    </w:p>
    <w:p>
      <w:pPr>
        <w:ind w:firstLine="1282"/>
        <w:spacing w:after="0" w:line="220"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i w:val="1"/>
          <w:iCs w:val="1"/>
          <w:color w:val="auto"/>
        </w:rPr>
        <w:t>Governing Law; Legal Fees</w:t>
      </w:r>
      <w:r>
        <w:rPr>
          <w:rFonts w:ascii="Times New Roman" w:cs="Times New Roman" w:eastAsia="Times New Roman" w:hAnsi="Times New Roman"/>
          <w:sz w:val="21"/>
          <w:szCs w:val="21"/>
          <w:color w:val="auto"/>
        </w:rPr>
        <w:t xml:space="preserve">. The validity, construction, interpretation and effect of this Plan shall be governed and construed by and determined in accordance with the laws of the State of Delaware, without giving effect to the conflict of laws provisions thereof. Any action arising out of, or relating to, any of the provisions of this Plan shall be brought only in the United States District Court for the District of Delaware, or if such court does not have jurisdiction or will not accept jurisdiction, in any court of general jurisdiction in Delaware, and the jurisdiction of such court in any such proceeding shall be exclusive. The Parties shall each bear their own expenses, legal fees and other fees incurred in connection with this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45" w:lineRule="exact"/>
        <w:rPr>
          <w:sz w:val="20"/>
          <w:szCs w:val="20"/>
          <w:color w:val="auto"/>
        </w:rPr>
      </w:pPr>
    </w:p>
    <w:p>
      <w:pPr>
        <w:ind w:right="820" w:firstLine="1282"/>
        <w:spacing w:after="0" w:line="253"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i w:val="1"/>
          <w:iCs w:val="1"/>
          <w:color w:val="auto"/>
        </w:rPr>
        <w:t>Withholding</w:t>
      </w:r>
      <w:r>
        <w:rPr>
          <w:rFonts w:ascii="Times New Roman" w:cs="Times New Roman" w:eastAsia="Times New Roman" w:hAnsi="Times New Roman"/>
          <w:sz w:val="21"/>
          <w:szCs w:val="21"/>
          <w:color w:val="auto"/>
        </w:rPr>
        <w:t>. Any payments and benefits provided for hereunder shall be paid net of any applicable withholding required under applicable law.</w:t>
      </w:r>
    </w:p>
    <w:p>
      <w:pPr>
        <w:spacing w:after="0" w:line="132" w:lineRule="exact"/>
        <w:rPr>
          <w:sz w:val="20"/>
          <w:szCs w:val="20"/>
          <w:color w:val="auto"/>
        </w:rPr>
      </w:pPr>
    </w:p>
    <w:p>
      <w:pPr>
        <w:ind w:right="440" w:firstLine="1282"/>
        <w:spacing w:after="0" w:line="253"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The obligations of the Company and the Participant under this Plan which by their nature may require either partial or total performance after the termination of this Plan shall survive such termination.</w:t>
      </w:r>
    </w:p>
    <w:p>
      <w:pPr>
        <w:spacing w:after="0" w:line="132" w:lineRule="exact"/>
        <w:rPr>
          <w:sz w:val="20"/>
          <w:szCs w:val="20"/>
          <w:color w:val="auto"/>
        </w:rPr>
      </w:pPr>
    </w:p>
    <w:p>
      <w:pPr>
        <w:ind w:right="60" w:firstLine="1282"/>
        <w:spacing w:after="0" w:line="229"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i w:val="1"/>
          <w:iCs w:val="1"/>
          <w:color w:val="auto"/>
        </w:rPr>
        <w:t>No Right to Continued Employment</w:t>
      </w:r>
      <w:r>
        <w:rPr>
          <w:rFonts w:ascii="Times New Roman" w:cs="Times New Roman" w:eastAsia="Times New Roman" w:hAnsi="Times New Roman"/>
          <w:sz w:val="21"/>
          <w:szCs w:val="21"/>
          <w:color w:val="auto"/>
        </w:rPr>
        <w:t>. Neither the establishment of this Plan, nor any modification thereof, nor the creation of any fund, trust or account, nor the payment of any benefits shall be construed as giving any Participant, or any person whomsoever, the right to be retained in the service of the Company, and all Participants shall remain subject to discharge to the same extent as if this Plan had never been adopted.</w:t>
      </w:r>
    </w:p>
    <w:p>
      <w:pPr>
        <w:spacing w:after="0" w:line="147" w:lineRule="exact"/>
        <w:rPr>
          <w:sz w:val="20"/>
          <w:szCs w:val="20"/>
          <w:color w:val="auto"/>
        </w:rPr>
      </w:pPr>
    </w:p>
    <w:p>
      <w:pPr>
        <w:ind w:right="380" w:firstLine="1282"/>
        <w:spacing w:after="0" w:line="253" w:lineRule="auto"/>
        <w:rPr>
          <w:sz w:val="20"/>
          <w:szCs w:val="20"/>
          <w:color w:val="auto"/>
        </w:rPr>
      </w:pPr>
      <w:r>
        <w:rPr>
          <w:rFonts w:ascii="Times New Roman" w:cs="Times New Roman" w:eastAsia="Times New Roman" w:hAnsi="Times New Roman"/>
          <w:sz w:val="21"/>
          <w:szCs w:val="21"/>
          <w:color w:val="auto"/>
        </w:rPr>
        <w:t xml:space="preserve">7.8 </w:t>
      </w:r>
      <w:r>
        <w:rPr>
          <w:rFonts w:ascii="Times New Roman" w:cs="Times New Roman" w:eastAsia="Times New Roman" w:hAnsi="Times New Roman"/>
          <w:sz w:val="21"/>
          <w:szCs w:val="21"/>
          <w:i w:val="1"/>
          <w:iCs w:val="1"/>
          <w:color w:val="auto"/>
        </w:rPr>
        <w:t>Headings Descriptive</w:t>
      </w:r>
      <w:r>
        <w:rPr>
          <w:rFonts w:ascii="Times New Roman" w:cs="Times New Roman" w:eastAsia="Times New Roman" w:hAnsi="Times New Roman"/>
          <w:sz w:val="21"/>
          <w:szCs w:val="21"/>
          <w:color w:val="auto"/>
        </w:rPr>
        <w:t>. The headings of sections and paragraphs of this Plan are inserted for convenience only and shall not in any way affect the meaning or construction of any provision of this Plan.</w:t>
      </w:r>
    </w:p>
    <w:p>
      <w:pPr>
        <w:spacing w:after="0" w:line="132" w:lineRule="exact"/>
        <w:rPr>
          <w:sz w:val="20"/>
          <w:szCs w:val="20"/>
          <w:color w:val="auto"/>
        </w:rPr>
      </w:pPr>
    </w:p>
    <w:p>
      <w:pPr>
        <w:ind w:right="220" w:firstLine="1282"/>
        <w:spacing w:after="0" w:line="253" w:lineRule="auto"/>
        <w:rPr>
          <w:sz w:val="20"/>
          <w:szCs w:val="20"/>
          <w:color w:val="auto"/>
        </w:rPr>
      </w:pPr>
      <w:r>
        <w:rPr>
          <w:rFonts w:ascii="Times New Roman" w:cs="Times New Roman" w:eastAsia="Times New Roman" w:hAnsi="Times New Roman"/>
          <w:sz w:val="21"/>
          <w:szCs w:val="21"/>
          <w:color w:val="auto"/>
        </w:rPr>
        <w:t xml:space="preserve">7.9 </w:t>
      </w:r>
      <w:r>
        <w:rPr>
          <w:rFonts w:ascii="Times New Roman" w:cs="Times New Roman" w:eastAsia="Times New Roman" w:hAnsi="Times New Roman"/>
          <w:sz w:val="21"/>
          <w:szCs w:val="21"/>
          <w:i w:val="1"/>
          <w:iCs w:val="1"/>
          <w:color w:val="auto"/>
        </w:rPr>
        <w:t>Benefits Unfunded</w:t>
      </w:r>
      <w:r>
        <w:rPr>
          <w:rFonts w:ascii="Times New Roman" w:cs="Times New Roman" w:eastAsia="Times New Roman" w:hAnsi="Times New Roman"/>
          <w:sz w:val="21"/>
          <w:szCs w:val="21"/>
          <w:color w:val="auto"/>
        </w:rPr>
        <w:t>. This Plan shall not be funded. No Participant shall have any right to, or interest in, any assets of the Company which may be applied by the Company to the payment of benefits or other rights under this Plan.</w:t>
      </w:r>
    </w:p>
    <w:p>
      <w:pPr>
        <w:spacing w:after="0" w:line="132" w:lineRule="exact"/>
        <w:rPr>
          <w:sz w:val="20"/>
          <w:szCs w:val="20"/>
          <w:color w:val="auto"/>
        </w:rPr>
      </w:pPr>
    </w:p>
    <w:p>
      <w:pPr>
        <w:ind w:right="40" w:firstLine="1282"/>
        <w:spacing w:after="0" w:line="253" w:lineRule="auto"/>
        <w:rPr>
          <w:sz w:val="20"/>
          <w:szCs w:val="20"/>
          <w:color w:val="auto"/>
        </w:rPr>
      </w:pPr>
      <w:r>
        <w:rPr>
          <w:rFonts w:ascii="Times New Roman" w:cs="Times New Roman" w:eastAsia="Times New Roman" w:hAnsi="Times New Roman"/>
          <w:sz w:val="21"/>
          <w:szCs w:val="21"/>
          <w:color w:val="auto"/>
        </w:rPr>
        <w:t xml:space="preserve">7.10 </w:t>
      </w:r>
      <w:r>
        <w:rPr>
          <w:rFonts w:ascii="Times New Roman" w:cs="Times New Roman" w:eastAsia="Times New Roman" w:hAnsi="Times New Roman"/>
          <w:sz w:val="21"/>
          <w:szCs w:val="21"/>
          <w:i w:val="1"/>
          <w:iCs w:val="1"/>
          <w:color w:val="auto"/>
        </w:rPr>
        <w:t>Enforceability</w:t>
      </w:r>
      <w:r>
        <w:rPr>
          <w:rFonts w:ascii="Times New Roman" w:cs="Times New Roman" w:eastAsia="Times New Roman" w:hAnsi="Times New Roman"/>
          <w:sz w:val="21"/>
          <w:szCs w:val="21"/>
          <w:color w:val="auto"/>
        </w:rPr>
        <w:t>. The invalidity or unenforceability of any provision of this Plan shall not affect the validity or enforceability of any other provision of this Plan, which shall remain in full force and effect.</w:t>
      </w:r>
    </w:p>
    <w:p>
      <w:pPr>
        <w:spacing w:after="0" w:line="132" w:lineRule="exact"/>
        <w:rPr>
          <w:sz w:val="20"/>
          <w:szCs w:val="20"/>
          <w:color w:val="auto"/>
        </w:rPr>
      </w:pPr>
    </w:p>
    <w:p>
      <w:pPr>
        <w:ind w:right="20" w:firstLine="1282"/>
        <w:spacing w:after="0" w:line="235" w:lineRule="auto"/>
        <w:rPr>
          <w:sz w:val="20"/>
          <w:szCs w:val="20"/>
          <w:color w:val="auto"/>
        </w:rPr>
      </w:pPr>
      <w:r>
        <w:rPr>
          <w:rFonts w:ascii="Times New Roman" w:cs="Times New Roman" w:eastAsia="Times New Roman" w:hAnsi="Times New Roman"/>
          <w:sz w:val="21"/>
          <w:szCs w:val="21"/>
          <w:color w:val="auto"/>
        </w:rPr>
        <w:t xml:space="preserve">7.11 </w:t>
      </w: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The obligations under this Plan are intended to comply with the requirements of Section 409A of the Code or an exemption or exclusion therefrom and shall in all respects be administered in accordance with Section 409A of the Code. Any payments that qualify for the “short-term deferral” exception, the separation pay exception or</w:t>
      </w:r>
    </w:p>
    <w:p>
      <w:pPr>
        <w:sectPr>
          <w:pgSz w:w="11900" w:h="16838" w:orient="portrait"/>
          <w:cols w:equalWidth="0" w:num="1">
            <w:col w:w="11240"/>
          </w:cols>
          <w:pgMar w:left="320" w:top="1381" w:right="339" w:bottom="1440" w:gutter="0" w:footer="0" w:header="0"/>
        </w:sectPr>
      </w:pPr>
    </w:p>
    <w:bookmarkStart w:id="92" w:name="page93"/>
    <w:bookmarkEnd w:id="92"/>
    <w:p>
      <w:pPr>
        <w:ind w:right="20"/>
        <w:spacing w:after="0" w:line="215" w:lineRule="auto"/>
        <w:rPr>
          <w:sz w:val="20"/>
          <w:szCs w:val="20"/>
          <w:color w:val="auto"/>
        </w:rPr>
      </w:pPr>
      <w:r>
        <w:rPr>
          <w:rFonts w:ascii="Times New Roman" w:cs="Times New Roman" w:eastAsia="Times New Roman" w:hAnsi="Times New Roman"/>
          <w:sz w:val="21"/>
          <w:szCs w:val="21"/>
          <w:color w:val="auto"/>
        </w:rPr>
        <w:t>another exception under Section 409A of the Code shall be paid under the applicable exception to the maximum extent possible. For purposes of the limitations on nonqualified deferred compensation under Section 409A of the Code, each payment of compensation under this Plan shall be treated as a separate payment of compensation, including for purposes of applying the exclusion under Section 409A of the Code for short-term deferral amounts, the separation pay exception or any other exception or exclusion under Section 409A of the Code. To the extent necessary in order to avoid the imposition of penalty taxes on a Participant pursuant to Section 409A of the Code, all payments to be made upon a termination of employment under this Plan may only be made upon a “separation from service” under Section 409A of the Code. If any payments under this Plan do not qualify for such exemptions at the time of the Participant’s termination of employment and therefore are deemed as deferred compensation subject to the requirements of Section 409A of the Code, then if the Participant is a “specified employee” under Section 409A of the Code on the date of the Participant’s termination of employment, notwithstanding any other provision of this Plan, payment of severance under this Plan shall be delayed for a period of six months from the date of the Participant’s termination of employment if required by Section 409A of the Code. The accumulated postponed amount shall be paid in a lump sum payment within 15 days after the end of the six-month period. If the Participant dies during the postponement period prior to payment of the postponed amount, the amounts withheld on account of Section 409A of the Code shall be paid to the Participant’s estate within 15 days after the date of the Participant’s death. Neither the Company nor its directors, officers, employees or advisers shall be liable to the Participant (or any other individual claiming a benefit through the Participant) for any tax, interest, or penalties the Participant may owe as a result of compensation or benefits paid under this Plan, and the Company shall have no obligation to indemnify or otherwise protect the Participant from the obligation to pay any taxes pursuant to Section 409A or otherwise. In no event may a Participant, directly or indirectly, designate the calendar year of any payment under this Plan, and to the extent required by Section 409A of the Code, any payment that may be paid in more than one taxable year shall be paid in the later taxable year.</w:t>
      </w:r>
    </w:p>
    <w:p>
      <w:pPr>
        <w:spacing w:after="0" w:line="158" w:lineRule="exact"/>
        <w:rPr>
          <w:sz w:val="20"/>
          <w:szCs w:val="20"/>
          <w:color w:val="auto"/>
        </w:rPr>
      </w:pPr>
    </w:p>
    <w:p>
      <w:pPr>
        <w:ind w:firstLine="1282"/>
        <w:spacing w:after="0" w:line="223" w:lineRule="auto"/>
        <w:rPr>
          <w:sz w:val="20"/>
          <w:szCs w:val="20"/>
          <w:color w:val="auto"/>
        </w:rPr>
      </w:pPr>
      <w:r>
        <w:rPr>
          <w:rFonts w:ascii="Times New Roman" w:cs="Times New Roman" w:eastAsia="Times New Roman" w:hAnsi="Times New Roman"/>
          <w:sz w:val="21"/>
          <w:szCs w:val="21"/>
          <w:color w:val="auto"/>
        </w:rPr>
        <w:t xml:space="preserve">7.12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xml:space="preserve">. This Plan constitutes the entire agreement between the Company and the Participants and, except as expressly provided herein or in another agreement that specifically references this </w:t>
      </w:r>
      <w:r>
        <w:rPr>
          <w:rFonts w:ascii="Times New Roman" w:cs="Times New Roman" w:eastAsia="Times New Roman" w:hAnsi="Times New Roman"/>
          <w:sz w:val="21"/>
          <w:szCs w:val="21"/>
          <w:u w:val="single" w:color="auto"/>
          <w:color w:val="auto"/>
        </w:rPr>
        <w:t>Section 7.12</w:t>
      </w:r>
      <w:r>
        <w:rPr>
          <w:rFonts w:ascii="Times New Roman" w:cs="Times New Roman" w:eastAsia="Times New Roman" w:hAnsi="Times New Roman"/>
          <w:sz w:val="21"/>
          <w:szCs w:val="21"/>
          <w:color w:val="auto"/>
        </w:rPr>
        <w:t xml:space="preserve">, supersedes the provisions of all other prior agreements or policies concerning the payment of severance benefits upon a termination of employment other than those that may be payable pursuant to any Participant’s individual employment agreement or offer letter entered into with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payments or benefits provided pursuant to any other written agreement or policy entitle a Participant to a duplication of payments and benefits pursuant to this Plan.</w:t>
      </w:r>
    </w:p>
    <w:p>
      <w:pPr>
        <w:sectPr>
          <w:pgSz w:w="11900" w:h="16838" w:orient="portrait"/>
          <w:cols w:equalWidth="0" w:num="1">
            <w:col w:w="11240"/>
          </w:cols>
          <w:pgMar w:left="320" w:top="1381" w:right="339" w:bottom="1440" w:gutter="0" w:footer="0" w:header="0"/>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PARTICIPATION AGREEMENT</w:t>
      </w:r>
    </w:p>
    <w:p>
      <w:pPr>
        <w:spacing w:after="0" w:line="226" w:lineRule="exact"/>
        <w:rPr>
          <w:sz w:val="20"/>
          <w:szCs w:val="20"/>
          <w:color w:val="auto"/>
        </w:rPr>
      </w:pPr>
    </w:p>
    <w:p>
      <w:pPr>
        <w:jc w:val="both"/>
        <w:ind w:right="20" w:firstLine="641"/>
        <w:spacing w:after="0" w:line="270" w:lineRule="auto"/>
        <w:rPr>
          <w:sz w:val="20"/>
          <w:szCs w:val="20"/>
          <w:color w:val="auto"/>
        </w:rPr>
      </w:pPr>
      <w:r>
        <w:rPr>
          <w:rFonts w:ascii="Times New Roman" w:cs="Times New Roman" w:eastAsia="Times New Roman" w:hAnsi="Times New Roman"/>
          <w:sz w:val="21"/>
          <w:szCs w:val="21"/>
          <w:color w:val="auto"/>
        </w:rPr>
        <w:t>CompoSecure, Inc., a Delaware corporation (and together with its subsidiaries,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pleased to inform you, [</w:t>
      </w:r>
      <w:r>
        <w:rPr>
          <w:rFonts w:ascii="Times New Roman" w:cs="Times New Roman" w:eastAsia="Times New Roman" w:hAnsi="Times New Roman"/>
          <w:sz w:val="21"/>
          <w:szCs w:val="21"/>
          <w:i w:val="1"/>
          <w:iCs w:val="1"/>
          <w:color w:val="auto"/>
        </w:rPr>
        <w:t>name</w:t>
      </w:r>
      <w:r>
        <w:rPr>
          <w:rFonts w:ascii="Times New Roman" w:cs="Times New Roman" w:eastAsia="Times New Roman" w:hAnsi="Times New Roman"/>
          <w:sz w:val="21"/>
          <w:szCs w:val="21"/>
          <w:color w:val="auto"/>
        </w:rPr>
        <w:t>], that you have been designated as an eligible Participant in the Company’s Executive Severance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 copy of the Plan was delivered to you with this Participation Agreement. Your participation in the Plan is subject to all of the terms and conditions of the Plan. The capitalized terms used but undefined herein shall have the meanings given to them in the Plan.</w:t>
      </w:r>
    </w:p>
    <w:p>
      <w:pPr>
        <w:spacing w:after="0" w:line="160" w:lineRule="exact"/>
        <w:rPr>
          <w:sz w:val="20"/>
          <w:szCs w:val="20"/>
          <w:color w:val="auto"/>
        </w:rPr>
      </w:pPr>
    </w:p>
    <w:p>
      <w:pPr>
        <w:ind w:right="140" w:firstLine="641"/>
        <w:spacing w:after="0" w:line="288" w:lineRule="auto"/>
        <w:rPr>
          <w:sz w:val="20"/>
          <w:szCs w:val="20"/>
          <w:color w:val="auto"/>
        </w:rPr>
      </w:pPr>
      <w:r>
        <w:rPr>
          <w:rFonts w:ascii="Times New Roman" w:cs="Times New Roman" w:eastAsia="Times New Roman" w:hAnsi="Times New Roman"/>
          <w:sz w:val="21"/>
          <w:szCs w:val="21"/>
          <w:color w:val="auto"/>
        </w:rPr>
        <w:t>In order to become a Participant under the Plan, you must complete and sign this Participation Agreement and return it to [</w:t>
      </w:r>
      <w:r>
        <w:rPr>
          <w:rFonts w:ascii="Times New Roman" w:cs="Times New Roman" w:eastAsia="Times New Roman" w:hAnsi="Times New Roman"/>
          <w:sz w:val="21"/>
          <w:szCs w:val="21"/>
          <w:i w:val="1"/>
          <w:iCs w:val="1"/>
          <w:color w:val="auto"/>
        </w:rPr>
        <w:t>name</w:t>
      </w:r>
      <w:r>
        <w:rPr>
          <w:rFonts w:ascii="Times New Roman" w:cs="Times New Roman" w:eastAsia="Times New Roman" w:hAnsi="Times New Roman"/>
          <w:sz w:val="21"/>
          <w:szCs w:val="21"/>
          <w:color w:val="auto"/>
        </w:rPr>
        <w:t>] no later than [</w:t>
      </w:r>
      <w:r>
        <w:rPr>
          <w:rFonts w:ascii="Times New Roman" w:cs="Times New Roman" w:eastAsia="Times New Roman" w:hAnsi="Times New Roman"/>
          <w:sz w:val="21"/>
          <w:szCs w:val="21"/>
          <w:i w:val="1"/>
          <w:iCs w:val="1"/>
          <w:color w:val="auto"/>
        </w:rPr>
        <w:t>date</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ind w:right="240" w:firstLine="641"/>
        <w:spacing w:after="0" w:line="270" w:lineRule="auto"/>
        <w:rPr>
          <w:sz w:val="20"/>
          <w:szCs w:val="20"/>
          <w:color w:val="auto"/>
        </w:rPr>
      </w:pPr>
      <w:r>
        <w:rPr>
          <w:rFonts w:ascii="Times New Roman" w:cs="Times New Roman" w:eastAsia="Times New Roman" w:hAnsi="Times New Roman"/>
          <w:sz w:val="21"/>
          <w:szCs w:val="21"/>
          <w:color w:val="auto"/>
        </w:rPr>
        <w:t>Pursuant to the Plan, you are eligible to receive certain severance benefits in the event of a Qualifying Termination (the “</w:t>
      </w:r>
      <w:r>
        <w:rPr>
          <w:rFonts w:ascii="Times New Roman" w:cs="Times New Roman" w:eastAsia="Times New Roman" w:hAnsi="Times New Roman"/>
          <w:sz w:val="21"/>
          <w:szCs w:val="21"/>
          <w:b w:val="1"/>
          <w:bCs w:val="1"/>
          <w:color w:val="auto"/>
        </w:rPr>
        <w:t>Separation Benefits</w:t>
      </w:r>
      <w:r>
        <w:rPr>
          <w:rFonts w:ascii="Times New Roman" w:cs="Times New Roman" w:eastAsia="Times New Roman" w:hAnsi="Times New Roman"/>
          <w:sz w:val="21"/>
          <w:szCs w:val="21"/>
          <w:color w:val="auto"/>
        </w:rPr>
        <w:t>”). If you become eligible for the Separation Benefits, then subject to the terms and conditions of the Plan and this Participation Agreement, you will receive:</w:t>
      </w:r>
    </w:p>
    <w:p>
      <w:pPr>
        <w:sectPr>
          <w:pgSz w:w="11900" w:h="16838" w:orient="portrait"/>
          <w:cols w:equalWidth="0" w:num="1">
            <w:col w:w="11160"/>
          </w:cols>
          <w:pgMar w:left="320" w:top="1404" w:right="419" w:bottom="1440" w:gutter="0" w:footer="0" w:header="0"/>
        </w:sectPr>
      </w:pP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color w:val="auto"/>
        </w:rPr>
        <w:t>Base Salary</w:t>
      </w:r>
    </w:p>
    <w:p>
      <w:pPr>
        <w:spacing w:after="0" w:line="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color w:val="auto"/>
        </w:rPr>
        <w:t>Annual Bonus at Target</w:t>
      </w:r>
    </w:p>
    <w:p>
      <w:pPr>
        <w:spacing w:after="0" w:line="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color w:val="auto"/>
        </w:rPr>
        <w:t>COBRA Premiums</w:t>
      </w:r>
    </w:p>
    <w:p>
      <w:pPr>
        <w:spacing w:after="0" w:line="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color w:val="auto"/>
        </w:rPr>
        <w:t>Outplacement Services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[12/24] months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[12/24] months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[12/24] months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months</w:t>
      </w:r>
    </w:p>
    <w:p>
      <w:pPr>
        <w:spacing w:after="0" w:line="108" w:lineRule="exact"/>
        <w:rPr>
          <w:sz w:val="20"/>
          <w:szCs w:val="20"/>
          <w:color w:val="auto"/>
        </w:rPr>
      </w:pPr>
    </w:p>
    <w:p>
      <w:pPr>
        <w:sectPr>
          <w:pgSz w:w="11900" w:h="16838" w:orient="portrait"/>
          <w:cols w:equalWidth="0" w:num="2">
            <w:col w:w="3820" w:space="720"/>
            <w:col w:w="6620"/>
          </w:cols>
          <w:pgMar w:left="320" w:top="1404" w:right="419" w:bottom="1440" w:gutter="0" w:footer="0" w:header="0"/>
          <w:type w:val="continuous"/>
        </w:sectPr>
      </w:pPr>
    </w:p>
    <w:p>
      <w:pPr>
        <w:ind w:firstLine="641"/>
        <w:spacing w:after="0" w:line="288" w:lineRule="auto"/>
        <w:rPr>
          <w:sz w:val="20"/>
          <w:szCs w:val="20"/>
          <w:color w:val="auto"/>
        </w:rPr>
      </w:pPr>
      <w:r>
        <w:rPr>
          <w:rFonts w:ascii="Times New Roman" w:cs="Times New Roman" w:eastAsia="Times New Roman" w:hAnsi="Times New Roman"/>
          <w:sz w:val="21"/>
          <w:szCs w:val="21"/>
          <w:color w:val="auto"/>
        </w:rPr>
        <w:t>In order to participate in the Plan and to be eligible to receive the Separation Benefits, you must comply with the following Restrictive Covenants and execute the Release.</w:t>
      </w:r>
    </w:p>
    <w:p>
      <w:pPr>
        <w:spacing w:after="0" w:line="138" w:lineRule="exact"/>
        <w:rPr>
          <w:sz w:val="20"/>
          <w:szCs w:val="20"/>
          <w:color w:val="auto"/>
        </w:rPr>
      </w:pPr>
    </w:p>
    <w:p>
      <w:pPr>
        <w:jc w:val="both"/>
        <w:ind w:right="20" w:firstLine="648"/>
        <w:spacing w:after="0" w:line="258" w:lineRule="auto"/>
        <w:tabs>
          <w:tab w:leader="none" w:pos="128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Noncompetition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You agree that while you are employed by the Company and during the 24-month period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following your termination of employment or service with the Company (the “</w:t>
      </w:r>
      <w:r>
        <w:rPr>
          <w:rFonts w:ascii="Times New Roman" w:cs="Times New Roman" w:eastAsia="Times New Roman" w:hAnsi="Times New Roman"/>
          <w:sz w:val="21"/>
          <w:szCs w:val="21"/>
          <w:b w:val="1"/>
          <w:bCs w:val="1"/>
          <w:color w:val="auto"/>
        </w:rPr>
        <w:t>Restriction Period</w:t>
      </w:r>
      <w:r>
        <w:rPr>
          <w:rFonts w:ascii="Times New Roman" w:cs="Times New Roman" w:eastAsia="Times New Roman" w:hAnsi="Times New Roman"/>
          <w:sz w:val="21"/>
          <w:szCs w:val="21"/>
          <w:color w:val="auto"/>
        </w:rPr>
        <w:t>”), you will not, without the Board’s express written consent, engage (directly or indirectly) in any Competitive Business anywhere in the world. The term “</w:t>
      </w:r>
      <w:r>
        <w:rPr>
          <w:rFonts w:ascii="Times New Roman" w:cs="Times New Roman" w:eastAsia="Times New Roman" w:hAnsi="Times New Roman"/>
          <w:sz w:val="21"/>
          <w:szCs w:val="21"/>
          <w:b w:val="1"/>
          <w:bCs w:val="1"/>
          <w:color w:val="auto"/>
        </w:rPr>
        <w:t>Competitive Business</w:t>
      </w:r>
      <w:r>
        <w:rPr>
          <w:rFonts w:ascii="Times New Roman" w:cs="Times New Roman" w:eastAsia="Times New Roman" w:hAnsi="Times New Roman"/>
          <w:sz w:val="21"/>
          <w:szCs w:val="21"/>
          <w:color w:val="auto"/>
        </w:rPr>
        <w:t>” means (A) the business of designing, developing, manufacturing customizing and/or selling (i) financial transaction cards manufactured of metal or metal hybrid, including ID cards and security cards, and/or (ii) products and services to enable consumers to buy, sell and store cryptocurrencies and other digital assets and providing similar products and services to businesses for distribution to their customers, including, without limitation, banking and financial services, insurance, warranty and eGaming markets, and related activities and (B) any other business, venture or activity that the Company engages in or undertakes, or has plans to engage in or undertake, in each case, during the period you are employed by the Company. With respect to the portion of the Restriction Period that follows your termination of employment or service, the determination of whether a business is a Competitive Business shall be made based on the scope and location of the businesses engaged in or undertaken or planned to be engaged in or undertaken by the Company or any of its</w:t>
      </w:r>
    </w:p>
    <w:p>
      <w:pPr>
        <w:sectPr>
          <w:pgSz w:w="11900" w:h="16838" w:orient="portrait"/>
          <w:cols w:equalWidth="0" w:num="1">
            <w:col w:w="11160"/>
          </w:cols>
          <w:pgMar w:left="320" w:top="1404" w:right="419" w:bottom="1440" w:gutter="0" w:footer="0" w:header="0"/>
          <w:type w:val="continuous"/>
        </w:sectPr>
      </w:pPr>
    </w:p>
    <w:bookmarkStart w:id="94" w:name="page95"/>
    <w:bookmarkEnd w:id="94"/>
    <w:p>
      <w:pPr>
        <w:ind w:right="20"/>
        <w:spacing w:after="0" w:line="288" w:lineRule="auto"/>
        <w:rPr>
          <w:sz w:val="20"/>
          <w:szCs w:val="20"/>
          <w:color w:val="auto"/>
        </w:rPr>
      </w:pPr>
      <w:r>
        <w:rPr>
          <w:rFonts w:ascii="Times New Roman" w:cs="Times New Roman" w:eastAsia="Times New Roman" w:hAnsi="Times New Roman"/>
          <w:sz w:val="21"/>
          <w:szCs w:val="21"/>
          <w:color w:val="auto"/>
        </w:rPr>
        <w:t>Affiliates as of the date of such termination of employment or service</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You understand and agree that, given the nature of the business of Company and your position with the Company, the foregoing geographic scope is reasonable and appropriate.</w:t>
      </w:r>
    </w:p>
    <w:p>
      <w:pPr>
        <w:spacing w:after="0" w:line="165" w:lineRule="exact"/>
        <w:rPr>
          <w:sz w:val="20"/>
          <w:szCs w:val="20"/>
          <w:color w:val="auto"/>
        </w:rPr>
      </w:pPr>
    </w:p>
    <w:p>
      <w:pPr>
        <w:jc w:val="both"/>
        <w:ind w:firstLine="648"/>
        <w:spacing w:after="0" w:line="263" w:lineRule="auto"/>
        <w:tabs>
          <w:tab w:leader="none" w:pos="12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Nonsolicitation of Company Personnel</w:t>
      </w:r>
      <w:r>
        <w:rPr>
          <w:rFonts w:ascii="Times New Roman" w:cs="Times New Roman" w:eastAsia="Times New Roman" w:hAnsi="Times New Roman"/>
          <w:sz w:val="21"/>
          <w:szCs w:val="21"/>
          <w:color w:val="auto"/>
        </w:rPr>
        <w:t>. You agree that during the Restriction Period, you will not, either directly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 through others, hire or attempt to hire any employee, consultant or independent contractor of the Company or its Affiliates, or solicit or attempt to solicit any such person to change or terminate his or her relationship with the Company or an Affiliate or otherwise to become an employee, consultant or independent contractor to, for or of any other person or business entity, unless more than 12 months shall have elapsed between the last day of such person’s employment or service with the Company or Affiliate and the first day of such solicitation or hiring or attempt to solicit or hire;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foregoing does not prohibit general solicitation or recruitment activities not directed at employees of the Company.</w:t>
      </w:r>
    </w:p>
    <w:p>
      <w:pPr>
        <w:spacing w:after="0" w:line="191" w:lineRule="exact"/>
        <w:rPr>
          <w:rFonts w:ascii="Times New Roman" w:cs="Times New Roman" w:eastAsia="Times New Roman" w:hAnsi="Times New Roman"/>
          <w:sz w:val="21"/>
          <w:szCs w:val="21"/>
          <w:color w:val="auto"/>
        </w:rPr>
      </w:pPr>
    </w:p>
    <w:p>
      <w:pPr>
        <w:jc w:val="both"/>
        <w:ind w:firstLine="648"/>
        <w:spacing w:after="0" w:line="265" w:lineRule="auto"/>
        <w:tabs>
          <w:tab w:leader="none" w:pos="12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Nonsolicitation of Customers</w:t>
      </w:r>
      <w:r>
        <w:rPr>
          <w:rFonts w:ascii="Times New Roman" w:cs="Times New Roman" w:eastAsia="Times New Roman" w:hAnsi="Times New Roman"/>
          <w:sz w:val="21"/>
          <w:szCs w:val="21"/>
          <w:color w:val="auto"/>
        </w:rPr>
        <w:t>. You agree that during the Restriction Period, you will not, either directly or through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others, solicit, divert or appropriate, or attempt to solicit, divert or appropriate, any customer or actively sought prospective customer of the Company or an Affiliate for the purpose of providing such customer or actively sought prospective customer with services or products competitive with those offered by the Company or an Affiliate during your employment with the Company.</w:t>
      </w:r>
    </w:p>
    <w:p>
      <w:pPr>
        <w:spacing w:after="0" w:line="189" w:lineRule="exact"/>
        <w:rPr>
          <w:rFonts w:ascii="Times New Roman" w:cs="Times New Roman" w:eastAsia="Times New Roman" w:hAnsi="Times New Roman"/>
          <w:sz w:val="21"/>
          <w:szCs w:val="21"/>
          <w:color w:val="auto"/>
        </w:rPr>
      </w:pPr>
    </w:p>
    <w:p>
      <w:pPr>
        <w:jc w:val="both"/>
        <w:ind w:firstLine="648"/>
        <w:spacing w:after="0" w:line="270" w:lineRule="auto"/>
        <w:tabs>
          <w:tab w:leader="none" w:pos="12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Proprietary Information</w:t>
      </w:r>
      <w:r>
        <w:rPr>
          <w:rFonts w:ascii="Times New Roman" w:cs="Times New Roman" w:eastAsia="Times New Roman" w:hAnsi="Times New Roman"/>
          <w:sz w:val="21"/>
          <w:szCs w:val="21"/>
          <w:color w:val="auto"/>
        </w:rPr>
        <w:t>. At all times, you will hold in strictest confidence and will not disclose, use, lecture upon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publish any of the Proprietary Information (defined below) of the Company or an Affiliate, except as such disclosure, use or publication may be required in connection with your work for the Company or as described in Section 5 below, or unless the Company expressly authorizes such disclosure in writing.</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Proprietary Information</w:t>
      </w:r>
      <w:r>
        <w:rPr>
          <w:rFonts w:ascii="Times New Roman" w:cs="Times New Roman" w:eastAsia="Times New Roman" w:hAnsi="Times New Roman"/>
          <w:sz w:val="21"/>
          <w:szCs w:val="21"/>
          <w:color w:val="auto"/>
        </w:rPr>
        <w:t>” shall mean any and all confidential and/or proprietary knowledge, data or information of the Company and its Affiliates and shareholders, including but not limited to information relating to financial matters, investments, budgets, business plans, marketing plans, personnel matters, business contacts, products, processes, know-how, designs, methods, improvements, discoveries, inventions, ideas, data, programs, and other works of authorship.</w:t>
      </w:r>
    </w:p>
    <w:p>
      <w:pPr>
        <w:spacing w:after="0" w:line="182" w:lineRule="exact"/>
        <w:rPr>
          <w:sz w:val="20"/>
          <w:szCs w:val="20"/>
          <w:color w:val="auto"/>
        </w:rPr>
      </w:pPr>
    </w:p>
    <w:p>
      <w:pPr>
        <w:jc w:val="both"/>
        <w:ind w:firstLine="648"/>
        <w:spacing w:after="0" w:line="259" w:lineRule="auto"/>
        <w:tabs>
          <w:tab w:leader="none" w:pos="128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Reports to Government Entities</w:t>
      </w:r>
      <w:r>
        <w:rPr>
          <w:rFonts w:ascii="Times New Roman" w:cs="Times New Roman" w:eastAsia="Times New Roman" w:hAnsi="Times New Roman"/>
          <w:sz w:val="21"/>
          <w:szCs w:val="21"/>
          <w:color w:val="auto"/>
        </w:rPr>
        <w:t>. Nothing in this Participation Agreement shall prohibit or restrict you from</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initiating communications directly with, responding to any inquiry from, providing testimony before, providing confidential information to, reporting possible violations of law or regulation to, or filing a claim or assisting with an investigation directly with a self-regulatory authority or a government agency or entity, including the Equal Employment Opportunity Commission, the Department of Labor, the National Labor Relations Board, the Department of Justice, the Securities and Exchange Commission, Congress, any agency Inspector General or any other federal, state or local regulatory authority (collectively, the “</w:t>
      </w:r>
      <w:r>
        <w:rPr>
          <w:rFonts w:ascii="Times New Roman" w:cs="Times New Roman" w:eastAsia="Times New Roman" w:hAnsi="Times New Roman"/>
          <w:sz w:val="21"/>
          <w:szCs w:val="21"/>
          <w:b w:val="1"/>
          <w:bCs w:val="1"/>
          <w:color w:val="auto"/>
        </w:rPr>
        <w:t>Regulators</w:t>
      </w:r>
      <w:r>
        <w:rPr>
          <w:rFonts w:ascii="Times New Roman" w:cs="Times New Roman" w:eastAsia="Times New Roman" w:hAnsi="Times New Roman"/>
          <w:sz w:val="21"/>
          <w:szCs w:val="21"/>
          <w:color w:val="auto"/>
        </w:rPr>
        <w:t>”), or from making other disclosures that are protected under the whistleblower provisions of state or federal law or regulation. You do not need the prior authorization of the Company to engage in conduct protected by this section, and you do not need to notify the</w:t>
      </w:r>
    </w:p>
    <w:p>
      <w:pPr>
        <w:sectPr>
          <w:pgSz w:w="11900" w:h="16838" w:orient="portrait"/>
          <w:cols w:equalWidth="0" w:num="1">
            <w:col w:w="11140"/>
          </w:cols>
          <w:pgMar w:left="320" w:top="1408" w:right="439" w:bottom="1440" w:gutter="0" w:footer="0" w:header="0"/>
        </w:sectPr>
      </w:pPr>
    </w:p>
    <w:bookmarkStart w:id="95" w:name="page96"/>
    <w:bookmarkEnd w:id="95"/>
    <w:p>
      <w:pPr>
        <w:jc w:val="both"/>
        <w:spacing w:after="0" w:line="264" w:lineRule="auto"/>
        <w:rPr>
          <w:sz w:val="20"/>
          <w:szCs w:val="20"/>
          <w:color w:val="auto"/>
        </w:rPr>
      </w:pPr>
      <w:r>
        <w:rPr>
          <w:rFonts w:ascii="Times New Roman" w:cs="Times New Roman" w:eastAsia="Times New Roman" w:hAnsi="Times New Roman"/>
          <w:sz w:val="21"/>
          <w:szCs w:val="21"/>
          <w:color w:val="auto"/>
        </w:rPr>
        <w:t>Company that you have engaged in such conduct. Please take notice that federal law provides criminal and civil immunity to federal and state claims for trade secret misappropriation to individuals who disclose trade secrets to their attorneys, courts, or government officials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191" w:lineRule="exact"/>
        <w:rPr>
          <w:sz w:val="20"/>
          <w:szCs w:val="20"/>
          <w:color w:val="auto"/>
        </w:rPr>
      </w:pPr>
    </w:p>
    <w:p>
      <w:pPr>
        <w:jc w:val="both"/>
        <w:ind w:firstLine="648"/>
        <w:spacing w:after="0" w:line="259" w:lineRule="auto"/>
        <w:tabs>
          <w:tab w:leader="none" w:pos="128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Inventions Assignment</w:t>
      </w:r>
      <w:r>
        <w:rPr>
          <w:rFonts w:ascii="Times New Roman" w:cs="Times New Roman" w:eastAsia="Times New Roman" w:hAnsi="Times New Roman"/>
          <w:sz w:val="21"/>
          <w:szCs w:val="21"/>
          <w:color w:val="auto"/>
        </w:rPr>
        <w:t>. You agree that all inventions, innovations, improvements, developments, methods, designs,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analyses, reports, and all similar or related information which relates to the Company’s or its Affiliates’ actual or anticipated business, research and development or existing or future products or services and which are conceived, developed or made by you while employed or engaged by the Company (“</w:t>
      </w:r>
      <w:r>
        <w:rPr>
          <w:rFonts w:ascii="Times New Roman" w:cs="Times New Roman" w:eastAsia="Times New Roman" w:hAnsi="Times New Roman"/>
          <w:sz w:val="21"/>
          <w:szCs w:val="21"/>
          <w:b w:val="1"/>
          <w:bCs w:val="1"/>
          <w:color w:val="auto"/>
        </w:rPr>
        <w:t>Work Product</w:t>
      </w:r>
      <w:r>
        <w:rPr>
          <w:rFonts w:ascii="Times New Roman" w:cs="Times New Roman" w:eastAsia="Times New Roman" w:hAnsi="Times New Roman"/>
          <w:sz w:val="21"/>
          <w:szCs w:val="21"/>
          <w:color w:val="auto"/>
        </w:rPr>
        <w:t>”) belong to the Company. You will promptly disclose such Work Product to the Board and perform all actions reasonably requested by the Board (whether during your employment or thereafter) to establish and confirm such ownership (including, without limitation, assignments, consents, powers of attorney and other instruments). If requested by the Company, you agree to execute any inventions assignment and confidentiality agreement that is required to be signed by the Company employees generally.</w:t>
      </w:r>
    </w:p>
    <w:p>
      <w:pPr>
        <w:spacing w:after="0" w:line="199" w:lineRule="exact"/>
        <w:rPr>
          <w:rFonts w:ascii="Times New Roman" w:cs="Times New Roman" w:eastAsia="Times New Roman" w:hAnsi="Times New Roman"/>
          <w:sz w:val="21"/>
          <w:szCs w:val="21"/>
          <w:color w:val="auto"/>
        </w:rPr>
      </w:pPr>
    </w:p>
    <w:p>
      <w:pPr>
        <w:jc w:val="both"/>
        <w:ind w:firstLine="648"/>
        <w:spacing w:after="0" w:line="265" w:lineRule="auto"/>
        <w:tabs>
          <w:tab w:leader="none" w:pos="128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Non-Disparagement</w:t>
      </w:r>
      <w:r>
        <w:rPr>
          <w:rFonts w:ascii="Times New Roman" w:cs="Times New Roman" w:eastAsia="Times New Roman" w:hAnsi="Times New Roman"/>
          <w:sz w:val="21"/>
          <w:szCs w:val="21"/>
          <w:color w:val="auto"/>
        </w:rPr>
        <w:t>. You agree and covenant that you will not at any time make, publish or communicate in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public forum or otherwise in a manner intended to achieve widespread publication or broadcast outside the Company or to substantial numbers of employees of the Company, any defamatory or disparaging remarks, comments or statements concerning the Company or any of its Affiliates or their businesses, or any of their employees, officers, and existing and prospective customers, suppliers, or investors.</w:t>
      </w:r>
    </w:p>
    <w:p>
      <w:pPr>
        <w:spacing w:after="0" w:line="189" w:lineRule="exact"/>
        <w:rPr>
          <w:rFonts w:ascii="Times New Roman" w:cs="Times New Roman" w:eastAsia="Times New Roman" w:hAnsi="Times New Roman"/>
          <w:sz w:val="21"/>
          <w:szCs w:val="21"/>
          <w:color w:val="auto"/>
        </w:rPr>
      </w:pPr>
    </w:p>
    <w:p>
      <w:pPr>
        <w:jc w:val="both"/>
        <w:ind w:firstLine="648"/>
        <w:spacing w:after="0" w:line="270" w:lineRule="auto"/>
        <w:tabs>
          <w:tab w:leader="none" w:pos="128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Return of Company Property</w:t>
      </w:r>
      <w:r>
        <w:rPr>
          <w:rFonts w:ascii="Times New Roman" w:cs="Times New Roman" w:eastAsia="Times New Roman" w:hAnsi="Times New Roman"/>
          <w:sz w:val="21"/>
          <w:szCs w:val="21"/>
          <w:color w:val="auto"/>
        </w:rPr>
        <w:t>. Upon your termination of employment or service with the Company, you will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 to the person designated by the Company all originals and copies of all documents and property of the Company or an Affiliate that is in your possession or under your control or to which you may have access. You will not reproduce or appropriate for your own use, or for the use of others, any property, proprietary information, or Work Product.</w:t>
      </w:r>
    </w:p>
    <w:p>
      <w:pPr>
        <w:spacing w:after="0" w:line="182" w:lineRule="exact"/>
        <w:rPr>
          <w:rFonts w:ascii="Times New Roman" w:cs="Times New Roman" w:eastAsia="Times New Roman" w:hAnsi="Times New Roman"/>
          <w:sz w:val="21"/>
          <w:szCs w:val="21"/>
          <w:color w:val="auto"/>
        </w:rPr>
      </w:pPr>
    </w:p>
    <w:p>
      <w:pPr>
        <w:jc w:val="both"/>
        <w:ind w:firstLine="648"/>
        <w:spacing w:after="0" w:line="263" w:lineRule="auto"/>
        <w:tabs>
          <w:tab w:leader="none" w:pos="128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Severability</w:t>
      </w:r>
      <w:r>
        <w:rPr>
          <w:rFonts w:ascii="Times New Roman" w:cs="Times New Roman" w:eastAsia="Times New Roman" w:hAnsi="Times New Roman"/>
          <w:sz w:val="21"/>
          <w:szCs w:val="21"/>
          <w:color w:val="auto"/>
        </w:rPr>
        <w:t>. The covenants in this Participation Agreement are severable and separate, and the unenforceability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specific covenant will not affect the provisions of any other covenant. If any provision of this Participation Agreement relating to the time period, scope or geographic area of the restrictive covenants will be declared by a court of competent jurisdiction or arbitrator to exceed the maximum time period, scope or geographic area, as applicable, that such court or arbitrator deems reasonable and enforceable, then this Participation Agreement will automatically be considered to have been amended and revised to reflect such determination.</w:t>
      </w:r>
    </w:p>
    <w:p>
      <w:pPr>
        <w:spacing w:after="0" w:line="188" w:lineRule="exact"/>
        <w:rPr>
          <w:rFonts w:ascii="Times New Roman" w:cs="Times New Roman" w:eastAsia="Times New Roman" w:hAnsi="Times New Roman"/>
          <w:sz w:val="21"/>
          <w:szCs w:val="21"/>
          <w:color w:val="auto"/>
        </w:rPr>
      </w:pPr>
    </w:p>
    <w:p>
      <w:pPr>
        <w:jc w:val="both"/>
        <w:ind w:firstLine="648"/>
        <w:spacing w:after="0" w:line="279" w:lineRule="auto"/>
        <w:tabs>
          <w:tab w:leader="none" w:pos="128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Independent Covenants</w:t>
      </w:r>
      <w:r>
        <w:rPr>
          <w:rFonts w:ascii="Times New Roman" w:cs="Times New Roman" w:eastAsia="Times New Roman" w:hAnsi="Times New Roman"/>
          <w:sz w:val="21"/>
          <w:szCs w:val="21"/>
          <w:color w:val="auto"/>
        </w:rPr>
        <w:t>. All of the covenants in this Participation Agreement will be construed as an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independent of any other provisions of this Participation Agreement, and the existence of any claim or cause of action that you may have against the</w:t>
      </w:r>
    </w:p>
    <w:p>
      <w:pPr>
        <w:sectPr>
          <w:pgSz w:w="11900" w:h="16838" w:orient="portrait"/>
          <w:cols w:equalWidth="0" w:num="1">
            <w:col w:w="11140"/>
          </w:cols>
          <w:pgMar w:left="320" w:top="1408" w:right="439" w:bottom="1440" w:gutter="0" w:footer="0" w:header="0"/>
        </w:sectPr>
      </w:pPr>
    </w:p>
    <w:bookmarkStart w:id="96" w:name="page97"/>
    <w:bookmarkEnd w:id="96"/>
    <w:p>
      <w:pPr>
        <w:spacing w:after="0" w:line="288" w:lineRule="auto"/>
        <w:rPr>
          <w:sz w:val="20"/>
          <w:szCs w:val="20"/>
          <w:color w:val="auto"/>
        </w:rPr>
      </w:pPr>
      <w:r>
        <w:rPr>
          <w:rFonts w:ascii="Times New Roman" w:cs="Times New Roman" w:eastAsia="Times New Roman" w:hAnsi="Times New Roman"/>
          <w:sz w:val="21"/>
          <w:szCs w:val="21"/>
          <w:color w:val="auto"/>
        </w:rPr>
        <w:t>Company or any of its Affiliates, whether predicated on this Participation Agreement or otherwise, will not constitute a defense to the enforcement by the Company of such covenants.</w:t>
      </w:r>
    </w:p>
    <w:p>
      <w:pPr>
        <w:spacing w:after="0" w:line="165" w:lineRule="exact"/>
        <w:rPr>
          <w:sz w:val="20"/>
          <w:szCs w:val="20"/>
          <w:color w:val="auto"/>
        </w:rPr>
      </w:pPr>
    </w:p>
    <w:p>
      <w:pPr>
        <w:jc w:val="both"/>
        <w:ind w:firstLine="648"/>
        <w:spacing w:after="0" w:line="270" w:lineRule="auto"/>
        <w:tabs>
          <w:tab w:leader="none" w:pos="127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Reasonableness</w:t>
      </w:r>
      <w:r>
        <w:rPr>
          <w:rFonts w:ascii="Times New Roman" w:cs="Times New Roman" w:eastAsia="Times New Roman" w:hAnsi="Times New Roman"/>
          <w:sz w:val="21"/>
          <w:szCs w:val="21"/>
          <w:color w:val="auto"/>
        </w:rPr>
        <w:t>. By executing this Participation Agreement, you acknowledge that you have carefully read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considered the provisions of this Participation Agreement and, having done so, agree that these restrictive covenants impose a fair and reasonable restraint on you and are reasonably required to protect the Proprietary Information, business and/or goodwill of the Company, its Affiliates and their respective officers, directors, employees, and equityholders.</w:t>
      </w:r>
    </w:p>
    <w:p>
      <w:pPr>
        <w:spacing w:after="0" w:line="182" w:lineRule="exact"/>
        <w:rPr>
          <w:rFonts w:ascii="Times New Roman" w:cs="Times New Roman" w:eastAsia="Times New Roman" w:hAnsi="Times New Roman"/>
          <w:sz w:val="21"/>
          <w:szCs w:val="21"/>
          <w:color w:val="auto"/>
        </w:rPr>
      </w:pPr>
    </w:p>
    <w:p>
      <w:pPr>
        <w:jc w:val="both"/>
        <w:ind w:firstLine="648"/>
        <w:spacing w:after="0" w:line="260" w:lineRule="auto"/>
        <w:tabs>
          <w:tab w:leader="none" w:pos="128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Legal and Equitable Remedies</w:t>
      </w:r>
      <w:r>
        <w:rPr>
          <w:rFonts w:ascii="Times New Roman" w:cs="Times New Roman" w:eastAsia="Times New Roman" w:hAnsi="Times New Roman"/>
          <w:sz w:val="21"/>
          <w:szCs w:val="21"/>
          <w:color w:val="auto"/>
        </w:rPr>
        <w:t>. Because your services are personal and unique and you have had and will continue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have access to and have become and will continue to become acquainted with the Proprietary Information of the Company and its Affiliates, and because any breach by you of any of the Restrictive Covenants contained in this Participation Agreement would result in irreparable injury and damage for which money damages would not provide an adequate remedy, the Company shall have the right to enforce this Participation Agreement and any of its provisions by injunction, specific performance or other equitable relief, without bond and without prejudice to any other rights and remedies that the Company may have for a breach, or threatened breach, of the Restrictive Covenants set forth in this Participation Agreement. You agree that in any action in which the Company seeks injunction, specific performance or other equitable relief, you will not assert or contend that any of the provisions of this Participation Agreement are unreasonable or otherwise unenforceable.</w:t>
      </w:r>
    </w:p>
    <w:p>
      <w:pPr>
        <w:spacing w:after="0" w:line="196" w:lineRule="exact"/>
        <w:rPr>
          <w:rFonts w:ascii="Times New Roman" w:cs="Times New Roman" w:eastAsia="Times New Roman" w:hAnsi="Times New Roman"/>
          <w:sz w:val="21"/>
          <w:szCs w:val="21"/>
          <w:color w:val="auto"/>
        </w:rPr>
      </w:pPr>
    </w:p>
    <w:p>
      <w:pPr>
        <w:jc w:val="both"/>
        <w:ind w:firstLine="648"/>
        <w:spacing w:after="0" w:line="272" w:lineRule="auto"/>
        <w:tabs>
          <w:tab w:leader="none" w:pos="128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The respective rights and obligations of the parties under this Participation Agreement shall survive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termination of the period while you are employed by the Company or termination or expiration of this Participation Agreement to the extent necessary for the intended preservation of such rights and obligations.</w:t>
      </w:r>
    </w:p>
    <w:p>
      <w:pPr>
        <w:sectPr>
          <w:pgSz w:w="11900" w:h="16838" w:orient="portrait"/>
          <w:cols w:equalWidth="0" w:num="1">
            <w:col w:w="11140"/>
          </w:cols>
          <w:pgMar w:left="320" w:top="1408" w:right="439" w:bottom="1440" w:gutter="0" w:footer="0" w:header="0"/>
        </w:sectPr>
      </w:pPr>
    </w:p>
    <w:bookmarkStart w:id="97" w:name="page98"/>
    <w:bookmarkEnd w:id="97"/>
    <w:p>
      <w:pPr>
        <w:spacing w:after="0" w:line="288" w:lineRule="auto"/>
        <w:rPr>
          <w:sz w:val="20"/>
          <w:szCs w:val="20"/>
          <w:color w:val="auto"/>
        </w:rPr>
      </w:pPr>
      <w:r>
        <w:rPr>
          <w:rFonts w:ascii="Times New Roman" w:cs="Times New Roman" w:eastAsia="Times New Roman" w:hAnsi="Times New Roman"/>
          <w:sz w:val="21"/>
          <w:szCs w:val="21"/>
          <w:color w:val="auto"/>
        </w:rPr>
        <w:t>IN WITNESS WHEREOF, the Parties have caused this Participation Agreement to be executed by them or their duly authorized agents.</w:t>
      </w:r>
    </w:p>
    <w:p>
      <w:pPr>
        <w:spacing w:after="0" w:line="191" w:lineRule="exact"/>
        <w:rPr>
          <w:sz w:val="20"/>
          <w:szCs w:val="20"/>
          <w:color w:val="auto"/>
        </w:rPr>
      </w:pPr>
    </w:p>
    <w:p>
      <w:pPr>
        <w:ind w:left="1800"/>
        <w:spacing w:after="0"/>
        <w:tabs>
          <w:tab w:leader="none" w:pos="7660" w:val="left"/>
        </w:tabs>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PARTICIPANT NAME</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80"/>
        <w:spacing w:after="0"/>
        <w:tabs>
          <w:tab w:leader="none" w:pos="6460" w:val="left"/>
        </w:tabs>
        <w:rPr>
          <w:sz w:val="20"/>
          <w:szCs w:val="20"/>
          <w:color w:val="auto"/>
        </w:rPr>
      </w:pPr>
      <w:r>
        <w:rPr>
          <w:rFonts w:ascii="Times New Roman" w:cs="Times New Roman" w:eastAsia="Times New Roman" w:hAnsi="Times New Roman"/>
          <w:sz w:val="21"/>
          <w:szCs w:val="21"/>
          <w:color w:val="auto"/>
        </w:rPr>
        <w:t>____________________________________</w:t>
      </w:r>
      <w:r>
        <w:rPr>
          <w:sz w:val="20"/>
          <w:szCs w:val="20"/>
          <w:color w:val="auto"/>
        </w:rPr>
        <w:tab/>
      </w:r>
      <w:r>
        <w:rPr>
          <w:rFonts w:ascii="Times New Roman" w:cs="Times New Roman" w:eastAsia="Times New Roman" w:hAnsi="Times New Roman"/>
          <w:sz w:val="21"/>
          <w:szCs w:val="21"/>
          <w:color w:val="auto"/>
        </w:rPr>
        <w:t>By: 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1"/>
          <w:szCs w:val="21"/>
          <w:color w:val="auto"/>
        </w:rPr>
        <w:t>Date: ________________________________</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Date: _______________________________</w:t>
      </w:r>
    </w:p>
    <w:p>
      <w:pPr>
        <w:sectPr>
          <w:pgSz w:w="11900" w:h="16838" w:orient="portrait"/>
          <w:cols w:equalWidth="0" w:num="1">
            <w:col w:w="10980"/>
          </w:cols>
          <w:pgMar w:left="320" w:top="1408" w:right="599" w:bottom="1440" w:gutter="0" w:footer="0" w:header="0"/>
        </w:sectPr>
      </w:pPr>
    </w:p>
    <w:bookmarkStart w:id="98" w:name="page99"/>
    <w:bookmarkEnd w:id="98"/>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2879725</wp:posOffset>
            </wp:positionH>
            <wp:positionV relativeFrom="page">
              <wp:posOffset>88900</wp:posOffset>
            </wp:positionV>
            <wp:extent cx="1798320" cy="407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798320" cy="407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October 9, 2025</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Ms. Mary Holt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By email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Mary:</w:t>
      </w:r>
    </w:p>
    <w:p>
      <w:pPr>
        <w:spacing w:after="0" w:line="23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I am pleased to confirm our offer to you to become Chief Financial Officer of CompoSecure, Inc. (“</w:t>
      </w:r>
      <w:r>
        <w:rPr>
          <w:rFonts w:ascii="Times New Roman" w:cs="Times New Roman" w:eastAsia="Times New Roman" w:hAnsi="Times New Roman"/>
          <w:sz w:val="20"/>
          <w:szCs w:val="20"/>
          <w:u w:val="single" w:color="auto"/>
          <w:color w:val="auto"/>
        </w:rPr>
        <w:t>CompoSecure</w:t>
      </w:r>
      <w:r>
        <w:rPr>
          <w:rFonts w:ascii="Times New Roman" w:cs="Times New Roman" w:eastAsia="Times New Roman" w:hAnsi="Times New Roman"/>
          <w:sz w:val="20"/>
          <w:szCs w:val="20"/>
          <w:color w:val="auto"/>
        </w:rPr>
        <w:t>”) and assume the roles and positions described below.</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effective date of your employment with the Company will be October 27,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subject to the terms and conditions of this letter agreement (this “</w:t>
      </w:r>
      <w:r>
        <w:rPr>
          <w:rFonts w:ascii="Times New Roman" w:cs="Times New Roman" w:eastAsia="Times New Roman" w:hAnsi="Times New Roman"/>
          <w:sz w:val="20"/>
          <w:szCs w:val="20"/>
          <w:u w:val="single" w:color="auto"/>
          <w:color w:val="auto"/>
        </w:rPr>
        <w:t>letter</w:t>
      </w:r>
      <w:r>
        <w:rPr>
          <w:rFonts w:ascii="Times New Roman" w:cs="Times New Roman" w:eastAsia="Times New Roman" w:hAnsi="Times New Roman"/>
          <w:sz w:val="20"/>
          <w:szCs w:val="20"/>
          <w:color w:val="auto"/>
        </w:rPr>
        <w:t>”). The period starting on the Effective Date until the termination of your employment by you or by the Company for any reason shall be referred to as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as used in this letter, refers to CompoSecure and its subsidiaries (including CompoSecure, L.L.C., which will be your direct employer) and their successors and assigns.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ROLES, DUTIES &amp; RESPONSIBILITIES</w:t>
      </w:r>
    </w:p>
    <w:p>
      <w:pPr>
        <w:spacing w:after="0" w:line="255"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0"/>
          <w:szCs w:val="20"/>
          <w:color w:val="auto"/>
        </w:rPr>
        <w:t>Effective as of the day immediately following the date on which the Company files its Quarterly Report on Form 10-Q for the third quarter of the 2025 fiscal year, you will be named as the Company’s Chief Financial Officer and will have duties, responsibilities and obligations customarily assigned to Chief Financial Officers at comparable businesses, as reasonably determined by the Chief Executive Officer of CompoSecure.</w:t>
      </w:r>
    </w:p>
    <w:p>
      <w:pPr>
        <w:spacing w:after="0" w:line="297"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20"/>
          <w:szCs w:val="20"/>
          <w:color w:val="auto"/>
        </w:rPr>
        <w:t>During the Term, your principal place of work will be at 285 Davidson Avenue in Somerset, NJ, or such other location the Company may require from time to time.</w:t>
      </w:r>
    </w:p>
    <w:p>
      <w:pPr>
        <w:spacing w:after="0" w:line="179"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20"/>
          <w:szCs w:val="20"/>
          <w:color w:val="auto"/>
        </w:rPr>
        <w:t>You will be entitled to the following compensation and benefits package, as approved by the compensation committee (the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CompoSecure.</w:t>
      </w:r>
    </w:p>
    <w:p>
      <w:pPr>
        <w:spacing w:after="0" w:line="18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As of the Effective Date, your annual base salary will be $500,000.</w:t>
      </w:r>
    </w:p>
    <w:p>
      <w:pPr>
        <w:spacing w:after="0" w:line="331"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20"/>
          <w:szCs w:val="20"/>
          <w:b w:val="1"/>
          <w:bCs w:val="1"/>
          <w:color w:val="auto"/>
        </w:rPr>
        <w:t>Annual Bonus</w:t>
      </w:r>
      <w:r>
        <w:rPr>
          <w:rFonts w:ascii="Times New Roman" w:cs="Times New Roman" w:eastAsia="Times New Roman" w:hAnsi="Times New Roman"/>
          <w:sz w:val="20"/>
          <w:szCs w:val="20"/>
          <w:color w:val="auto"/>
        </w:rPr>
        <w:t>. You will be eligible, in the discretion of the Compensation Committee, to receive an annual performance-based bonus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of 75% of base salary. The annual bonus will be prorated for any partial year of employment.</w:t>
      </w:r>
    </w:p>
    <w:p>
      <w:pPr>
        <w:spacing w:after="0" w:line="1"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b w:val="1"/>
          <w:bCs w:val="1"/>
          <w:color w:val="auto"/>
        </w:rPr>
        <w:t>Sign-On Equity Award</w:t>
      </w:r>
      <w:r>
        <w:rPr>
          <w:rFonts w:ascii="Times New Roman" w:cs="Times New Roman" w:eastAsia="Times New Roman" w:hAnsi="Times New Roman"/>
          <w:sz w:val="20"/>
          <w:szCs w:val="20"/>
          <w:color w:val="auto"/>
        </w:rPr>
        <w:t>. On or as soon as reasonably practicable following the Effective Date, you will receive an equity grant in the form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to purchase common stock of CompoSecure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under the terms of the CompoSecure, Inc. 2021 Incentive Equity Plan (as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with an aggregate grant date value of $500,000. The Options will vest in equal installments on each of the first four anniversaries of the Effective Date.</w:t>
      </w:r>
    </w:p>
    <w:p>
      <w:pPr>
        <w:spacing w:after="0" w:line="203" w:lineRule="exact"/>
        <w:rPr>
          <w:sz w:val="20"/>
          <w:szCs w:val="20"/>
          <w:color w:val="auto"/>
        </w:rPr>
      </w:pPr>
    </w:p>
    <w:p>
      <w:pPr>
        <w:jc w:val="both"/>
        <w:ind w:right="100"/>
        <w:spacing w:after="0" w:line="293" w:lineRule="auto"/>
        <w:rPr>
          <w:sz w:val="20"/>
          <w:szCs w:val="20"/>
          <w:color w:val="auto"/>
        </w:rPr>
      </w:pPr>
      <w:r>
        <w:rPr>
          <w:rFonts w:ascii="Times New Roman" w:cs="Times New Roman" w:eastAsia="Times New Roman" w:hAnsi="Times New Roman"/>
          <w:sz w:val="18"/>
          <w:szCs w:val="18"/>
          <w:b w:val="1"/>
          <w:bCs w:val="1"/>
          <w:color w:val="auto"/>
        </w:rPr>
        <w:t>Annual Equity Awards</w:t>
      </w:r>
      <w:r>
        <w:rPr>
          <w:rFonts w:ascii="Times New Roman" w:cs="Times New Roman" w:eastAsia="Times New Roman" w:hAnsi="Times New Roman"/>
          <w:sz w:val="18"/>
          <w:szCs w:val="18"/>
          <w:color w:val="auto"/>
        </w:rPr>
        <w:t>. You will be eligible, in the discretion of the Compensation Committee, to receive an annual equity award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grant date value of $1,250,000. On or as soon as reasonably practicable following the Effective Date, you will receive an equity grant in the form of restricted stock units covering common stock of CompoSecure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under the terms of the Plan, with an aggregate grant date value of $1,250,000. The RSUs will vest in equal installments on the third, fifth and seventh anniversaries of the Effective Date.</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OTHER EMPLOYEE BENEFITS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will also be entitled to the following employee benefits:</w:t>
      </w:r>
    </w:p>
    <w:p>
      <w:pPr>
        <w:spacing w:after="0" w:line="249" w:lineRule="exact"/>
        <w:rPr>
          <w:sz w:val="20"/>
          <w:szCs w:val="20"/>
          <w:color w:val="auto"/>
        </w:rPr>
      </w:pPr>
    </w:p>
    <w:p>
      <w:pPr>
        <w:ind w:left="640" w:hanging="314"/>
        <w:spacing w:after="0" w:line="278" w:lineRule="auto"/>
        <w:tabs>
          <w:tab w:leader="none" w:pos="6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Benefits: </w:t>
      </w:r>
      <w:r>
        <w:rPr>
          <w:rFonts w:ascii="Times New Roman" w:cs="Times New Roman" w:eastAsia="Times New Roman" w:hAnsi="Times New Roman"/>
          <w:sz w:val="20"/>
          <w:szCs w:val="20"/>
          <w:color w:val="auto"/>
        </w:rPr>
        <w:t>You will be eligible to participate in substantially the same plans and programs made available by the Company to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executives generally from time to time in accordance with their terms.</w:t>
      </w:r>
    </w:p>
    <w:p>
      <w:pPr>
        <w:spacing w:after="0" w:line="175" w:lineRule="exact"/>
        <w:rPr>
          <w:rFonts w:ascii="Times New Roman" w:cs="Times New Roman" w:eastAsia="Times New Roman" w:hAnsi="Times New Roman"/>
          <w:sz w:val="18"/>
          <w:szCs w:val="18"/>
          <w:color w:val="auto"/>
        </w:rPr>
      </w:pPr>
    </w:p>
    <w:p>
      <w:pPr>
        <w:jc w:val="both"/>
        <w:ind w:left="640" w:hanging="314"/>
        <w:spacing w:after="0" w:line="257" w:lineRule="auto"/>
        <w:tabs>
          <w:tab w:leader="none" w:pos="6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Vacation: </w:t>
      </w:r>
      <w:r>
        <w:rPr>
          <w:rFonts w:ascii="Times New Roman" w:cs="Times New Roman" w:eastAsia="Times New Roman" w:hAnsi="Times New Roman"/>
          <w:sz w:val="20"/>
          <w:szCs w:val="20"/>
          <w:color w:val="auto"/>
        </w:rPr>
        <w:t>You will be eligible to vacation each year and holiday and sick leave at levels commensurate with those provided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similarly situated executives of the Company, in accordance with the Company’s vacation, holiday and other pay-for-time-not-worked policies.</w:t>
      </w:r>
    </w:p>
    <w:p>
      <w:pPr>
        <w:spacing w:after="0" w:line="209" w:lineRule="exact"/>
        <w:rPr>
          <w:rFonts w:ascii="Times New Roman" w:cs="Times New Roman" w:eastAsia="Times New Roman" w:hAnsi="Times New Roman"/>
          <w:sz w:val="18"/>
          <w:szCs w:val="18"/>
          <w:color w:val="auto"/>
        </w:rPr>
      </w:pPr>
    </w:p>
    <w:p>
      <w:pPr>
        <w:ind w:left="640" w:hanging="314"/>
        <w:spacing w:after="0" w:line="278" w:lineRule="auto"/>
        <w:tabs>
          <w:tab w:leader="none" w:pos="6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Severance: </w:t>
      </w:r>
      <w:r>
        <w:rPr>
          <w:rFonts w:ascii="Times New Roman" w:cs="Times New Roman" w:eastAsia="Times New Roman" w:hAnsi="Times New Roman"/>
          <w:sz w:val="20"/>
          <w:szCs w:val="20"/>
          <w:color w:val="auto"/>
        </w:rPr>
        <w:t>You will be eligible to participate in the CompoSecure, Inc. Executive Severance Plan, subject to your execution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participation agreement thereunder.</w:t>
      </w:r>
    </w:p>
    <w:p>
      <w:pPr>
        <w:spacing w:after="0" w:line="175" w:lineRule="exact"/>
        <w:rPr>
          <w:rFonts w:ascii="Times New Roman" w:cs="Times New Roman" w:eastAsia="Times New Roman" w:hAnsi="Times New Roman"/>
          <w:sz w:val="18"/>
          <w:szCs w:val="18"/>
          <w:color w:val="auto"/>
        </w:rPr>
      </w:pPr>
    </w:p>
    <w:p>
      <w:pPr>
        <w:jc w:val="both"/>
        <w:ind w:left="640" w:hanging="314"/>
        <w:spacing w:after="0" w:line="257" w:lineRule="auto"/>
        <w:tabs>
          <w:tab w:leader="none" w:pos="6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Expenses: </w:t>
      </w:r>
      <w:r>
        <w:rPr>
          <w:rFonts w:ascii="Times New Roman" w:cs="Times New Roman" w:eastAsia="Times New Roman" w:hAnsi="Times New Roman"/>
          <w:sz w:val="20"/>
          <w:szCs w:val="20"/>
          <w:color w:val="auto"/>
        </w:rPr>
        <w:t>You will be reimbursed for your validly incurred reasonable business expenses upon the proper completion and timely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submission of requisite forms and receipts to the Company in accordance with the Company’s business expense reimbursement policy.</w:t>
      </w:r>
    </w:p>
    <w:p>
      <w:pPr>
        <w:spacing w:after="0" w:line="209" w:lineRule="exact"/>
        <w:rPr>
          <w:rFonts w:ascii="Times New Roman" w:cs="Times New Roman" w:eastAsia="Times New Roman" w:hAnsi="Times New Roman"/>
          <w:sz w:val="18"/>
          <w:szCs w:val="18"/>
          <w:color w:val="auto"/>
        </w:rPr>
      </w:pPr>
    </w:p>
    <w:p>
      <w:pPr>
        <w:ind w:left="640" w:hanging="314"/>
        <w:spacing w:after="0" w:line="278" w:lineRule="auto"/>
        <w:tabs>
          <w:tab w:leader="none" w:pos="6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Relocation: </w:t>
      </w:r>
      <w:r>
        <w:rPr>
          <w:rFonts w:ascii="Times New Roman" w:cs="Times New Roman" w:eastAsia="Times New Roman" w:hAnsi="Times New Roman"/>
          <w:sz w:val="20"/>
          <w:szCs w:val="20"/>
          <w:color w:val="auto"/>
        </w:rPr>
        <w:t>You will be entitled to the relocation benefits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will be effective for 12 months following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Effective Date.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COVENANTS</w:t>
      </w:r>
    </w:p>
    <w:p>
      <w:pPr>
        <w:spacing w:after="0" w:line="3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You acknowledge and agree that you will be subject to the restrictive covenants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PROVISIONS</w:t>
      </w:r>
    </w:p>
    <w:p>
      <w:pPr>
        <w:spacing w:after="0" w:line="200" w:lineRule="exact"/>
        <w:rPr>
          <w:sz w:val="20"/>
          <w:szCs w:val="20"/>
          <w:color w:val="auto"/>
        </w:rPr>
      </w:pPr>
    </w:p>
    <w:p>
      <w:pPr>
        <w:spacing w:after="0" w:line="278"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20"/>
          <w:szCs w:val="20"/>
          <w:b w:val="1"/>
          <w:bCs w:val="1"/>
          <w:color w:val="auto"/>
        </w:rPr>
        <w:t>At-Will Status</w:t>
      </w:r>
      <w:r>
        <w:rPr>
          <w:rFonts w:ascii="Times New Roman" w:cs="Times New Roman" w:eastAsia="Times New Roman" w:hAnsi="Times New Roman"/>
          <w:sz w:val="20"/>
          <w:szCs w:val="20"/>
          <w:color w:val="auto"/>
        </w:rPr>
        <w:t>. Like all employees of the Company, you have the right to resign from your employment, with or without notice, although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customary to provide notice at least two weeks prior to your resignation date. The Company reserves the right to modify or terminate your employment with or without cause, and with or without notice. No representative of the Company has the authority to enter into any agreement with you guaranteeing employment for any specified period of time or modify the “at-will” relationship, unless it is done so in writing and signed by both you and our Chief Executive Officer.</w:t>
      </w:r>
    </w:p>
    <w:p>
      <w:pPr>
        <w:spacing w:after="0" w:line="199" w:lineRule="exact"/>
        <w:rPr>
          <w:sz w:val="20"/>
          <w:szCs w:val="20"/>
          <w:color w:val="auto"/>
        </w:rPr>
      </w:pPr>
    </w:p>
    <w:p>
      <w:pPr>
        <w:jc w:val="both"/>
        <w:ind w:left="60" w:right="20"/>
        <w:spacing w:after="0" w:line="280" w:lineRule="auto"/>
        <w:rPr>
          <w:sz w:val="20"/>
          <w:szCs w:val="20"/>
          <w:color w:val="auto"/>
        </w:rPr>
      </w:pPr>
      <w:r>
        <w:rPr>
          <w:rFonts w:ascii="Times New Roman" w:cs="Times New Roman" w:eastAsia="Times New Roman" w:hAnsi="Times New Roman"/>
          <w:sz w:val="20"/>
          <w:szCs w:val="20"/>
          <w:b w:val="1"/>
          <w:bCs w:val="1"/>
          <w:color w:val="auto"/>
        </w:rPr>
        <w:t>Policies and Practices</w:t>
      </w:r>
      <w:r>
        <w:rPr>
          <w:rFonts w:ascii="Times New Roman" w:cs="Times New Roman" w:eastAsia="Times New Roman" w:hAnsi="Times New Roman"/>
          <w:sz w:val="20"/>
          <w:szCs w:val="20"/>
          <w:color w:val="auto"/>
        </w:rPr>
        <w:t>. You agree to comply with all policies, rules, systems and procedures that are in place at the Company, including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policies set forth in our Employee Handbook. The Company reserves the right to change the terms of any of these at any time.</w:t>
      </w:r>
    </w:p>
    <w:p>
      <w:pPr>
        <w:spacing w:after="0" w:line="171"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intent of the parties is that the payments and benefits under this letter comply with or be exempt from Section 409A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Internal Revenue Code of 1986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and the regulations and guidance promulgated thereunder (collectively,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accordingly, to the maximum extent permitted, this letter will be interpreted to be in compliance therewith. You agree that you will be solely responsible and liable for the satisfaction of all taxes, interest and penalties that may be imposed on you or for your account in connection with any payment or benefit under this letter (including any taxes, interest and</w:t>
      </w:r>
    </w:p>
    <w:p>
      <w:pPr>
        <w:sectPr>
          <w:pgSz w:w="11900" w:h="16838" w:orient="portrait"/>
          <w:cols w:equalWidth="0" w:num="1">
            <w:col w:w="11040"/>
          </w:cols>
          <w:pgMar w:left="420" w:top="1440" w:right="439" w:bottom="1440" w:gutter="0" w:footer="0" w:header="0"/>
        </w:sectPr>
      </w:pPr>
    </w:p>
    <w:bookmarkStart w:id="100" w:name="page101"/>
    <w:bookmarkEnd w:id="100"/>
    <w:p>
      <w:pPr>
        <w:jc w:val="both"/>
        <w:ind w:right="120"/>
        <w:spacing w:after="0" w:line="276" w:lineRule="auto"/>
        <w:rPr>
          <w:sz w:val="20"/>
          <w:szCs w:val="20"/>
          <w:color w:val="auto"/>
        </w:rPr>
      </w:pPr>
      <w:r>
        <w:rPr>
          <w:rFonts w:ascii="Times New Roman" w:cs="Times New Roman" w:eastAsia="Times New Roman" w:hAnsi="Times New Roman"/>
          <w:sz w:val="20"/>
          <w:szCs w:val="20"/>
          <w:color w:val="auto"/>
        </w:rPr>
        <w:t>penalties under Section 409A), and the Company will not have an obligation to indemnify or otherwise hold you (or any beneficiary successor or assign) harmless from any or all such taxes, interest or penalties.</w:t>
      </w:r>
    </w:p>
    <w:p>
      <w:pPr>
        <w:spacing w:after="0" w:line="175"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20"/>
          <w:szCs w:val="20"/>
          <w:b w:val="1"/>
          <w:bCs w:val="1"/>
          <w:color w:val="auto"/>
        </w:rPr>
        <w:t>Section 280G</w:t>
      </w:r>
      <w:r>
        <w:rPr>
          <w:rFonts w:ascii="Times New Roman" w:cs="Times New Roman" w:eastAsia="Times New Roman" w:hAnsi="Times New Roman"/>
          <w:sz w:val="20"/>
          <w:szCs w:val="20"/>
          <w:color w:val="auto"/>
        </w:rPr>
        <w:t>. If a change in control of the Company occurs and any payment or benefit made under this letter or any other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you rights to compensation or equity would constitute a “parachute payment” within the meaning of Section 280G of the Code, each payment or benefit will be reduced to the maximum amount that does not trigger the excise tax under Section 4999 of the Code unless you would be better off (on an after-tax basis) receiving all payments and benefits and paying all excise and income taxes.</w:t>
      </w:r>
    </w:p>
    <w:p>
      <w:pPr>
        <w:spacing w:after="0" w:line="20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Notwithstanding anything else herein to the contrary, the Company may withhold (or cause there to be withheld,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case may be) from any amounts otherwise due or payable under or pursuant to this letter such federal, state and local income, employment, or other taxes as may be required to be withheld pursuant to any applicable law or regulation.</w:t>
      </w:r>
    </w:p>
    <w:p>
      <w:pPr>
        <w:spacing w:after="0" w:line="19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color w:val="auto"/>
        </w:rPr>
        <w:t>Cooperation</w:t>
      </w:r>
      <w:r>
        <w:rPr>
          <w:rFonts w:ascii="Times New Roman" w:cs="Times New Roman" w:eastAsia="Times New Roman" w:hAnsi="Times New Roman"/>
          <w:sz w:val="20"/>
          <w:szCs w:val="20"/>
          <w:color w:val="auto"/>
        </w:rPr>
        <w:t>. You agree that upon termination of employment for any reason, you will reasonably cooperate in assuring an orderly transition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all matters being handled by you and will assist in any litigation proceedings if reasonably requested by the Company.</w:t>
      </w:r>
    </w:p>
    <w:p>
      <w:pPr>
        <w:spacing w:after="0" w:line="18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In accepting this letter, you represent as follows: (i) you are not subject to any employment agreement or non-compete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that would preclude the Company from employing or engaging you in your position; (ii) you will not disclose to the Company or otherwise use any trade secrets or proprietary information from your prior places of employment; and (iii) you will not refer to or otherwise solicit for employment at the Company any former coworkers or others in contravention of any non-solicitation obligations still in effect.</w:t>
      </w:r>
    </w:p>
    <w:p>
      <w:pPr>
        <w:spacing w:after="0" w:line="1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letter may be executed in any number of counterparts, each of which will be deemed an original as against any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whose signature appears thereon, and all of which together will constitute one and the same instrument.</w:t>
      </w:r>
    </w:p>
    <w:p>
      <w:pPr>
        <w:spacing w:after="0" w:line="1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This letter may not be amended, modified or changed (in whole or in part), except by a formal, definitive written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referring to this letter, which agreement is executed by both of the parties hereto.</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Governing Law/Forum</w:t>
      </w:r>
      <w:r>
        <w:rPr>
          <w:rFonts w:ascii="Times New Roman" w:cs="Times New Roman" w:eastAsia="Times New Roman" w:hAnsi="Times New Roman"/>
          <w:sz w:val="20"/>
          <w:szCs w:val="20"/>
          <w:color w:val="auto"/>
        </w:rPr>
        <w:t>. This letter will be governed by and construed in accordance with the laws of the United States and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Delaware applicable to contracts made and to be performed wholly therein, and without regard to the conflicts of laws principles that would result in the application of the laws of another jurisdiction. Any action arising out of, or relating to, any of the provisions of this letter will be brought only in the United States District Court for the District of Delaware, or if such court does not have jurisdiction or will not accept jurisdiction, in any court of general jurisdiction in Delaware, and the jurisdiction of such court in any such proceeding will be exclusive. The parties will each bear their own expenses, legal fees and other fees incurred in connection with this letter; provided, that the prevailing party in any such action will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21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letter supersedes all prior and contemporaneous oral or written, express or implied understandings 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your employment with the Company or any of its affiliates, and contains the entire agreement between you and the Company regarding your employment with the Company (including, for the avoidance of doubt, any prior versions, drafts or iterations of this letter).</w:t>
      </w:r>
    </w:p>
    <w:p>
      <w:pPr>
        <w:sectPr>
          <w:pgSz w:w="11900" w:h="16838" w:orient="portrait"/>
          <w:cols w:equalWidth="0" w:num="1">
            <w:col w:w="11080"/>
          </w:cols>
          <w:pgMar w:left="480" w:top="1399" w:right="339" w:bottom="1440" w:gutter="0" w:footer="0" w:header="0"/>
        </w:sectPr>
      </w:pPr>
    </w:p>
    <w:bookmarkStart w:id="101" w:name="page102"/>
    <w:bookmarkEnd w:id="101"/>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Conditions of Offer. </w:t>
      </w:r>
      <w:r>
        <w:rPr>
          <w:rFonts w:ascii="Times New Roman" w:cs="Times New Roman" w:eastAsia="Times New Roman" w:hAnsi="Times New Roman"/>
          <w:sz w:val="20"/>
          <w:szCs w:val="20"/>
          <w:color w:val="auto"/>
        </w:rPr>
        <w:t>This offer is contingent upon (i) your successful completion of your background check and drug screening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below) and (ii) you providing the Company appropriate documentation of your eligibility to work in the United States in accordance with the Immigration Reform and Control Act.</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Background Checks and Drug Screening. </w:t>
      </w:r>
      <w:r>
        <w:rPr>
          <w:rFonts w:ascii="Times New Roman" w:cs="Times New Roman" w:eastAsia="Times New Roman" w:hAnsi="Times New Roman"/>
          <w:sz w:val="20"/>
          <w:szCs w:val="20"/>
          <w:color w:val="auto"/>
        </w:rPr>
        <w:t>Please be advised that the Company will conduct a pre-employment background check and drug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screening. Background checks will include a criminal record check, social security trace, sex offender, education record and employment check, motor vehicle report, credit check and reference check. By your signature below, you authorize and consent to the Company and/or its authorized representative or agent conducting drug screenings and background checks at any time during your employment with the Company.</w:t>
      </w:r>
    </w:p>
    <w:p>
      <w:pPr>
        <w:spacing w:after="0" w:line="2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[Remainder of this page is intentionally left blank</w:t>
      </w:r>
      <w:r>
        <w:rPr>
          <w:rFonts w:ascii="Times New Roman" w:cs="Times New Roman" w:eastAsia="Times New Roman" w:hAnsi="Times New Roman"/>
          <w:sz w:val="20"/>
          <w:szCs w:val="20"/>
          <w:b w:val="1"/>
          <w:bCs w:val="1"/>
          <w:i w:val="1"/>
          <w:iCs w:val="1"/>
          <w:color w:val="auto"/>
        </w:rPr>
        <w:t>]</w:t>
      </w:r>
    </w:p>
    <w:p>
      <w:pPr>
        <w:sectPr>
          <w:pgSz w:w="11900" w:h="16838" w:orient="portrait"/>
          <w:cols w:equalWidth="0" w:num="1">
            <w:col w:w="11080"/>
          </w:cols>
          <w:pgMar w:left="480" w:top="1395" w:right="339" w:bottom="1440" w:gutter="0" w:footer="0" w:header="0"/>
        </w:sectPr>
      </w:pPr>
    </w:p>
    <w:bookmarkStart w:id="102" w:name="page103"/>
    <w:bookmarkEnd w:id="102"/>
    <w:p>
      <w:pPr>
        <w:ind w:left="4340"/>
        <w:spacing w:after="0"/>
        <w:rPr>
          <w:sz w:val="20"/>
          <w:szCs w:val="20"/>
          <w:color w:val="auto"/>
        </w:rPr>
      </w:pPr>
      <w:r>
        <w:rPr>
          <w:rFonts w:ascii="Times New Roman" w:cs="Times New Roman" w:eastAsia="Times New Roman" w:hAnsi="Times New Roman"/>
          <w:sz w:val="20"/>
          <w:szCs w:val="20"/>
          <w:b w:val="1"/>
          <w:bCs w:val="1"/>
          <w:u w:val="single" w:color="auto"/>
          <w:color w:val="auto"/>
        </w:rPr>
        <w:t>ACCEPTANCE OF OFFER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your acceptance of this offer by signing this letter in the space provided and returning it to via Adobe.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COMPOSECURE, L.L.C.</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u w:val="single" w:color="auto"/>
          <w:color w:val="auto"/>
        </w:rPr>
        <w:t>/s/ Jonathan C. Wilk</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Jonathan C. Wilk</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200" w:lineRule="exact"/>
        <w:rPr>
          <w:sz w:val="20"/>
          <w:szCs w:val="20"/>
          <w:color w:val="auto"/>
        </w:rPr>
      </w:pPr>
    </w:p>
    <w:p>
      <w:pPr>
        <w:spacing w:after="0" w:line="27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u w:val="single" w:color="auto"/>
          <w:color w:val="auto"/>
        </w:rPr>
        <w:t>/s/ Mary Holt</w:t>
      </w:r>
    </w:p>
    <w:p>
      <w:pPr>
        <w:spacing w:after="0" w:line="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Mary Holt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Date: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46355</wp:posOffset>
            </wp:positionV>
            <wp:extent cx="20275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2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Signature Page to Offer Letter</w:t>
      </w:r>
    </w:p>
    <w:p>
      <w:pPr>
        <w:sectPr>
          <w:pgSz w:w="11900" w:h="16838" w:orient="portrait"/>
          <w:cols w:equalWidth="0" w:num="1">
            <w:col w:w="10039"/>
          </w:cols>
          <w:pgMar w:left="420" w:top="1074"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RELOCATION BENEFITS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CompoSecure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delighted to provide you with relocation benefits to assist you with your move to the new location. These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relocation benefits are intended to provide you with a professional and managed relocation experience, while also minimizing the financial impact to you and the Company. The benefits offered cover various relocation costs, however they may not cover all relocation expenses associated with your move depending on your personal circumstances.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Your move will be managed by NRI Relocation, a relocation management company. The NRI team specializes in the full-service coordination of corporate employee moves worldwide. You will partner with a dedicated NRI Relocation Consultant as an extension of the Company’s HR Department. The NRI Consultant will be your main point of contact for the entire lifecycle of your move and be available to you for any questions, concerns, special needs, or changes. They are here to support you with assistance and care.</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Once this offer is accepted, an NRI Consultant will reach out to you shortly thereafter to discuss your relocation and begin to plan your move. Please do not directly engage with any relocation suppliers, moving suppliers, or real estate/rental agents prior to talking with your NRI Consultant. NRI has a network of vetted and trusted relocation suppliers who they will book services with for your move.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Relocation Benefits of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include:</w:t>
      </w:r>
    </w:p>
    <w:p>
      <w:pPr>
        <w:spacing w:after="0" w:line="267" w:lineRule="exact"/>
        <w:rPr>
          <w:sz w:val="20"/>
          <w:szCs w:val="20"/>
          <w:color w:val="auto"/>
        </w:rPr>
      </w:pPr>
    </w:p>
    <w:tbl>
      <w:tblPr>
        <w:tblLayout w:type="fixed"/>
        <w:tblInd w:w="110" w:type="dxa"/>
        <w:tblCellMar>
          <w:top w:w="0" w:type="dxa"/>
          <w:left w:w="0" w:type="dxa"/>
          <w:bottom w:w="0" w:type="dxa"/>
          <w:right w:w="0" w:type="dxa"/>
        </w:tblCellMar>
      </w:tblPr>
      <w:tr>
        <w:trPr>
          <w:trHeight w:val="272"/>
        </w:trPr>
        <w:tc>
          <w:tcPr>
            <w:tcW w:w="340" w:type="dxa"/>
            <w:vAlign w:val="bottom"/>
            <w:tcBorders>
              <w:top w:val="single" w:sz="8" w:color="BFBFBF"/>
              <w:left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3720" w:type="dxa"/>
            <w:vAlign w:val="bottom"/>
            <w:tcBorders>
              <w:top w:val="single" w:sz="8" w:color="BFBFBF"/>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Home Sale</w:t>
            </w:r>
          </w:p>
        </w:tc>
        <w:tc>
          <w:tcPr>
            <w:tcW w:w="7080" w:type="dxa"/>
            <w:vAlign w:val="bottom"/>
            <w:tcBorders>
              <w:top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Buyer Value Option Home Sale Program.</w:t>
            </w:r>
          </w:p>
        </w:tc>
      </w:tr>
      <w:tr>
        <w:trPr>
          <w:trHeight w:val="294"/>
        </w:trPr>
        <w:tc>
          <w:tcPr>
            <w:tcW w:w="340" w:type="dxa"/>
            <w:vAlign w:val="bottom"/>
            <w:tcBorders>
              <w:left w:val="single" w:sz="8" w:color="BFBFBF"/>
            </w:tcBorders>
            <w:shd w:val="clear" w:color="auto" w:fill="F2F2F2"/>
          </w:tcPr>
          <w:p>
            <w:pPr>
              <w:spacing w:after="0"/>
              <w:rPr>
                <w:sz w:val="24"/>
                <w:szCs w:val="24"/>
                <w:color w:val="auto"/>
              </w:rPr>
            </w:pPr>
          </w:p>
        </w:tc>
        <w:tc>
          <w:tcPr>
            <w:tcW w:w="3720" w:type="dxa"/>
            <w:vAlign w:val="bottom"/>
            <w:tcBorders>
              <w:right w:val="single" w:sz="8" w:color="BFBFBF"/>
            </w:tcBorders>
            <w:shd w:val="clear" w:color="auto" w:fill="F2F2F2"/>
          </w:tcPr>
          <w:p>
            <w:pPr>
              <w:spacing w:after="0"/>
              <w:rPr>
                <w:sz w:val="24"/>
                <w:szCs w:val="24"/>
                <w:color w:val="auto"/>
              </w:rPr>
            </w:pP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Must list with an NRI approved Realtor</w:t>
            </w:r>
          </w:p>
        </w:tc>
      </w:tr>
      <w:tr>
        <w:trPr>
          <w:trHeight w:val="76"/>
        </w:trPr>
        <w:tc>
          <w:tcPr>
            <w:tcW w:w="340" w:type="dxa"/>
            <w:vAlign w:val="bottom"/>
            <w:tcBorders>
              <w:left w:val="single" w:sz="8" w:color="BFBFBF"/>
              <w:bottom w:val="single" w:sz="8" w:color="BFBFBF"/>
            </w:tcBorders>
            <w:shd w:val="clear" w:color="auto" w:fill="F2F2F2"/>
          </w:tcPr>
          <w:p>
            <w:pPr>
              <w:spacing w:after="0"/>
              <w:rPr>
                <w:sz w:val="6"/>
                <w:szCs w:val="6"/>
                <w:color w:val="auto"/>
              </w:rPr>
            </w:pPr>
          </w:p>
        </w:tc>
        <w:tc>
          <w:tcPr>
            <w:tcW w:w="3720" w:type="dxa"/>
            <w:vAlign w:val="bottom"/>
            <w:tcBorders>
              <w:bottom w:val="single" w:sz="8" w:color="BFBFBF"/>
              <w:right w:val="single" w:sz="8" w:color="BFBFBF"/>
            </w:tcBorders>
            <w:shd w:val="clear" w:color="auto" w:fill="F2F2F2"/>
          </w:tcPr>
          <w:p>
            <w:pPr>
              <w:spacing w:after="0"/>
              <w:rPr>
                <w:sz w:val="6"/>
                <w:szCs w:val="6"/>
                <w:color w:val="auto"/>
              </w:rPr>
            </w:pPr>
          </w:p>
        </w:tc>
        <w:tc>
          <w:tcPr>
            <w:tcW w:w="7080" w:type="dxa"/>
            <w:vAlign w:val="bottom"/>
            <w:tcBorders>
              <w:bottom w:val="single" w:sz="8" w:color="BFBFBF"/>
              <w:right w:val="single" w:sz="8" w:color="BFBFBF"/>
            </w:tcBorders>
          </w:tcPr>
          <w:p>
            <w:pPr>
              <w:spacing w:after="0"/>
              <w:rPr>
                <w:sz w:val="6"/>
                <w:szCs w:val="6"/>
                <w:color w:val="auto"/>
              </w:rPr>
            </w:pPr>
          </w:p>
        </w:tc>
      </w:tr>
      <w:tr>
        <w:trPr>
          <w:trHeight w:val="238"/>
        </w:trPr>
        <w:tc>
          <w:tcPr>
            <w:tcW w:w="340" w:type="dxa"/>
            <w:vAlign w:val="bottom"/>
            <w:tcBorders>
              <w:left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3720" w:type="dxa"/>
            <w:vAlign w:val="bottom"/>
            <w:tcBorders>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Temporary Housing &amp; Return Trips</w:t>
            </w: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w w:val="99"/>
              </w:rPr>
              <w:t>Up to 7 months of temporary housing in a fully furnished corporate apartment or hotel.</w:t>
            </w:r>
          </w:p>
        </w:tc>
      </w:tr>
      <w:tr>
        <w:trPr>
          <w:trHeight w:val="254"/>
        </w:trPr>
        <w:tc>
          <w:tcPr>
            <w:tcW w:w="340" w:type="dxa"/>
            <w:vAlign w:val="bottom"/>
            <w:tcBorders>
              <w:left w:val="single" w:sz="8" w:color="BFBFBF"/>
            </w:tcBorders>
            <w:shd w:val="clear" w:color="auto" w:fill="F2F2F2"/>
          </w:tcPr>
          <w:p>
            <w:pPr>
              <w:spacing w:after="0"/>
              <w:rPr>
                <w:sz w:val="22"/>
                <w:szCs w:val="22"/>
                <w:color w:val="auto"/>
              </w:rPr>
            </w:pPr>
          </w:p>
        </w:tc>
        <w:tc>
          <w:tcPr>
            <w:tcW w:w="3720" w:type="dxa"/>
            <w:vAlign w:val="bottom"/>
            <w:tcBorders>
              <w:right w:val="single" w:sz="8" w:color="BFBFBF"/>
            </w:tcBorders>
            <w:shd w:val="clear" w:color="auto" w:fill="F2F2F2"/>
          </w:tcPr>
          <w:p>
            <w:pPr>
              <w:spacing w:after="0"/>
              <w:rPr>
                <w:sz w:val="22"/>
                <w:szCs w:val="22"/>
                <w:color w:val="auto"/>
              </w:rPr>
            </w:pP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NRI selected location.</w:t>
            </w:r>
          </w:p>
        </w:tc>
      </w:tr>
      <w:tr>
        <w:trPr>
          <w:trHeight w:val="266"/>
        </w:trPr>
        <w:tc>
          <w:tcPr>
            <w:tcW w:w="340" w:type="dxa"/>
            <w:vAlign w:val="bottom"/>
            <w:tcBorders>
              <w:left w:val="single" w:sz="8" w:color="BFBFBF"/>
            </w:tcBorders>
            <w:shd w:val="clear" w:color="auto" w:fill="F2F2F2"/>
          </w:tcPr>
          <w:p>
            <w:pPr>
              <w:spacing w:after="0"/>
              <w:rPr>
                <w:sz w:val="23"/>
                <w:szCs w:val="23"/>
                <w:color w:val="auto"/>
              </w:rPr>
            </w:pPr>
          </w:p>
        </w:tc>
        <w:tc>
          <w:tcPr>
            <w:tcW w:w="3720" w:type="dxa"/>
            <w:vAlign w:val="bottom"/>
            <w:tcBorders>
              <w:right w:val="single" w:sz="8" w:color="BFBFBF"/>
            </w:tcBorders>
            <w:shd w:val="clear" w:color="auto" w:fill="F2F2F2"/>
          </w:tcPr>
          <w:p>
            <w:pPr>
              <w:spacing w:after="0"/>
              <w:rPr>
                <w:sz w:val="23"/>
                <w:szCs w:val="23"/>
                <w:color w:val="auto"/>
              </w:rPr>
            </w:pP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Round trip airfare from New Jersey to North Carolina – 1 trip each week for up to 7</w:t>
            </w:r>
          </w:p>
        </w:tc>
      </w:tr>
      <w:tr>
        <w:trPr>
          <w:trHeight w:val="254"/>
        </w:trPr>
        <w:tc>
          <w:tcPr>
            <w:tcW w:w="340" w:type="dxa"/>
            <w:vAlign w:val="bottom"/>
            <w:tcBorders>
              <w:left w:val="single" w:sz="8" w:color="BFBFBF"/>
            </w:tcBorders>
            <w:shd w:val="clear" w:color="auto" w:fill="F2F2F2"/>
          </w:tcPr>
          <w:p>
            <w:pPr>
              <w:spacing w:after="0"/>
              <w:rPr>
                <w:sz w:val="22"/>
                <w:szCs w:val="22"/>
                <w:color w:val="auto"/>
              </w:rPr>
            </w:pPr>
          </w:p>
        </w:tc>
        <w:tc>
          <w:tcPr>
            <w:tcW w:w="3720" w:type="dxa"/>
            <w:vAlign w:val="bottom"/>
            <w:tcBorders>
              <w:right w:val="single" w:sz="8" w:color="BFBFBF"/>
            </w:tcBorders>
            <w:shd w:val="clear" w:color="auto" w:fill="F2F2F2"/>
          </w:tcPr>
          <w:p>
            <w:pPr>
              <w:spacing w:after="0"/>
              <w:rPr>
                <w:sz w:val="22"/>
                <w:szCs w:val="22"/>
                <w:color w:val="auto"/>
              </w:rPr>
            </w:pP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months.</w:t>
            </w:r>
          </w:p>
        </w:tc>
      </w:tr>
      <w:tr>
        <w:trPr>
          <w:trHeight w:val="76"/>
        </w:trPr>
        <w:tc>
          <w:tcPr>
            <w:tcW w:w="340" w:type="dxa"/>
            <w:vAlign w:val="bottom"/>
            <w:tcBorders>
              <w:left w:val="single" w:sz="8" w:color="BFBFBF"/>
              <w:bottom w:val="single" w:sz="8" w:color="BFBFBF"/>
            </w:tcBorders>
            <w:shd w:val="clear" w:color="auto" w:fill="F2F2F2"/>
          </w:tcPr>
          <w:p>
            <w:pPr>
              <w:spacing w:after="0"/>
              <w:rPr>
                <w:sz w:val="6"/>
                <w:szCs w:val="6"/>
                <w:color w:val="auto"/>
              </w:rPr>
            </w:pPr>
          </w:p>
        </w:tc>
        <w:tc>
          <w:tcPr>
            <w:tcW w:w="3720" w:type="dxa"/>
            <w:vAlign w:val="bottom"/>
            <w:tcBorders>
              <w:bottom w:val="single" w:sz="8" w:color="BFBFBF"/>
              <w:right w:val="single" w:sz="8" w:color="BFBFBF"/>
            </w:tcBorders>
            <w:shd w:val="clear" w:color="auto" w:fill="F2F2F2"/>
          </w:tcPr>
          <w:p>
            <w:pPr>
              <w:spacing w:after="0"/>
              <w:rPr>
                <w:sz w:val="6"/>
                <w:szCs w:val="6"/>
                <w:color w:val="auto"/>
              </w:rPr>
            </w:pPr>
          </w:p>
        </w:tc>
        <w:tc>
          <w:tcPr>
            <w:tcW w:w="7080" w:type="dxa"/>
            <w:vAlign w:val="bottom"/>
            <w:tcBorders>
              <w:bottom w:val="single" w:sz="8" w:color="BFBFBF"/>
              <w:right w:val="single" w:sz="8" w:color="BFBFBF"/>
            </w:tcBorders>
          </w:tcPr>
          <w:p>
            <w:pPr>
              <w:spacing w:after="0"/>
              <w:rPr>
                <w:sz w:val="6"/>
                <w:szCs w:val="6"/>
                <w:color w:val="auto"/>
              </w:rPr>
            </w:pPr>
          </w:p>
        </w:tc>
      </w:tr>
      <w:tr>
        <w:trPr>
          <w:trHeight w:val="234"/>
        </w:trPr>
        <w:tc>
          <w:tcPr>
            <w:tcW w:w="340" w:type="dxa"/>
            <w:vAlign w:val="bottom"/>
            <w:tcBorders>
              <w:left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3720" w:type="dxa"/>
            <w:vAlign w:val="bottom"/>
            <w:tcBorders>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Home Purchase or</w:t>
            </w: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w w:val="99"/>
              </w:rPr>
              <w:t>Introduction to a local real estate or rental agent in your destination location to help you</w:t>
            </w:r>
          </w:p>
        </w:tc>
      </w:tr>
      <w:tr>
        <w:trPr>
          <w:trHeight w:val="258"/>
        </w:trPr>
        <w:tc>
          <w:tcPr>
            <w:tcW w:w="4060" w:type="dxa"/>
            <w:vAlign w:val="bottom"/>
            <w:tcBorders>
              <w:left w:val="single" w:sz="8" w:color="BFBFBF"/>
              <w:right w:val="single" w:sz="8" w:color="BFBFBF"/>
            </w:tcBorders>
            <w:gridSpan w:val="2"/>
            <w:shd w:val="clear" w:color="auto" w:fill="F2F2F2"/>
          </w:tcPr>
          <w:p>
            <w:pPr>
              <w:ind w:left="60"/>
              <w:spacing w:after="0"/>
              <w:rPr>
                <w:sz w:val="20"/>
                <w:szCs w:val="20"/>
                <w:color w:val="auto"/>
              </w:rPr>
            </w:pPr>
            <w:r>
              <w:rPr>
                <w:rFonts w:ascii="Times New Roman" w:cs="Times New Roman" w:eastAsia="Times New Roman" w:hAnsi="Times New Roman"/>
                <w:sz w:val="20"/>
                <w:szCs w:val="20"/>
                <w:b w:val="1"/>
                <w:bCs w:val="1"/>
                <w:color w:val="auto"/>
              </w:rPr>
              <w:t>Rental Assistance</w:t>
            </w: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secure long-term housing. Must work with an NRI approved Realtor.</w:t>
            </w:r>
          </w:p>
        </w:tc>
      </w:tr>
      <w:tr>
        <w:trPr>
          <w:trHeight w:val="266"/>
        </w:trPr>
        <w:tc>
          <w:tcPr>
            <w:tcW w:w="340" w:type="dxa"/>
            <w:vAlign w:val="bottom"/>
            <w:tcBorders>
              <w:left w:val="single" w:sz="8" w:color="BFBFBF"/>
            </w:tcBorders>
            <w:shd w:val="clear" w:color="auto" w:fill="F2F2F2"/>
          </w:tcPr>
          <w:p>
            <w:pPr>
              <w:spacing w:after="0"/>
              <w:rPr>
                <w:sz w:val="23"/>
                <w:szCs w:val="23"/>
                <w:color w:val="auto"/>
              </w:rPr>
            </w:pPr>
          </w:p>
        </w:tc>
        <w:tc>
          <w:tcPr>
            <w:tcW w:w="3720" w:type="dxa"/>
            <w:vAlign w:val="bottom"/>
            <w:tcBorders>
              <w:right w:val="single" w:sz="8" w:color="BFBFBF"/>
            </w:tcBorders>
            <w:shd w:val="clear" w:color="auto" w:fill="F2F2F2"/>
          </w:tcPr>
          <w:p>
            <w:pPr>
              <w:spacing w:after="0"/>
              <w:rPr>
                <w:sz w:val="23"/>
                <w:szCs w:val="23"/>
                <w:color w:val="auto"/>
              </w:rPr>
            </w:pP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The Company will cover normal &amp; customary closing costs for home purchase OR</w:t>
            </w:r>
          </w:p>
        </w:tc>
      </w:tr>
      <w:tr>
        <w:trPr>
          <w:trHeight w:val="254"/>
        </w:trPr>
        <w:tc>
          <w:tcPr>
            <w:tcW w:w="340" w:type="dxa"/>
            <w:vAlign w:val="bottom"/>
            <w:tcBorders>
              <w:left w:val="single" w:sz="8" w:color="BFBFBF"/>
            </w:tcBorders>
            <w:shd w:val="clear" w:color="auto" w:fill="F2F2F2"/>
          </w:tcPr>
          <w:p>
            <w:pPr>
              <w:spacing w:after="0"/>
              <w:rPr>
                <w:sz w:val="22"/>
                <w:szCs w:val="22"/>
                <w:color w:val="auto"/>
              </w:rPr>
            </w:pPr>
          </w:p>
        </w:tc>
        <w:tc>
          <w:tcPr>
            <w:tcW w:w="3720" w:type="dxa"/>
            <w:vAlign w:val="bottom"/>
            <w:tcBorders>
              <w:right w:val="single" w:sz="8" w:color="BFBFBF"/>
            </w:tcBorders>
            <w:shd w:val="clear" w:color="auto" w:fill="F2F2F2"/>
          </w:tcPr>
          <w:p>
            <w:pPr>
              <w:spacing w:after="0"/>
              <w:rPr>
                <w:sz w:val="22"/>
                <w:szCs w:val="22"/>
                <w:color w:val="auto"/>
              </w:rPr>
            </w:pP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Rental Assistance tour fees capped at $1,000.</w:t>
            </w:r>
          </w:p>
        </w:tc>
      </w:tr>
      <w:tr>
        <w:trPr>
          <w:trHeight w:val="76"/>
        </w:trPr>
        <w:tc>
          <w:tcPr>
            <w:tcW w:w="340" w:type="dxa"/>
            <w:vAlign w:val="bottom"/>
            <w:tcBorders>
              <w:left w:val="single" w:sz="8" w:color="BFBFBF"/>
              <w:bottom w:val="single" w:sz="8" w:color="BFBFBF"/>
            </w:tcBorders>
            <w:shd w:val="clear" w:color="auto" w:fill="F2F2F2"/>
          </w:tcPr>
          <w:p>
            <w:pPr>
              <w:spacing w:after="0"/>
              <w:rPr>
                <w:sz w:val="6"/>
                <w:szCs w:val="6"/>
                <w:color w:val="auto"/>
              </w:rPr>
            </w:pPr>
          </w:p>
        </w:tc>
        <w:tc>
          <w:tcPr>
            <w:tcW w:w="3720" w:type="dxa"/>
            <w:vAlign w:val="bottom"/>
            <w:tcBorders>
              <w:bottom w:val="single" w:sz="8" w:color="BFBFBF"/>
              <w:right w:val="single" w:sz="8" w:color="BFBFBF"/>
            </w:tcBorders>
            <w:shd w:val="clear" w:color="auto" w:fill="F2F2F2"/>
          </w:tcPr>
          <w:p>
            <w:pPr>
              <w:spacing w:after="0"/>
              <w:rPr>
                <w:sz w:val="6"/>
                <w:szCs w:val="6"/>
                <w:color w:val="auto"/>
              </w:rPr>
            </w:pPr>
          </w:p>
        </w:tc>
        <w:tc>
          <w:tcPr>
            <w:tcW w:w="7080" w:type="dxa"/>
            <w:vAlign w:val="bottom"/>
            <w:tcBorders>
              <w:bottom w:val="single" w:sz="8" w:color="BFBFBF"/>
              <w:right w:val="single" w:sz="8" w:color="BFBFBF"/>
            </w:tcBorders>
          </w:tcPr>
          <w:p>
            <w:pPr>
              <w:spacing w:after="0"/>
              <w:rPr>
                <w:sz w:val="6"/>
                <w:szCs w:val="6"/>
                <w:color w:val="auto"/>
              </w:rPr>
            </w:pPr>
          </w:p>
        </w:tc>
      </w:tr>
      <w:tr>
        <w:trPr>
          <w:trHeight w:val="194"/>
        </w:trPr>
        <w:tc>
          <w:tcPr>
            <w:tcW w:w="340" w:type="dxa"/>
            <w:vAlign w:val="bottom"/>
            <w:tcBorders>
              <w:left w:val="single" w:sz="8" w:color="BFBFBF"/>
            </w:tcBorders>
            <w:shd w:val="clear" w:color="auto" w:fill="F2F2F2"/>
          </w:tcPr>
          <w:p>
            <w:pPr>
              <w:jc w:val="right"/>
              <w:spacing w:after="0" w:line="194" w:lineRule="exact"/>
              <w:rPr>
                <w:sz w:val="20"/>
                <w:szCs w:val="20"/>
                <w:color w:val="auto"/>
              </w:rPr>
            </w:pPr>
            <w:r>
              <w:rPr>
                <w:rFonts w:ascii="Times New Roman" w:cs="Times New Roman" w:eastAsia="Times New Roman" w:hAnsi="Times New Roman"/>
                <w:sz w:val="20"/>
                <w:szCs w:val="20"/>
                <w:b w:val="1"/>
                <w:bCs w:val="1"/>
                <w:color w:val="auto"/>
              </w:rPr>
              <w:t>1.</w:t>
            </w:r>
          </w:p>
        </w:tc>
        <w:tc>
          <w:tcPr>
            <w:tcW w:w="3720" w:type="dxa"/>
            <w:vAlign w:val="bottom"/>
            <w:tcBorders>
              <w:right w:val="single" w:sz="8" w:color="BFBFBF"/>
            </w:tcBorders>
            <w:shd w:val="clear" w:color="auto" w:fill="F2F2F2"/>
          </w:tcPr>
          <w:p>
            <w:pPr>
              <w:ind w:left="40"/>
              <w:spacing w:after="0" w:line="194" w:lineRule="exact"/>
              <w:rPr>
                <w:sz w:val="20"/>
                <w:szCs w:val="20"/>
                <w:color w:val="auto"/>
              </w:rPr>
            </w:pPr>
            <w:r>
              <w:rPr>
                <w:rFonts w:ascii="Times New Roman" w:cs="Times New Roman" w:eastAsia="Times New Roman" w:hAnsi="Times New Roman"/>
                <w:sz w:val="20"/>
                <w:szCs w:val="20"/>
                <w:b w:val="1"/>
                <w:bCs w:val="1"/>
                <w:color w:val="auto"/>
              </w:rPr>
              <w:t>Household Goods Shipment</w:t>
            </w:r>
          </w:p>
        </w:tc>
        <w:tc>
          <w:tcPr>
            <w:tcW w:w="7080" w:type="dxa"/>
            <w:vAlign w:val="bottom"/>
            <w:tcBorders>
              <w:right w:val="single" w:sz="8" w:color="BFBFBF"/>
            </w:tcBorders>
          </w:tcPr>
          <w:p>
            <w:pPr>
              <w:ind w:left="80"/>
              <w:spacing w:after="0" w:line="194" w:lineRule="exact"/>
              <w:rPr>
                <w:sz w:val="20"/>
                <w:szCs w:val="20"/>
                <w:color w:val="auto"/>
              </w:rPr>
            </w:pPr>
            <w:r>
              <w:rPr>
                <w:rFonts w:ascii="Times New Roman" w:cs="Times New Roman" w:eastAsia="Times New Roman" w:hAnsi="Times New Roman"/>
                <w:sz w:val="20"/>
                <w:szCs w:val="20"/>
                <w:color w:val="auto"/>
              </w:rPr>
              <w:t>Full-service move of your household and personal goods from origin to destination</w:t>
            </w:r>
          </w:p>
        </w:tc>
      </w:tr>
      <w:tr>
        <w:trPr>
          <w:trHeight w:val="191"/>
        </w:trPr>
        <w:tc>
          <w:tcPr>
            <w:tcW w:w="340" w:type="dxa"/>
            <w:vAlign w:val="bottom"/>
            <w:tcBorders>
              <w:left w:val="single" w:sz="8" w:color="BFBFBF"/>
            </w:tcBorders>
            <w:shd w:val="clear" w:color="auto" w:fill="F2F2F2"/>
          </w:tcPr>
          <w:p>
            <w:pPr>
              <w:spacing w:after="0"/>
              <w:rPr>
                <w:sz w:val="16"/>
                <w:szCs w:val="16"/>
                <w:color w:val="auto"/>
              </w:rPr>
            </w:pPr>
          </w:p>
        </w:tc>
        <w:tc>
          <w:tcPr>
            <w:tcW w:w="3720" w:type="dxa"/>
            <w:vAlign w:val="bottom"/>
            <w:tcBorders>
              <w:right w:val="single" w:sz="8" w:color="BFBFBF"/>
            </w:tcBorders>
            <w:shd w:val="clear" w:color="auto" w:fill="F2F2F2"/>
          </w:tcPr>
          <w:p>
            <w:pPr>
              <w:spacing w:after="0"/>
              <w:rPr>
                <w:sz w:val="16"/>
                <w:szCs w:val="16"/>
                <w:color w:val="auto"/>
              </w:rPr>
            </w:pPr>
          </w:p>
        </w:tc>
        <w:tc>
          <w:tcPr>
            <w:tcW w:w="7080" w:type="dxa"/>
            <w:vAlign w:val="bottom"/>
            <w:tcBorders>
              <w:right w:val="single" w:sz="8" w:color="BFBFBF"/>
            </w:tcBorders>
          </w:tcPr>
          <w:p>
            <w:pPr>
              <w:ind w:left="80"/>
              <w:spacing w:after="0" w:line="191" w:lineRule="exact"/>
              <w:rPr>
                <w:sz w:val="20"/>
                <w:szCs w:val="20"/>
                <w:color w:val="auto"/>
              </w:rPr>
            </w:pPr>
            <w:r>
              <w:rPr>
                <w:rFonts w:ascii="Times New Roman" w:cs="Times New Roman" w:eastAsia="Times New Roman" w:hAnsi="Times New Roman"/>
                <w:sz w:val="20"/>
                <w:szCs w:val="20"/>
                <w:color w:val="auto"/>
              </w:rPr>
              <w:t>location with a reputable moving company. NRI will book the shipment with a vetted</w:t>
            </w:r>
          </w:p>
        </w:tc>
      </w:tr>
      <w:tr>
        <w:trPr>
          <w:trHeight w:val="196"/>
        </w:trPr>
        <w:tc>
          <w:tcPr>
            <w:tcW w:w="340" w:type="dxa"/>
            <w:vAlign w:val="bottom"/>
            <w:tcBorders>
              <w:left w:val="single" w:sz="8" w:color="BFBFBF"/>
            </w:tcBorders>
            <w:shd w:val="clear" w:color="auto" w:fill="F2F2F2"/>
          </w:tcPr>
          <w:p>
            <w:pPr>
              <w:spacing w:after="0"/>
              <w:rPr>
                <w:sz w:val="17"/>
                <w:szCs w:val="17"/>
                <w:color w:val="auto"/>
              </w:rPr>
            </w:pPr>
          </w:p>
        </w:tc>
        <w:tc>
          <w:tcPr>
            <w:tcW w:w="3720" w:type="dxa"/>
            <w:vAlign w:val="bottom"/>
            <w:tcBorders>
              <w:right w:val="single" w:sz="8" w:color="BFBFBF"/>
            </w:tcBorders>
            <w:shd w:val="clear" w:color="auto" w:fill="F2F2F2"/>
          </w:tcPr>
          <w:p>
            <w:pPr>
              <w:spacing w:after="0"/>
              <w:rPr>
                <w:sz w:val="17"/>
                <w:szCs w:val="17"/>
                <w:color w:val="auto"/>
              </w:rPr>
            </w:pPr>
          </w:p>
        </w:tc>
        <w:tc>
          <w:tcPr>
            <w:tcW w:w="7080" w:type="dxa"/>
            <w:vAlign w:val="bottom"/>
            <w:tcBorders>
              <w:right w:val="single" w:sz="8" w:color="BFBFBF"/>
            </w:tcBorders>
          </w:tcPr>
          <w:p>
            <w:pPr>
              <w:ind w:left="80"/>
              <w:spacing w:after="0" w:line="197" w:lineRule="exact"/>
              <w:rPr>
                <w:sz w:val="20"/>
                <w:szCs w:val="20"/>
                <w:color w:val="auto"/>
              </w:rPr>
            </w:pPr>
            <w:r>
              <w:rPr>
                <w:rFonts w:ascii="Times New Roman" w:cs="Times New Roman" w:eastAsia="Times New Roman" w:hAnsi="Times New Roman"/>
                <w:sz w:val="20"/>
                <w:szCs w:val="20"/>
                <w:color w:val="auto"/>
              </w:rPr>
              <w:t>mover from their network. Includes packing, crating, shipment, limited unpack, and</w:t>
            </w:r>
          </w:p>
        </w:tc>
      </w:tr>
      <w:tr>
        <w:trPr>
          <w:trHeight w:val="254"/>
        </w:trPr>
        <w:tc>
          <w:tcPr>
            <w:tcW w:w="340" w:type="dxa"/>
            <w:vAlign w:val="bottom"/>
            <w:tcBorders>
              <w:left w:val="single" w:sz="8" w:color="BFBFBF"/>
              <w:bottom w:val="single" w:sz="8" w:color="BFBFBF"/>
            </w:tcBorders>
            <w:shd w:val="clear" w:color="auto" w:fill="F2F2F2"/>
          </w:tcPr>
          <w:p>
            <w:pPr>
              <w:spacing w:after="0"/>
              <w:rPr>
                <w:sz w:val="22"/>
                <w:szCs w:val="22"/>
                <w:color w:val="auto"/>
              </w:rPr>
            </w:pPr>
          </w:p>
        </w:tc>
        <w:tc>
          <w:tcPr>
            <w:tcW w:w="3720" w:type="dxa"/>
            <w:vAlign w:val="bottom"/>
            <w:tcBorders>
              <w:bottom w:val="single" w:sz="8" w:color="BFBFBF"/>
              <w:right w:val="single" w:sz="8" w:color="BFBFBF"/>
            </w:tcBorders>
            <w:shd w:val="clear" w:color="auto" w:fill="F2F2F2"/>
          </w:tcPr>
          <w:p>
            <w:pPr>
              <w:spacing w:after="0"/>
              <w:rPr>
                <w:sz w:val="22"/>
                <w:szCs w:val="22"/>
                <w:color w:val="auto"/>
              </w:rPr>
            </w:pPr>
          </w:p>
        </w:tc>
        <w:tc>
          <w:tcPr>
            <w:tcW w:w="7080" w:type="dxa"/>
            <w:vAlign w:val="bottom"/>
            <w:tcBorders>
              <w:bottom w:val="single" w:sz="8" w:color="BFBFBF"/>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insurance.</w:t>
            </w:r>
          </w:p>
        </w:tc>
      </w:tr>
      <w:tr>
        <w:trPr>
          <w:trHeight w:val="252"/>
        </w:trPr>
        <w:tc>
          <w:tcPr>
            <w:tcW w:w="340" w:type="dxa"/>
            <w:vAlign w:val="bottom"/>
            <w:tcBorders>
              <w:left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3720" w:type="dxa"/>
            <w:vAlign w:val="bottom"/>
            <w:tcBorders>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Auto Shipment</w:t>
            </w: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Shipment of 2 automobiles if the relocation is over 500 miles</w:t>
            </w:r>
          </w:p>
        </w:tc>
      </w:tr>
      <w:tr>
        <w:trPr>
          <w:trHeight w:val="89"/>
        </w:trPr>
        <w:tc>
          <w:tcPr>
            <w:tcW w:w="340" w:type="dxa"/>
            <w:vAlign w:val="bottom"/>
            <w:tcBorders>
              <w:left w:val="single" w:sz="8" w:color="BFBFBF"/>
              <w:bottom w:val="single" w:sz="8" w:color="BFBFBF"/>
            </w:tcBorders>
            <w:shd w:val="clear" w:color="auto" w:fill="F2F2F2"/>
          </w:tcPr>
          <w:p>
            <w:pPr>
              <w:spacing w:after="0"/>
              <w:rPr>
                <w:sz w:val="7"/>
                <w:szCs w:val="7"/>
                <w:color w:val="auto"/>
              </w:rPr>
            </w:pPr>
          </w:p>
        </w:tc>
        <w:tc>
          <w:tcPr>
            <w:tcW w:w="3720" w:type="dxa"/>
            <w:vAlign w:val="bottom"/>
            <w:tcBorders>
              <w:bottom w:val="single" w:sz="8" w:color="BFBFBF"/>
              <w:right w:val="single" w:sz="8" w:color="BFBFBF"/>
            </w:tcBorders>
            <w:shd w:val="clear" w:color="auto" w:fill="F2F2F2"/>
          </w:tcPr>
          <w:p>
            <w:pPr>
              <w:spacing w:after="0"/>
              <w:rPr>
                <w:sz w:val="7"/>
                <w:szCs w:val="7"/>
                <w:color w:val="auto"/>
              </w:rPr>
            </w:pPr>
          </w:p>
        </w:tc>
        <w:tc>
          <w:tcPr>
            <w:tcW w:w="7080" w:type="dxa"/>
            <w:vAlign w:val="bottom"/>
            <w:tcBorders>
              <w:bottom w:val="single" w:sz="8" w:color="BFBFBF"/>
              <w:right w:val="single" w:sz="8" w:color="BFBFBF"/>
            </w:tcBorders>
          </w:tcPr>
          <w:p>
            <w:pPr>
              <w:spacing w:after="0"/>
              <w:rPr>
                <w:sz w:val="7"/>
                <w:szCs w:val="7"/>
                <w:color w:val="auto"/>
              </w:rPr>
            </w:pPr>
          </w:p>
        </w:tc>
      </w:tr>
      <w:tr>
        <w:trPr>
          <w:trHeight w:val="252"/>
        </w:trPr>
        <w:tc>
          <w:tcPr>
            <w:tcW w:w="340" w:type="dxa"/>
            <w:vAlign w:val="bottom"/>
            <w:tcBorders>
              <w:left w:val="single" w:sz="8" w:color="BFBFBF"/>
            </w:tcBorders>
            <w:shd w:val="clear" w:color="auto" w:fill="F2F2F2"/>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3720" w:type="dxa"/>
            <w:vAlign w:val="bottom"/>
            <w:tcBorders>
              <w:right w:val="single" w:sz="8" w:color="BFBFBF"/>
            </w:tcBorders>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Travel &amp; Miscellaneous Allowance</w:t>
            </w:r>
          </w:p>
        </w:tc>
        <w:tc>
          <w:tcPr>
            <w:tcW w:w="7080" w:type="dxa"/>
            <w:vAlign w:val="bottom"/>
            <w:tcBorders>
              <w:right w:val="single" w:sz="8" w:color="BFBFBF"/>
            </w:tcBorders>
          </w:tcPr>
          <w:p>
            <w:pPr>
              <w:ind w:left="80"/>
              <w:spacing w:after="0"/>
              <w:rPr>
                <w:sz w:val="20"/>
                <w:szCs w:val="20"/>
                <w:color w:val="auto"/>
              </w:rPr>
            </w:pPr>
            <w:r>
              <w:rPr>
                <w:rFonts w:ascii="Times New Roman" w:cs="Times New Roman" w:eastAsia="Times New Roman" w:hAnsi="Times New Roman"/>
                <w:sz w:val="20"/>
                <w:szCs w:val="20"/>
                <w:color w:val="auto"/>
              </w:rPr>
              <w:t>$10,000 (grossed up) to cover Home Finding, Final Move, and Incidental Expenses.</w:t>
            </w:r>
          </w:p>
        </w:tc>
      </w:tr>
      <w:tr>
        <w:trPr>
          <w:trHeight w:val="89"/>
        </w:trPr>
        <w:tc>
          <w:tcPr>
            <w:tcW w:w="340" w:type="dxa"/>
            <w:vAlign w:val="bottom"/>
            <w:tcBorders>
              <w:left w:val="single" w:sz="8" w:color="BFBFBF"/>
              <w:bottom w:val="single" w:sz="8" w:color="BFBFBF"/>
            </w:tcBorders>
            <w:shd w:val="clear" w:color="auto" w:fill="F2F2F2"/>
          </w:tcPr>
          <w:p>
            <w:pPr>
              <w:spacing w:after="0"/>
              <w:rPr>
                <w:sz w:val="7"/>
                <w:szCs w:val="7"/>
                <w:color w:val="auto"/>
              </w:rPr>
            </w:pPr>
          </w:p>
        </w:tc>
        <w:tc>
          <w:tcPr>
            <w:tcW w:w="3720" w:type="dxa"/>
            <w:vAlign w:val="bottom"/>
            <w:tcBorders>
              <w:bottom w:val="single" w:sz="8" w:color="BFBFBF"/>
              <w:right w:val="single" w:sz="8" w:color="BFBFBF"/>
            </w:tcBorders>
            <w:shd w:val="clear" w:color="auto" w:fill="F2F2F2"/>
          </w:tcPr>
          <w:p>
            <w:pPr>
              <w:spacing w:after="0"/>
              <w:rPr>
                <w:sz w:val="7"/>
                <w:szCs w:val="7"/>
                <w:color w:val="auto"/>
              </w:rPr>
            </w:pPr>
          </w:p>
        </w:tc>
        <w:tc>
          <w:tcPr>
            <w:tcW w:w="7080" w:type="dxa"/>
            <w:vAlign w:val="bottom"/>
            <w:tcBorders>
              <w:bottom w:val="single" w:sz="8" w:color="BFBFBF"/>
              <w:right w:val="single" w:sz="8" w:color="BFBFBF"/>
            </w:tcBorders>
          </w:tcPr>
          <w:p>
            <w:pPr>
              <w:spacing w:after="0"/>
              <w:rPr>
                <w:sz w:val="7"/>
                <w:szCs w:val="7"/>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Should you have any questions about these benefits, please ask your HR contacts at the Company for help.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Acknowledgement and Acceptance</w:t>
      </w:r>
    </w:p>
    <w:p>
      <w:pPr>
        <w:spacing w:after="0" w:line="242"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8"/>
          <w:szCs w:val="18"/>
          <w:color w:val="auto"/>
        </w:rPr>
        <w:t xml:space="preserve">With your signature to the letter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 you confirm that you (1) understand these relocation benefits offered to you, and (2) accept that should you decide to voluntarily leave the Company within 2 years from the Effective Date, the full value and cost of these Relocation Benefits paid by the Company on your behalf will be owed back to the Company in full by you prior to your final paycheck.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074"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9019"/>
          </w:cols>
          <w:pgMar w:left="1440" w:top="1440" w:right="1440" w:bottom="1440" w:gutter="0" w:footer="0" w:header="0"/>
        </w:sectPr>
      </w:pPr>
    </w:p>
    <w:bookmarkStart w:id="105" w:name="page106"/>
    <w:bookmarkEnd w:id="105"/>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RESTRICTIVE COVENANTS</w:t>
      </w:r>
    </w:p>
    <w:p>
      <w:pPr>
        <w:spacing w:after="0" w:line="238" w:lineRule="exact"/>
        <w:rPr>
          <w:sz w:val="20"/>
          <w:szCs w:val="20"/>
          <w:color w:val="auto"/>
        </w:rPr>
      </w:pPr>
    </w:p>
    <w:p>
      <w:pPr>
        <w:jc w:val="both"/>
        <w:ind w:firstLine="648"/>
        <w:spacing w:after="0" w:line="276" w:lineRule="auto"/>
        <w:tabs>
          <w:tab w:leader="none" w:pos="128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Non-Competition</w:t>
      </w:r>
      <w:r>
        <w:rPr>
          <w:rFonts w:ascii="Times New Roman" w:cs="Times New Roman" w:eastAsia="Times New Roman" w:hAnsi="Times New Roman"/>
          <w:sz w:val="18"/>
          <w:szCs w:val="18"/>
          <w:color w:val="auto"/>
        </w:rPr>
        <w:t>. You hereby acknowledge and agree that, at any time from the date hereof until the date that is twenty-four (24) months after the date on which you cease to be an employee or service provider of the Company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you will not, without the Board’s express written consent, engage (directly or indirectly) in any Competitive Business anywhere in the world. The term “</w:t>
      </w:r>
      <w:r>
        <w:rPr>
          <w:rFonts w:ascii="Times New Roman" w:cs="Times New Roman" w:eastAsia="Times New Roman" w:hAnsi="Times New Roman"/>
          <w:sz w:val="18"/>
          <w:szCs w:val="18"/>
          <w:u w:val="single" w:color="auto"/>
          <w:color w:val="auto"/>
        </w:rPr>
        <w:t>Competitive Business</w:t>
      </w:r>
      <w:r>
        <w:rPr>
          <w:rFonts w:ascii="Times New Roman" w:cs="Times New Roman" w:eastAsia="Times New Roman" w:hAnsi="Times New Roman"/>
          <w:sz w:val="18"/>
          <w:szCs w:val="18"/>
          <w:color w:val="auto"/>
        </w:rPr>
        <w:t>” means (A) the business of designing, developing, manufacturing customizing and/or selling (i) financial transaction cards manufactured of metal or metal hybrid, including ID cards and security cards, and/or (ii) products and services to enable consumers to buy, sell and store cryptocurrencies and other digital assets and providing similar products and services to businesses for distribution to their customers, including, without limitation, banking and financial services, insurance, warranty and eGaming markets, and related activities and</w:t>
      </w:r>
    </w:p>
    <w:p>
      <w:pPr>
        <w:spacing w:after="0" w:line="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business, venture or activity that the Company engages in or undertakes, or has plans to engage in or undertake, in each case,</w:t>
      </w:r>
    </w:p>
    <w:p>
      <w:pPr>
        <w:spacing w:after="0" w:line="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period you are employed by the Company. With respect to the portion of the Restriction Period that follows your termination of employment or service, the determination of whether a business is a Competitive Business shall be made based on the scope and location of the businesses engaged in or undertaken or planned to be engaged in or undertaken by the Company or any of its affiliates as of the date of such termination of employment or service. You understand and agree that, given the nature of the business of the Company and your position with the Company, the foregoing geographic scope is reasonable and appropriate.</w:t>
      </w:r>
    </w:p>
    <w:p>
      <w:pPr>
        <w:spacing w:after="0" w:line="219" w:lineRule="exact"/>
        <w:rPr>
          <w:sz w:val="20"/>
          <w:szCs w:val="20"/>
          <w:color w:val="auto"/>
        </w:rPr>
      </w:pPr>
    </w:p>
    <w:p>
      <w:pPr>
        <w:jc w:val="both"/>
        <w:ind w:firstLine="648"/>
        <w:spacing w:after="0" w:line="248" w:lineRule="auto"/>
        <w:tabs>
          <w:tab w:leader="none" w:pos="128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Non-Solicitation of Company Personnel</w:t>
      </w:r>
      <w:r>
        <w:rPr>
          <w:rFonts w:ascii="Times New Roman" w:cs="Times New Roman" w:eastAsia="Times New Roman" w:hAnsi="Times New Roman"/>
          <w:sz w:val="20"/>
          <w:szCs w:val="20"/>
          <w:color w:val="auto"/>
        </w:rPr>
        <w:t>. You agree that during the Restriction Period, you will not, either directly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through others, hire or attempt to hire any employee, consultant or independent contractor of the Company or its affiliates, or solicit or attempt to solicit any such person to change or terminate his or her relationship with the Company or an affiliate or otherwise to become an employee, consultant or independent contractor to, for or of any other person or business entity, unless more than 12 months shall have elapsed between the last day of such person’s employment or service with the Company or affiliate and the first day of such solicitation or hiring or attempt to solicit or hire;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foregoing does not prohibit general solicitation or recruitment activities not directed at employees of the Company.</w:t>
      </w:r>
    </w:p>
    <w:p>
      <w:pPr>
        <w:spacing w:after="0" w:line="220" w:lineRule="exact"/>
        <w:rPr>
          <w:rFonts w:ascii="Times New Roman" w:cs="Times New Roman" w:eastAsia="Times New Roman" w:hAnsi="Times New Roman"/>
          <w:sz w:val="20"/>
          <w:szCs w:val="20"/>
          <w:color w:val="auto"/>
        </w:rPr>
      </w:pPr>
    </w:p>
    <w:p>
      <w:pPr>
        <w:jc w:val="both"/>
        <w:ind w:firstLine="648"/>
        <w:spacing w:after="0" w:line="256" w:lineRule="auto"/>
        <w:tabs>
          <w:tab w:leader="none" w:pos="128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Non-Solicitation of Customers</w:t>
      </w:r>
      <w:r>
        <w:rPr>
          <w:rFonts w:ascii="Times New Roman" w:cs="Times New Roman" w:eastAsia="Times New Roman" w:hAnsi="Times New Roman"/>
          <w:sz w:val="20"/>
          <w:szCs w:val="20"/>
          <w:color w:val="auto"/>
        </w:rPr>
        <w:t>. You agree that during the Restriction Period, you will not, either directly or through others,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solicit, divert or appropriate, or attempt to solicit, divert or appropriate, any customer or actively sought prospective customer of the Company or an affiliate for the purpose of providing such customer or actively sought prospective customer with services or products competitive with those offered by the Company or an affiliate during your employment with the Company.</w:t>
      </w:r>
    </w:p>
    <w:p>
      <w:pPr>
        <w:spacing w:after="0" w:line="194" w:lineRule="exact"/>
        <w:rPr>
          <w:rFonts w:ascii="Times New Roman" w:cs="Times New Roman" w:eastAsia="Times New Roman" w:hAnsi="Times New Roman"/>
          <w:sz w:val="20"/>
          <w:szCs w:val="20"/>
          <w:color w:val="auto"/>
        </w:rPr>
      </w:pPr>
    </w:p>
    <w:p>
      <w:pPr>
        <w:jc w:val="both"/>
        <w:ind w:firstLine="648"/>
        <w:spacing w:after="0" w:line="251" w:lineRule="auto"/>
        <w:tabs>
          <w:tab w:leader="none" w:pos="1272"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At all times, you will hold in strictest confidence and will not disclose, use, lecture upon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publish any of the Proprietary Information (defined below) of the Company or an affiliate, except as such disclosure, use or publication may be required in connection with your work for the Company or as described in Section 5 below, or unless the Company expressly authorizes such disclosure in writing. “</w:t>
      </w:r>
      <w:r>
        <w:rPr>
          <w:rFonts w:ascii="Times New Roman" w:cs="Times New Roman" w:eastAsia="Times New Roman" w:hAnsi="Times New Roman"/>
          <w:sz w:val="20"/>
          <w:szCs w:val="20"/>
          <w:u w:val="single" w:color="auto"/>
          <w:color w:val="auto"/>
        </w:rPr>
        <w:t>Proprietary Information</w:t>
      </w:r>
      <w:r>
        <w:rPr>
          <w:rFonts w:ascii="Times New Roman" w:cs="Times New Roman" w:eastAsia="Times New Roman" w:hAnsi="Times New Roman"/>
          <w:sz w:val="20"/>
          <w:szCs w:val="20"/>
          <w:color w:val="auto"/>
        </w:rPr>
        <w:t>” shall mean any and all confidential and/or proprietary knowledge, data or information of the Company and its affiliates and shareholders, including but not limited to information relating to financial matters, investments, budgets, business plans, marketing plans, personnel matters, business contacts, products, processes, know-how, designs, methods, improvements, discoveries, inventions, ideas, data, programs, and other works of authorship</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firstLine="648"/>
        <w:spacing w:after="0" w:line="288" w:lineRule="auto"/>
        <w:tabs>
          <w:tab w:leader="none" w:pos="12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 to Government Entities</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prohibit or restrict you from initiating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with, responding to any inquiry from, providing testimony before, providing confidential information to, reporting possible violations of law or regulation to, or filing a claim or assisting with an investigation directly with a self-regulatory authority or a government agency or entity, including the Equal Employment Opportunity Commission, the Department of Labor, the National Labor Relations Board,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1074" w:right="439" w:bottom="1440" w:gutter="0" w:footer="0" w:header="0"/>
        </w:sectPr>
      </w:pPr>
    </w:p>
    <w:bookmarkStart w:id="106" w:name="page107"/>
    <w:bookmarkEnd w:id="106"/>
    <w:p>
      <w:pPr>
        <w:jc w:val="both"/>
        <w:spacing w:after="0" w:line="248" w:lineRule="auto"/>
        <w:rPr>
          <w:sz w:val="20"/>
          <w:szCs w:val="20"/>
          <w:color w:val="auto"/>
        </w:rPr>
      </w:pPr>
      <w:r>
        <w:rPr>
          <w:rFonts w:ascii="Times New Roman" w:cs="Times New Roman" w:eastAsia="Times New Roman" w:hAnsi="Times New Roman"/>
          <w:sz w:val="20"/>
          <w:szCs w:val="20"/>
          <w:color w:val="auto"/>
        </w:rPr>
        <w:t>Department of Justice, the Securities and Exchange Commission, Congress, any agency Inspector General or any other federal, state or local regulatory authority (collectively, the “</w:t>
      </w:r>
      <w:r>
        <w:rPr>
          <w:rFonts w:ascii="Times New Roman" w:cs="Times New Roman" w:eastAsia="Times New Roman" w:hAnsi="Times New Roman"/>
          <w:sz w:val="20"/>
          <w:szCs w:val="20"/>
          <w:u w:val="single" w:color="auto"/>
          <w:color w:val="auto"/>
        </w:rPr>
        <w:t>Regulators</w:t>
      </w:r>
      <w:r>
        <w:rPr>
          <w:rFonts w:ascii="Times New Roman" w:cs="Times New Roman" w:eastAsia="Times New Roman" w:hAnsi="Times New Roman"/>
          <w:sz w:val="20"/>
          <w:szCs w:val="20"/>
          <w:color w:val="auto"/>
        </w:rPr>
        <w:t>”), or from making other disclosures that are protected under the whistleblower provisions of state or federal law or regulation. You do not need the prior authorization of the Company to engage in conduct protected by this section, and you do not need to notify the Company that you have engaged in such conduct. Please take notice that federal law provides criminal and civil immunity to federal and state claims for trade secret misappropriation to individuals who disclose trade secrets to their attorneys, courts, or government officials in certain, confidential circumstances that are set forth at 18 U.S.C. §§ 1833(b)(1) and 1833(b)(2), related to the reporting or investigation of a suspected violation of the law, or in connection with a lawsuit for retaliation for reporting a suspected violation of the law.</w:t>
      </w:r>
    </w:p>
    <w:p>
      <w:pPr>
        <w:spacing w:after="0" w:line="219" w:lineRule="exact"/>
        <w:rPr>
          <w:sz w:val="20"/>
          <w:szCs w:val="20"/>
          <w:color w:val="auto"/>
        </w:rPr>
      </w:pPr>
    </w:p>
    <w:p>
      <w:pPr>
        <w:jc w:val="both"/>
        <w:ind w:firstLine="648"/>
        <w:spacing w:after="0" w:line="281" w:lineRule="auto"/>
        <w:tabs>
          <w:tab w:leader="none" w:pos="12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Inventions Assignment</w:t>
      </w:r>
      <w:r>
        <w:rPr>
          <w:rFonts w:ascii="Times New Roman" w:cs="Times New Roman" w:eastAsia="Times New Roman" w:hAnsi="Times New Roman"/>
          <w:sz w:val="18"/>
          <w:szCs w:val="18"/>
          <w:color w:val="auto"/>
        </w:rPr>
        <w:t>. You agree that all inventions, innovations, improvements, developments, methods, designs,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analyses, reports, and all similar or related information which relates to the Company’s or its affiliates’ actual or anticipated business, research and development or existing or future products or services and which are conceived, developed or made by you while employed or engaged by the Company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belong to the Company. You will promptly disclose such Work Product to the Board and perform all actions reasonably requested by the Board (whether during your employment or thereafter) to establish and confirm such ownership (including, without limitation, assignments, consents, powers of attorney and other instruments). If requested by the Company, you agree to execute any inventions assignment and confidentiality agreement that is required to be signed by the Company employees generally.</w:t>
      </w:r>
    </w:p>
    <w:p>
      <w:pPr>
        <w:spacing w:after="0" w:line="187" w:lineRule="exact"/>
        <w:rPr>
          <w:rFonts w:ascii="Times New Roman" w:cs="Times New Roman" w:eastAsia="Times New Roman" w:hAnsi="Times New Roman"/>
          <w:sz w:val="18"/>
          <w:szCs w:val="18"/>
          <w:color w:val="auto"/>
        </w:rPr>
      </w:pPr>
    </w:p>
    <w:p>
      <w:pPr>
        <w:jc w:val="both"/>
        <w:ind w:firstLine="648"/>
        <w:spacing w:after="0" w:line="256" w:lineRule="auto"/>
        <w:tabs>
          <w:tab w:leader="none" w:pos="128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Non-Disparagement</w:t>
      </w:r>
      <w:r>
        <w:rPr>
          <w:rFonts w:ascii="Times New Roman" w:cs="Times New Roman" w:eastAsia="Times New Roman" w:hAnsi="Times New Roman"/>
          <w:sz w:val="20"/>
          <w:szCs w:val="20"/>
          <w:color w:val="auto"/>
        </w:rPr>
        <w:t>. You agree and covenant that you will not at any time make, publish or communicate in any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forum or otherwise in a manner intended to achieve widespread publication or broadcast outside the Company or to substantial numbers of employees of the Company, any defamatory or disparaging remarks, comments or statements concerning the Company or any of its affiliates or their businesses, or any of their employees, officers, and existing and prospective customers, suppliers, or investors.</w:t>
      </w:r>
    </w:p>
    <w:p>
      <w:pPr>
        <w:spacing w:after="0" w:line="194" w:lineRule="exact"/>
        <w:rPr>
          <w:rFonts w:ascii="Times New Roman" w:cs="Times New Roman" w:eastAsia="Times New Roman" w:hAnsi="Times New Roman"/>
          <w:sz w:val="20"/>
          <w:szCs w:val="20"/>
          <w:color w:val="auto"/>
        </w:rPr>
      </w:pPr>
    </w:p>
    <w:p>
      <w:pPr>
        <w:jc w:val="both"/>
        <w:ind w:firstLine="648"/>
        <w:spacing w:after="0" w:line="256" w:lineRule="auto"/>
        <w:tabs>
          <w:tab w:leader="none" w:pos="128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Return of Company Property</w:t>
      </w:r>
      <w:r>
        <w:rPr>
          <w:rFonts w:ascii="Times New Roman" w:cs="Times New Roman" w:eastAsia="Times New Roman" w:hAnsi="Times New Roman"/>
          <w:sz w:val="20"/>
          <w:szCs w:val="20"/>
          <w:color w:val="auto"/>
        </w:rPr>
        <w:t>. Upon your termination of employment or service, you will deliver to the person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all originals and copies of all documents and property of the Company or an affiliate that is in your possession or under your control or to which you may have access. You will not reproduce or appropriate for your own use, or for the use of others, any property, proprietary information, or Work Product.</w:t>
      </w:r>
    </w:p>
    <w:p>
      <w:pPr>
        <w:spacing w:after="0" w:line="207" w:lineRule="exact"/>
        <w:rPr>
          <w:rFonts w:ascii="Times New Roman" w:cs="Times New Roman" w:eastAsia="Times New Roman" w:hAnsi="Times New Roman"/>
          <w:sz w:val="20"/>
          <w:szCs w:val="20"/>
          <w:color w:val="auto"/>
        </w:rPr>
      </w:pPr>
    </w:p>
    <w:p>
      <w:pPr>
        <w:jc w:val="both"/>
        <w:ind w:firstLine="648"/>
        <w:spacing w:after="0" w:line="251" w:lineRule="auto"/>
        <w:tabs>
          <w:tab w:leader="none" w:pos="128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covenants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severable and separate, and the unenforceability of any specific covenant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will not affect the provisions of any other covenant. If any provision of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relating to the time period, scope or geographic area of the restrictive covenants will be declared by a court of competent jurisdiction or arbitrator to exceed the maximum time period, scope or geographic area, as applicable, that such court or arbitrator deems reasonable and enforceable, then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will automatically be considered to have been amended and revised to reflect such determination.</w:t>
      </w:r>
    </w:p>
    <w:p>
      <w:pPr>
        <w:spacing w:after="0" w:line="213" w:lineRule="exact"/>
        <w:rPr>
          <w:rFonts w:ascii="Times New Roman" w:cs="Times New Roman" w:eastAsia="Times New Roman" w:hAnsi="Times New Roman"/>
          <w:sz w:val="20"/>
          <w:szCs w:val="20"/>
          <w:color w:val="auto"/>
        </w:rPr>
      </w:pPr>
    </w:p>
    <w:p>
      <w:pPr>
        <w:jc w:val="both"/>
        <w:ind w:firstLine="648"/>
        <w:spacing w:after="0" w:line="251" w:lineRule="auto"/>
        <w:tabs>
          <w:tab w:leader="none" w:pos="127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Independent Covenants</w:t>
      </w:r>
      <w:r>
        <w:rPr>
          <w:rFonts w:ascii="Times New Roman" w:cs="Times New Roman" w:eastAsia="Times New Roman" w:hAnsi="Times New Roman"/>
          <w:sz w:val="20"/>
          <w:szCs w:val="20"/>
          <w:color w:val="auto"/>
        </w:rPr>
        <w:t>. All of the covenants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construed as an agreement independent of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of the letter to which it is attached, and the existence of any claim or cause of action that you may have against the Company or any of its affiliates, whether predicated on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otherwise, will not constitute a defense to the enforcement by the Company of such covenants.</w:t>
      </w:r>
    </w:p>
    <w:p>
      <w:pPr>
        <w:spacing w:after="0" w:line="213" w:lineRule="exact"/>
        <w:rPr>
          <w:rFonts w:ascii="Times New Roman" w:cs="Times New Roman" w:eastAsia="Times New Roman" w:hAnsi="Times New Roman"/>
          <w:sz w:val="20"/>
          <w:szCs w:val="20"/>
          <w:color w:val="auto"/>
        </w:rPr>
      </w:pPr>
    </w:p>
    <w:p>
      <w:pPr>
        <w:jc w:val="both"/>
        <w:ind w:firstLine="648"/>
        <w:spacing w:after="0" w:line="256" w:lineRule="auto"/>
        <w:tabs>
          <w:tab w:leader="none" w:pos="126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Reasonableness</w:t>
      </w:r>
      <w:r>
        <w:rPr>
          <w:rFonts w:ascii="Times New Roman" w:cs="Times New Roman" w:eastAsia="Times New Roman" w:hAnsi="Times New Roman"/>
          <w:sz w:val="20"/>
          <w:szCs w:val="20"/>
          <w:color w:val="auto"/>
        </w:rPr>
        <w:t>. By executing this letter to which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attached, you acknowledge that you have carefully read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considered the provisions of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having done so, agree that these restrictive covenants impose a fair and reasonable restraint on you and are reasonably required to protect the Proprietary Information, business and/or goodwill of the Company, its affiliates and their respective officers, directors, employees, and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1078" w:right="439" w:bottom="1440" w:gutter="0" w:footer="0" w:header="0"/>
        </w:sectPr>
      </w:pPr>
    </w:p>
    <w:bookmarkStart w:id="107" w:name="page108"/>
    <w:bookmarkEnd w:id="107"/>
    <w:p>
      <w:pPr>
        <w:jc w:val="both"/>
        <w:ind w:left="-120" w:firstLine="648"/>
        <w:spacing w:after="0" w:line="249" w:lineRule="auto"/>
        <w:tabs>
          <w:tab w:leader="none" w:pos="115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and Equitable Remedies</w:t>
      </w:r>
      <w:r>
        <w:rPr>
          <w:rFonts w:ascii="Times New Roman" w:cs="Times New Roman" w:eastAsia="Times New Roman" w:hAnsi="Times New Roman"/>
          <w:sz w:val="20"/>
          <w:szCs w:val="20"/>
          <w:color w:val="auto"/>
        </w:rPr>
        <w:t>. Because your services are personal and unique and you have had and will continue to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access to and have become and will continue to become acquainted with the Proprietary Information of the Company and its affiliates, and because any breach by you of any of the restrictive covenants contained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would result in irreparable injury and damage for which money damages would not provide an adequate remedy, the Company shall have the right to enforce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any of its provisions by injunction, specific performance or other equitable relief, without bond and without prejudice to any other rights and remedies that the Company may have for a breach, or threatened breach, of the restrictive covenants set forth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You agree that in any action in which the Company seeks injunction, specific performance or other equitable relief, you will not assert or contend that any of the provisions of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are unreasonable or otherwise unenforceable.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20"/>
          </w:cols>
          <w:pgMar w:left="440" w:top="1074" w:right="4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Wilk, certify that:</w:t>
      </w:r>
    </w:p>
    <w:p>
      <w:pPr>
        <w:spacing w:after="0" w:line="220" w:lineRule="exact"/>
        <w:rPr>
          <w:sz w:val="20"/>
          <w:szCs w:val="20"/>
          <w:color w:val="auto"/>
        </w:rPr>
      </w:pPr>
    </w:p>
    <w:p>
      <w:pPr>
        <w:ind w:left="640" w:hanging="313"/>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CompoSecure, Inc.;</w:t>
      </w:r>
    </w:p>
    <w:p>
      <w:pPr>
        <w:spacing w:after="0" w:line="220" w:lineRule="exact"/>
        <w:rPr>
          <w:rFonts w:ascii="Times New Roman" w:cs="Times New Roman" w:eastAsia="Times New Roman" w:hAnsi="Times New Roman"/>
          <w:sz w:val="18"/>
          <w:szCs w:val="18"/>
          <w:color w:val="auto"/>
        </w:rPr>
      </w:pPr>
    </w:p>
    <w:p>
      <w:pPr>
        <w:jc w:val="both"/>
        <w:ind w:left="640" w:right="240" w:hanging="313"/>
        <w:spacing w:after="0" w:line="239"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640" w:right="200" w:hanging="313"/>
        <w:spacing w:after="0" w:line="246"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640" w:right="220" w:hanging="313"/>
        <w:spacing w:after="0" w:line="239"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280" w:right="40" w:hanging="311"/>
        <w:spacing w:after="0" w:line="239" w:lineRule="auto"/>
        <w:tabs>
          <w:tab w:leader="none" w:pos="12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1280" w:right="160" w:hanging="311"/>
        <w:spacing w:after="0" w:line="239" w:lineRule="auto"/>
        <w:tabs>
          <w:tab w:leader="none" w:pos="12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Times New Roman" w:cs="Times New Roman" w:eastAsia="Times New Roman" w:hAnsi="Times New Roman"/>
          <w:sz w:val="18"/>
          <w:szCs w:val="18"/>
          <w:color w:val="auto"/>
        </w:rPr>
      </w:pPr>
    </w:p>
    <w:p>
      <w:pPr>
        <w:jc w:val="both"/>
        <w:ind w:left="1280" w:right="320" w:hanging="311"/>
        <w:spacing w:after="0" w:line="275" w:lineRule="auto"/>
        <w:tabs>
          <w:tab w:leader="none" w:pos="127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80" w:right="40" w:hanging="311"/>
        <w:spacing w:after="0" w:line="239" w:lineRule="auto"/>
        <w:tabs>
          <w:tab w:leader="none" w:pos="12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18"/>
          <w:szCs w:val="18"/>
          <w:color w:val="auto"/>
        </w:rPr>
      </w:pPr>
    </w:p>
    <w:p>
      <w:pPr>
        <w:ind w:left="640" w:right="120" w:hanging="313"/>
        <w:spacing w:after="0" w:line="246"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280" w:right="580" w:hanging="311"/>
        <w:spacing w:after="0" w:line="275" w:lineRule="auto"/>
        <w:tabs>
          <w:tab w:leader="none" w:pos="127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280" w:right="260" w:hanging="311"/>
        <w:spacing w:after="0" w:line="246" w:lineRule="auto"/>
        <w:tabs>
          <w:tab w:leader="none" w:pos="12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u w:val="single" w:color="auto"/>
          <w:color w:val="auto"/>
        </w:rPr>
        <w:t>/s/ Jonathan Wilk</w:t>
      </w:r>
      <w:r>
        <w:rPr>
          <w:rFonts w:ascii="Times New Roman" w:cs="Times New Roman" w:eastAsia="Times New Roman" w:hAnsi="Times New Roman"/>
          <w:sz w:val="18"/>
          <w:szCs w:val="18"/>
          <w:color w:val="auto"/>
        </w:rPr>
        <w:t>________________</w:t>
      </w:r>
    </w:p>
    <w:p>
      <w:pPr>
        <w:spacing w:after="0" w:line="232" w:lineRule="auto"/>
        <w:rPr>
          <w:sz w:val="20"/>
          <w:szCs w:val="20"/>
          <w:color w:val="auto"/>
        </w:rPr>
      </w:pPr>
      <w:r>
        <w:rPr>
          <w:rFonts w:ascii="Times New Roman" w:cs="Times New Roman" w:eastAsia="Times New Roman" w:hAnsi="Times New Roman"/>
          <w:sz w:val="18"/>
          <w:szCs w:val="18"/>
          <w:color w:val="auto"/>
        </w:rPr>
        <w:t>Name: Jonathan Wilk</w:t>
      </w: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Fitzsimmons, certify that:</w:t>
      </w:r>
    </w:p>
    <w:p>
      <w:pPr>
        <w:spacing w:after="0" w:line="220" w:lineRule="exact"/>
        <w:rPr>
          <w:sz w:val="20"/>
          <w:szCs w:val="20"/>
          <w:color w:val="auto"/>
        </w:rPr>
      </w:pPr>
    </w:p>
    <w:p>
      <w:pPr>
        <w:ind w:left="640" w:hanging="313"/>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CompoSecure, Inc.;</w:t>
      </w:r>
    </w:p>
    <w:p>
      <w:pPr>
        <w:spacing w:after="0" w:line="220" w:lineRule="exact"/>
        <w:rPr>
          <w:rFonts w:ascii="Times New Roman" w:cs="Times New Roman" w:eastAsia="Times New Roman" w:hAnsi="Times New Roman"/>
          <w:sz w:val="18"/>
          <w:szCs w:val="18"/>
          <w:color w:val="auto"/>
        </w:rPr>
      </w:pPr>
    </w:p>
    <w:p>
      <w:pPr>
        <w:jc w:val="both"/>
        <w:ind w:left="640" w:right="240" w:hanging="313"/>
        <w:spacing w:after="0" w:line="239"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640" w:right="200" w:hanging="313"/>
        <w:spacing w:after="0" w:line="24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640" w:right="220" w:hanging="313"/>
        <w:spacing w:after="0" w:line="239"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ind w:left="1280" w:right="40" w:hanging="311"/>
        <w:spacing w:after="0" w:line="239" w:lineRule="auto"/>
        <w:tabs>
          <w:tab w:leader="none" w:pos="127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1280" w:right="160" w:hanging="311"/>
        <w:spacing w:after="0" w:line="239" w:lineRule="auto"/>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Times New Roman" w:cs="Times New Roman" w:eastAsia="Times New Roman" w:hAnsi="Times New Roman"/>
          <w:sz w:val="18"/>
          <w:szCs w:val="18"/>
          <w:color w:val="auto"/>
        </w:rPr>
      </w:pPr>
    </w:p>
    <w:p>
      <w:pPr>
        <w:jc w:val="both"/>
        <w:ind w:left="1280" w:right="320" w:hanging="311"/>
        <w:spacing w:after="0" w:line="275" w:lineRule="auto"/>
        <w:tabs>
          <w:tab w:leader="none" w:pos="127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80" w:right="40" w:hanging="311"/>
        <w:spacing w:after="0" w:line="239" w:lineRule="auto"/>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18"/>
          <w:szCs w:val="18"/>
          <w:color w:val="auto"/>
        </w:rPr>
      </w:pPr>
    </w:p>
    <w:p>
      <w:pPr>
        <w:ind w:left="640" w:right="120" w:hanging="313"/>
        <w:spacing w:after="0" w:line="24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18"/>
          <w:szCs w:val="18"/>
          <w:color w:val="auto"/>
        </w:rPr>
      </w:pPr>
    </w:p>
    <w:p>
      <w:pPr>
        <w:ind w:left="1280" w:right="580" w:hanging="311"/>
        <w:spacing w:after="0" w:line="275" w:lineRule="auto"/>
        <w:tabs>
          <w:tab w:leader="none" w:pos="127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280" w:right="260" w:hanging="311"/>
        <w:spacing w:after="0" w:line="246" w:lineRule="auto"/>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u w:val="single" w:color="auto"/>
          <w:color w:val="auto"/>
        </w:rPr>
        <w:t>/s/ Timothy Fitzsimmons</w:t>
      </w:r>
      <w:r>
        <w:rPr>
          <w:rFonts w:ascii="Times New Roman" w:cs="Times New Roman" w:eastAsia="Times New Roman" w:hAnsi="Times New Roman"/>
          <w:sz w:val="18"/>
          <w:szCs w:val="18"/>
          <w:color w:val="auto"/>
        </w:rPr>
        <w:t>________________</w:t>
      </w:r>
    </w:p>
    <w:p>
      <w:pPr>
        <w:spacing w:after="0" w:line="232" w:lineRule="auto"/>
        <w:rPr>
          <w:sz w:val="20"/>
          <w:szCs w:val="20"/>
          <w:color w:val="auto"/>
        </w:rPr>
      </w:pPr>
      <w:r>
        <w:rPr>
          <w:rFonts w:ascii="Times New Roman" w:cs="Times New Roman" w:eastAsia="Times New Roman" w:hAnsi="Times New Roman"/>
          <w:sz w:val="18"/>
          <w:szCs w:val="18"/>
          <w:color w:val="auto"/>
        </w:rPr>
        <w:t>Name: Timothy Fitzsimmons</w:t>
      </w: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1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In connection with the Quarterly Report of CompoSecure, Inc., a Delaware corporation (the “Company”), on Form 10-Q for the quarter ended September 30, 2025,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spacing w:after="0" w:line="186" w:lineRule="exact"/>
        <w:rPr>
          <w:sz w:val="20"/>
          <w:szCs w:val="20"/>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3" w:lineRule="exact"/>
        <w:rPr>
          <w:rFonts w:ascii="Times New Roman" w:cs="Times New Roman" w:eastAsia="Times New Roman" w:hAnsi="Times New Roman"/>
          <w:sz w:val="18"/>
          <w:szCs w:val="18"/>
          <w:color w:val="auto"/>
        </w:rPr>
      </w:pPr>
    </w:p>
    <w:p>
      <w:pPr>
        <w:ind w:right="260" w:firstLine="327"/>
        <w:spacing w:after="0" w:line="495" w:lineRule="auto"/>
        <w:tabs>
          <w:tab w:leader="none" w:pos="6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November 3,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u w:val="single" w:color="auto"/>
          <w:color w:val="auto"/>
        </w:rPr>
        <w:t>/s/ Jonathan Wilk</w:t>
      </w:r>
      <w:r>
        <w:rPr>
          <w:rFonts w:ascii="Times New Roman" w:cs="Times New Roman" w:eastAsia="Times New Roman" w:hAnsi="Times New Roman"/>
          <w:sz w:val="18"/>
          <w:szCs w:val="18"/>
          <w:color w:val="auto"/>
        </w:rPr>
        <w:t>________________</w:t>
      </w:r>
    </w:p>
    <w:p>
      <w:pPr>
        <w:spacing w:after="0" w:line="232" w:lineRule="auto"/>
        <w:rPr>
          <w:sz w:val="20"/>
          <w:szCs w:val="20"/>
          <w:color w:val="auto"/>
        </w:rPr>
      </w:pPr>
      <w:r>
        <w:rPr>
          <w:rFonts w:ascii="Times New Roman" w:cs="Times New Roman" w:eastAsia="Times New Roman" w:hAnsi="Times New Roman"/>
          <w:sz w:val="18"/>
          <w:szCs w:val="18"/>
          <w:color w:val="auto"/>
        </w:rPr>
        <w:t>Name: Jonathan Wilk</w:t>
      </w: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1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 connection with the Quarterly Report of CompoSecure, Inc., a Delaware corporation (the “Company”), on Form 10-Q for the quarter ended September 30, 2025,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spacing w:after="0" w:line="196" w:lineRule="exact"/>
        <w:rPr>
          <w:sz w:val="20"/>
          <w:szCs w:val="20"/>
          <w:color w:val="auto"/>
        </w:rPr>
      </w:pPr>
    </w:p>
    <w:p>
      <w:pPr>
        <w:ind w:left="640" w:hanging="313"/>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3" w:lineRule="exact"/>
        <w:rPr>
          <w:rFonts w:ascii="Times New Roman" w:cs="Times New Roman" w:eastAsia="Times New Roman" w:hAnsi="Times New Roman"/>
          <w:sz w:val="18"/>
          <w:szCs w:val="18"/>
          <w:color w:val="auto"/>
        </w:rPr>
      </w:pPr>
    </w:p>
    <w:p>
      <w:pPr>
        <w:ind w:right="260" w:firstLine="327"/>
        <w:spacing w:after="0" w:line="495" w:lineRule="auto"/>
        <w:tabs>
          <w:tab w:leader="none" w:pos="6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November 3,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u w:val="single" w:color="auto"/>
          <w:color w:val="auto"/>
        </w:rPr>
        <w:t>/s/ Timothy Fitzsimmons</w:t>
      </w:r>
      <w:r>
        <w:rPr>
          <w:rFonts w:ascii="Times New Roman" w:cs="Times New Roman" w:eastAsia="Times New Roman" w:hAnsi="Times New Roman"/>
          <w:sz w:val="18"/>
          <w:szCs w:val="18"/>
          <w:color w:val="auto"/>
        </w:rPr>
        <w:t>________________</w:t>
      </w:r>
    </w:p>
    <w:p>
      <w:pPr>
        <w:spacing w:after="0" w:line="232" w:lineRule="auto"/>
        <w:rPr>
          <w:sz w:val="20"/>
          <w:szCs w:val="20"/>
          <w:color w:val="auto"/>
        </w:rPr>
      </w:pPr>
      <w:r>
        <w:rPr>
          <w:rFonts w:ascii="Times New Roman" w:cs="Times New Roman" w:eastAsia="Times New Roman" w:hAnsi="Times New Roman"/>
          <w:sz w:val="18"/>
          <w:szCs w:val="18"/>
          <w:color w:val="auto"/>
        </w:rPr>
        <w:t>Name: Timothy Fitzsimmons</w:t>
      </w:r>
    </w:p>
    <w:p>
      <w:pPr>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2"/>
    </w:lvl>
  </w:abstractNum>
  <w:abstractNum w:abstractNumId="7">
    <w:nsid w:val="3A95F874"/>
    <w:multiLevelType w:val="hybridMultilevel"/>
    <w:lvl w:ilvl="0">
      <w:lvlJc w:val="left"/>
      <w:lvlText w:val="%1."/>
      <w:numFmt w:val="decimal"/>
      <w:start w:val="3"/>
    </w:lvl>
  </w:abstractNum>
  <w:abstractNum w:abstractNumId="8">
    <w:nsid w:val="8138641"/>
    <w:multiLevelType w:val="hybridMultilevel"/>
    <w:lvl w:ilvl="0">
      <w:lvlJc w:val="left"/>
      <w:lvlText w:val="%1."/>
      <w:numFmt w:val="decimal"/>
      <w:start w:val="4"/>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lvl w:ilvl="1">
      <w:lvlJc w:val="left"/>
      <w:lvlText w:val="◦"/>
      <w:numFmt w:val="bullet"/>
      <w:start w:val="1"/>
    </w:lvl>
  </w:abstractNum>
  <w:abstractNum w:abstractNumId="14">
    <w:nsid w:val="4516DDE9"/>
    <w:multiLevelType w:val="hybridMultilevel"/>
    <w:lvl w:ilvl="0">
      <w:lvlJc w:val="left"/>
      <w:lvlText w:val="•"/>
      <w:numFmt w:val="bullet"/>
      <w:start w:val="1"/>
    </w:lvl>
    <w:lvl w:ilvl="1">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Roman"/>
      <w:start w:val="2"/>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01"/>
    </w:lvl>
  </w:abstractNum>
  <w:abstractNum w:abstractNumId="23">
    <w:nsid w:val="7724C67E"/>
    <w:multiLevelType w:val="hybridMultilevel"/>
    <w:lvl w:ilvl="0">
      <w:lvlJc w:val="left"/>
      <w:lvlText w:val="*"/>
      <w:numFmt w:val="bullet"/>
      <w:start w:val="1"/>
    </w:lvl>
    <w:lvl w:ilvl="1">
      <w:lvlJc w:val="left"/>
      <w:lvlText w:val="%2"/>
      <w:numFmt w:val="decimal"/>
      <w:start w:val="104"/>
    </w:lvl>
  </w:abstractNum>
  <w:abstractNum w:abstractNumId="24">
    <w:nsid w:val="5C482A97"/>
    <w:multiLevelType w:val="hybridMultilevel"/>
    <w:lvl w:ilvl="0">
      <w:lvlJc w:val="left"/>
      <w:lvlText w:val="**"/>
      <w:numFmt w:val="bullet"/>
      <w:start w:val="1"/>
    </w:lvl>
    <w:lvl w:ilvl="1">
      <w:lvlJc w:val="left"/>
      <w:lvlText w:val="%2"/>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9">
    <w:nsid w:val="580BD78F"/>
    <w:multiLevelType w:val="hybridMultilevel"/>
    <w:lvl w:ilvl="0">
      <w:lvlJc w:val="left"/>
      <w:lvlText w:val="%1."/>
      <w:numFmt w:val="lowerLetter"/>
      <w:start w:val="2"/>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1."/>
      <w:numFmt w:val="decimal"/>
      <w:start w:val="1"/>
    </w:lvl>
    <w:lvl w:ilvl="1">
      <w:lvlJc w:val="left"/>
      <w:lvlText w:val="%2."/>
      <w:numFmt w:val="lowerLetter"/>
      <w:start w:val="1"/>
    </w:lvl>
  </w:abstractNum>
  <w:abstractNum w:abstractNumId="32">
    <w:nsid w:val="70A64E2A"/>
    <w:multiLevelType w:val="hybridMultilevel"/>
    <w:lvl w:ilvl="0">
      <w:lvlJc w:val="left"/>
      <w:lvlText w:val="%1"/>
      <w:numFmt w:val="upperLetter"/>
      <w:start w:val="1"/>
    </w:lvl>
    <w:lvl w:ilvl="1">
      <w:lvlJc w:val="left"/>
      <w:lvlText w:val="%2."/>
      <w:numFmt w:val="decimal"/>
      <w:start w:val="3"/>
    </w:lvl>
  </w:abstractNum>
  <w:abstractNum w:abstractNumId="33">
    <w:nsid w:val="6A2342EC"/>
    <w:multiLevelType w:val="hybridMultilevel"/>
    <w:lvl w:ilvl="0">
      <w:lvlJc w:val="left"/>
      <w:lvlText w:val="%1."/>
      <w:numFmt w:val="upperLetter"/>
      <w:start w:val="4"/>
    </w:lvl>
    <w:lvl w:ilvl="1">
      <w:lvlJc w:val="left"/>
      <w:lvlText w:val="%2"/>
      <w:numFmt w:val="decimal"/>
      <w:start w:val="1"/>
    </w:lvl>
  </w:abstractNum>
  <w:abstractNum w:abstractNumId="34">
    <w:nsid w:val="2A487CB0"/>
    <w:multiLevelType w:val="hybridMultilevel"/>
    <w:lvl w:ilvl="0">
      <w:lvlJc w:val="left"/>
      <w:lvlText w:val="(%1)"/>
      <w:numFmt w:val="lowerRoman"/>
      <w:start w:val="1"/>
    </w:lvl>
  </w:abstractNum>
  <w:abstractNum w:abstractNumId="35">
    <w:nsid w:val="1D4ED43B"/>
    <w:multiLevelType w:val="hybridMultilevel"/>
    <w:lvl w:ilvl="0">
      <w:lvlJc w:val="left"/>
      <w:lvlText w:val="(%1)"/>
      <w:numFmt w:val="upperLetter"/>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2"/>
    </w:lvl>
  </w:abstractNum>
  <w:abstractNum w:abstractNumId="38">
    <w:nsid w:val="57E4CCAF"/>
    <w:multiLevelType w:val="hybridMultilevel"/>
    <w:lvl w:ilvl="0">
      <w:lvlJc w:val="left"/>
      <w:lvlText w:val="%1."/>
      <w:numFmt w:val="decimal"/>
      <w:start w:val="5"/>
    </w:lvl>
  </w:abstractNum>
  <w:abstractNum w:abstractNumId="39">
    <w:nsid w:val="7A6D8D3C"/>
    <w:multiLevelType w:val="hybridMultilevel"/>
    <w:lvl w:ilvl="0">
      <w:lvlJc w:val="left"/>
      <w:lvlText w:val="%1."/>
      <w:numFmt w:val="decimal"/>
      <w:start w:val="6"/>
    </w:lvl>
  </w:abstractNum>
  <w:abstractNum w:abstractNumId="40">
    <w:nsid w:val="4B588F54"/>
    <w:multiLevelType w:val="hybridMultilevel"/>
    <w:lvl w:ilvl="0">
      <w:lvlJc w:val="left"/>
      <w:lvlText w:val="%1."/>
      <w:numFmt w:val="decimal"/>
      <w:start w:val="1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upperLetter"/>
      <w:start w:val="1"/>
    </w:lvl>
    <w:lvl w:ilvl="1">
      <w:lvlJc w:val="left"/>
      <w:lvlText w:val="%2."/>
      <w:numFmt w:val="decimal"/>
      <w:start w:val="1"/>
    </w:lvl>
  </w:abstractNum>
  <w:abstractNum w:abstractNumId="43">
    <w:nsid w:val="38437FDB"/>
    <w:multiLevelType w:val="hybridMultilevel"/>
    <w:lvl w:ilvl="0">
      <w:lvlJc w:val="left"/>
      <w:lvlText w:val="(%1)"/>
      <w:numFmt w:val="upperLetter"/>
      <w:start w:val="2"/>
    </w:lvl>
    <w:lvl w:ilvl="1">
      <w:lvlJc w:val="left"/>
      <w:lvlText w:val="%2"/>
      <w:numFmt w:val="decimal"/>
      <w:start w:val="1"/>
    </w:lvl>
  </w:abstractNum>
  <w:abstractNum w:abstractNumId="44">
    <w:nsid w:val="7644A45C"/>
    <w:multiLevelType w:val="hybridMultilevel"/>
    <w:lvl w:ilvl="0">
      <w:lvlJc w:val="left"/>
      <w:lvlText w:val="%1."/>
      <w:numFmt w:val="decimal"/>
      <w:start w:val="2"/>
    </w:lvl>
  </w:abstractNum>
  <w:abstractNum w:abstractNumId="45">
    <w:nsid w:val="32FFF902"/>
    <w:multiLevelType w:val="hybridMultilevel"/>
    <w:lvl w:ilvl="0">
      <w:lvlJc w:val="left"/>
      <w:lvlText w:val="%1."/>
      <w:numFmt w:val="decimal"/>
      <w:start w:val="6"/>
    </w:lvl>
  </w:abstractNum>
  <w:abstractNum w:abstractNumId="46">
    <w:nsid w:val="684A481A"/>
    <w:multiLevelType w:val="hybridMultilevel"/>
    <w:lvl w:ilvl="0">
      <w:lvlJc w:val="left"/>
      <w:lvlText w:val="%1."/>
      <w:numFmt w:val="decimal"/>
      <w:start w:val="12"/>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2025-11-03T10:22:04Z</dcterms:created>
  <dcterms:modified xsi:type="dcterms:W3CDTF">2025-11-03T10:22:04Z</dcterms:modified>
</cp:coreProperties>
</file>