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801370</wp:posOffset>
            </wp:positionV>
            <wp:extent cx="71621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821055</wp:posOffset>
            </wp:positionV>
            <wp:extent cx="71621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121285</wp:posOffset>
            </wp:positionV>
            <wp:extent cx="22371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7105" cy="698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137160</wp:posOffset>
            </wp:positionV>
            <wp:extent cx="22371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7105" cy="6985"/>
                    </a:xfrm>
                    <a:prstGeom prst="rect">
                      <a:avLst/>
                    </a:prstGeom>
                    <a:noFill/>
                  </pic:spPr>
                </pic:pic>
              </a:graphicData>
            </a:graphic>
          </wp:anchor>
        </w:drawing>
      </w:r>
    </w:p>
    <w:p>
      <w:pPr>
        <w:spacing w:after="0" w:line="39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8"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8" w:lineRule="exact"/>
        <w:rPr>
          <w:sz w:val="24"/>
          <w:szCs w:val="24"/>
          <w:color w:val="auto"/>
        </w:rPr>
      </w:pPr>
    </w:p>
    <w:p>
      <w:pPr>
        <w:ind w:left="340" w:hanging="321"/>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13" w:lineRule="exact"/>
        <w:rPr>
          <w:sz w:val="24"/>
          <w:szCs w:val="24"/>
          <w:color w:val="auto"/>
        </w:rPr>
      </w:pPr>
    </w:p>
    <w:tbl>
      <w:tblPr>
        <w:tblLayout w:type="fixed"/>
        <w:tblInd w:w="3880" w:type="dxa"/>
        <w:tblCellMar>
          <w:top w:w="0" w:type="dxa"/>
          <w:left w:w="0" w:type="dxa"/>
          <w:bottom w:w="0" w:type="dxa"/>
          <w:right w:w="0" w:type="dxa"/>
        </w:tblCellMar>
      </w:tblPr>
      <w:tr>
        <w:trPr>
          <w:trHeight w:val="167"/>
        </w:trPr>
        <w:tc>
          <w:tcPr>
            <w:tcW w:w="244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For transition period from</w:t>
            </w:r>
          </w:p>
        </w:tc>
        <w:tc>
          <w:tcPr>
            <w:tcW w:w="10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22"/>
        </w:trPr>
        <w:tc>
          <w:tcPr>
            <w:tcW w:w="352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Commission File Number 001-39687</w:t>
            </w:r>
          </w:p>
        </w:tc>
      </w:tr>
      <w:tr>
        <w:trPr>
          <w:trHeight w:val="152"/>
        </w:trPr>
        <w:tc>
          <w:tcPr>
            <w:tcW w:w="2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bl>
    <w:p>
      <w:pPr>
        <w:spacing w:after="0" w:line="226" w:lineRule="exact"/>
        <w:rPr>
          <w:sz w:val="24"/>
          <w:szCs w:val="24"/>
          <w:color w:val="auto"/>
        </w:rPr>
      </w:pPr>
    </w:p>
    <w:tbl>
      <w:tblPr>
        <w:tblLayout w:type="fixed"/>
        <w:tblInd w:w="1940" w:type="dxa"/>
        <w:tblCellMar>
          <w:top w:w="0" w:type="dxa"/>
          <w:left w:w="0" w:type="dxa"/>
          <w:bottom w:w="0" w:type="dxa"/>
          <w:right w:w="0" w:type="dxa"/>
        </w:tblCellMar>
      </w:tblPr>
      <w:tr>
        <w:trPr>
          <w:trHeight w:val="336"/>
        </w:trPr>
        <w:tc>
          <w:tcPr>
            <w:tcW w:w="1940" w:type="dxa"/>
            <w:vAlign w:val="bottom"/>
          </w:tcPr>
          <w:p>
            <w:pPr>
              <w:spacing w:after="0"/>
              <w:rPr>
                <w:sz w:val="24"/>
                <w:szCs w:val="24"/>
                <w:color w:val="auto"/>
              </w:rPr>
            </w:pPr>
          </w:p>
        </w:tc>
        <w:tc>
          <w:tcPr>
            <w:tcW w:w="5260" w:type="dxa"/>
            <w:vAlign w:val="bottom"/>
            <w:gridSpan w:val="2"/>
          </w:tcPr>
          <w:p>
            <w:pPr>
              <w:jc w:val="center"/>
              <w:ind w:right="1649"/>
              <w:spacing w:after="0"/>
              <w:rPr>
                <w:sz w:val="20"/>
                <w:szCs w:val="20"/>
                <w:color w:val="auto"/>
              </w:rPr>
            </w:pPr>
            <w:r>
              <w:rPr>
                <w:rFonts w:ascii="Times New Roman" w:cs="Times New Roman" w:eastAsia="Times New Roman" w:hAnsi="Times New Roman"/>
                <w:sz w:val="25"/>
                <w:szCs w:val="25"/>
                <w:b w:val="1"/>
                <w:bCs w:val="1"/>
                <w:color w:val="auto"/>
              </w:rPr>
              <w:t>CompoSecure, Inc.</w:t>
            </w:r>
          </w:p>
        </w:tc>
      </w:tr>
      <w:tr>
        <w:trPr>
          <w:trHeight w:val="159"/>
        </w:trPr>
        <w:tc>
          <w:tcPr>
            <w:tcW w:w="1940" w:type="dxa"/>
            <w:vAlign w:val="bottom"/>
          </w:tcPr>
          <w:p>
            <w:pPr>
              <w:spacing w:after="0"/>
              <w:rPr>
                <w:sz w:val="13"/>
                <w:szCs w:val="13"/>
                <w:color w:val="auto"/>
              </w:rPr>
            </w:pPr>
          </w:p>
        </w:tc>
        <w:tc>
          <w:tcPr>
            <w:tcW w:w="5260" w:type="dxa"/>
            <w:vAlign w:val="bottom"/>
            <w:gridSpan w:val="2"/>
          </w:tcPr>
          <w:p>
            <w:pPr>
              <w:jc w:val="center"/>
              <w:ind w:right="166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r>
      <w:tr>
        <w:trPr>
          <w:trHeight w:val="209"/>
        </w:trPr>
        <w:tc>
          <w:tcPr>
            <w:tcW w:w="194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r>
      <w:tr>
        <w:trPr>
          <w:trHeight w:val="392"/>
        </w:trPr>
        <w:tc>
          <w:tcPr>
            <w:tcW w:w="19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60" w:type="dxa"/>
            <w:vAlign w:val="bottom"/>
            <w:gridSpan w:val="2"/>
          </w:tcPr>
          <w:p>
            <w:pPr>
              <w:jc w:val="center"/>
              <w:ind w:left="3882"/>
              <w:spacing w:after="0"/>
              <w:rPr>
                <w:sz w:val="20"/>
                <w:szCs w:val="20"/>
                <w:color w:val="auto"/>
              </w:rPr>
            </w:pPr>
            <w:r>
              <w:rPr>
                <w:rFonts w:ascii="Times New Roman" w:cs="Times New Roman" w:eastAsia="Times New Roman" w:hAnsi="Times New Roman"/>
                <w:sz w:val="14"/>
                <w:szCs w:val="14"/>
                <w:b w:val="1"/>
                <w:bCs w:val="1"/>
                <w:color w:val="auto"/>
              </w:rPr>
              <w:t>85-2749902</w:t>
            </w:r>
          </w:p>
        </w:tc>
      </w:tr>
      <w:tr>
        <w:trPr>
          <w:trHeight w:val="240"/>
        </w:trPr>
        <w:tc>
          <w:tcPr>
            <w:tcW w:w="19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520" w:type="dxa"/>
            <w:vAlign w:val="bottom"/>
          </w:tcPr>
          <w:p>
            <w:pPr>
              <w:spacing w:after="0"/>
              <w:rPr>
                <w:sz w:val="20"/>
                <w:szCs w:val="20"/>
                <w:color w:val="auto"/>
              </w:rPr>
            </w:pPr>
          </w:p>
        </w:tc>
        <w:tc>
          <w:tcPr>
            <w:tcW w:w="174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19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520" w:type="dxa"/>
            <w:vAlign w:val="bottom"/>
          </w:tcPr>
          <w:p>
            <w:pPr>
              <w:spacing w:after="0"/>
              <w:rPr>
                <w:sz w:val="15"/>
                <w:szCs w:val="15"/>
                <w:color w:val="auto"/>
              </w:rPr>
            </w:pPr>
          </w:p>
        </w:tc>
        <w:tc>
          <w:tcPr>
            <w:tcW w:w="174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365"/>
        </w:trPr>
        <w:tc>
          <w:tcPr>
            <w:tcW w:w="1940" w:type="dxa"/>
            <w:vAlign w:val="bottom"/>
          </w:tcPr>
          <w:p>
            <w:pPr>
              <w:spacing w:after="0"/>
              <w:rPr>
                <w:sz w:val="24"/>
                <w:szCs w:val="24"/>
                <w:color w:val="auto"/>
              </w:rPr>
            </w:pPr>
          </w:p>
        </w:tc>
        <w:tc>
          <w:tcPr>
            <w:tcW w:w="5260" w:type="dxa"/>
            <w:vAlign w:val="bottom"/>
            <w:gridSpan w:val="2"/>
          </w:tcPr>
          <w:p>
            <w:pPr>
              <w:jc w:val="center"/>
              <w:ind w:right="1649"/>
              <w:spacing w:after="0"/>
              <w:rPr>
                <w:sz w:val="20"/>
                <w:szCs w:val="20"/>
                <w:color w:val="auto"/>
              </w:rPr>
            </w:pPr>
            <w:r>
              <w:rPr>
                <w:rFonts w:ascii="Times New Roman" w:cs="Times New Roman" w:eastAsia="Times New Roman" w:hAnsi="Times New Roman"/>
                <w:sz w:val="14"/>
                <w:szCs w:val="14"/>
                <w:b w:val="1"/>
                <w:bCs w:val="1"/>
                <w:color w:val="auto"/>
              </w:rPr>
              <w:t>309 Pierce St.</w:t>
            </w:r>
          </w:p>
        </w:tc>
      </w:tr>
      <w:tr>
        <w:trPr>
          <w:trHeight w:val="180"/>
        </w:trPr>
        <w:tc>
          <w:tcPr>
            <w:tcW w:w="1940" w:type="dxa"/>
            <w:vAlign w:val="bottom"/>
          </w:tcPr>
          <w:p>
            <w:pPr>
              <w:spacing w:after="0"/>
              <w:rPr>
                <w:sz w:val="15"/>
                <w:szCs w:val="15"/>
                <w:color w:val="auto"/>
              </w:rPr>
            </w:pPr>
          </w:p>
        </w:tc>
        <w:tc>
          <w:tcPr>
            <w:tcW w:w="5260" w:type="dxa"/>
            <w:vAlign w:val="bottom"/>
            <w:gridSpan w:val="2"/>
          </w:tcPr>
          <w:p>
            <w:pPr>
              <w:jc w:val="center"/>
              <w:ind w:right="1649"/>
              <w:spacing w:after="0"/>
              <w:rPr>
                <w:sz w:val="20"/>
                <w:szCs w:val="20"/>
                <w:color w:val="auto"/>
              </w:rPr>
            </w:pPr>
            <w:r>
              <w:rPr>
                <w:rFonts w:ascii="Times New Roman" w:cs="Times New Roman" w:eastAsia="Times New Roman" w:hAnsi="Times New Roman"/>
                <w:sz w:val="14"/>
                <w:szCs w:val="14"/>
                <w:b w:val="1"/>
                <w:bCs w:val="1"/>
                <w:color w:val="auto"/>
              </w:rPr>
              <w:t>Somerset, NJ 08873</w:t>
            </w:r>
          </w:p>
        </w:tc>
      </w:tr>
      <w:tr>
        <w:trPr>
          <w:trHeight w:val="186"/>
        </w:trPr>
        <w:tc>
          <w:tcPr>
            <w:tcW w:w="194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(908) 518-0500</w:t>
            </w:r>
          </w:p>
        </w:tc>
        <w:tc>
          <w:tcPr>
            <w:tcW w:w="1740" w:type="dxa"/>
            <w:vAlign w:val="bottom"/>
          </w:tcPr>
          <w:p>
            <w:pPr>
              <w:spacing w:after="0"/>
              <w:rPr>
                <w:sz w:val="16"/>
                <w:szCs w:val="16"/>
                <w:color w:val="auto"/>
              </w:rPr>
            </w:pPr>
          </w:p>
        </w:tc>
      </w:tr>
    </w:tbl>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162560</wp:posOffset>
            </wp:positionV>
            <wp:extent cx="22371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7105" cy="698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400" w:type="dxa"/>
            <w:vAlign w:val="bottom"/>
          </w:tcPr>
          <w:p>
            <w:pPr>
              <w:spacing w:after="0"/>
              <w:rPr>
                <w:sz w:val="10"/>
                <w:szCs w:val="10"/>
                <w:color w:val="auto"/>
              </w:rPr>
            </w:pPr>
          </w:p>
        </w:tc>
        <w:tc>
          <w:tcPr>
            <w:tcW w:w="2720" w:type="dxa"/>
            <w:vAlign w:val="bottom"/>
            <w:gridSpan w:val="3"/>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2760" w:type="dxa"/>
            <w:vAlign w:val="bottom"/>
            <w:gridSpan w:val="2"/>
          </w:tcPr>
          <w:p>
            <w:pPr>
              <w:jc w:val="center"/>
              <w:ind w:right="66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20"/>
        </w:trPr>
        <w:tc>
          <w:tcPr>
            <w:tcW w:w="2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5800" w:type="dxa"/>
            <w:vAlign w:val="bottom"/>
            <w:gridSpan w:val="3"/>
          </w:tcPr>
          <w:p>
            <w:pPr>
              <w:jc w:val="center"/>
              <w:ind w:left="84"/>
              <w:spacing w:after="0"/>
              <w:rPr>
                <w:sz w:val="20"/>
                <w:szCs w:val="20"/>
                <w:color w:val="auto"/>
              </w:rPr>
            </w:pPr>
            <w:r>
              <w:rPr>
                <w:rFonts w:ascii="Times New Roman" w:cs="Times New Roman" w:eastAsia="Times New Roman" w:hAnsi="Times New Roman"/>
                <w:sz w:val="11"/>
                <w:szCs w:val="11"/>
                <w:color w:val="auto"/>
              </w:rPr>
              <w:t>Class A Common Stock, $0.0001 par value per share</w:t>
            </w:r>
          </w:p>
        </w:tc>
        <w:tc>
          <w:tcPr>
            <w:tcW w:w="660" w:type="dxa"/>
            <w:vAlign w:val="bottom"/>
          </w:tcPr>
          <w:p>
            <w:pPr>
              <w:spacing w:after="0"/>
              <w:rPr>
                <w:sz w:val="15"/>
                <w:szCs w:val="15"/>
                <w:color w:val="auto"/>
              </w:rPr>
            </w:pPr>
          </w:p>
        </w:tc>
        <w:tc>
          <w:tcPr>
            <w:tcW w:w="2060" w:type="dxa"/>
            <w:vAlign w:val="bottom"/>
            <w:gridSpan w:val="2"/>
          </w:tcPr>
          <w:p>
            <w:pPr>
              <w:jc w:val="center"/>
              <w:ind w:right="1300"/>
              <w:spacing w:after="0"/>
              <w:rPr>
                <w:sz w:val="20"/>
                <w:szCs w:val="20"/>
                <w:color w:val="auto"/>
              </w:rPr>
            </w:pPr>
            <w:r>
              <w:rPr>
                <w:rFonts w:ascii="Times New Roman" w:cs="Times New Roman" w:eastAsia="Times New Roman" w:hAnsi="Times New Roman"/>
                <w:sz w:val="11"/>
                <w:szCs w:val="11"/>
                <w:color w:val="auto"/>
              </w:rPr>
              <w:t>CMPO</w:t>
            </w:r>
          </w:p>
        </w:tc>
        <w:tc>
          <w:tcPr>
            <w:tcW w:w="2760" w:type="dxa"/>
            <w:vAlign w:val="bottom"/>
            <w:gridSpan w:val="2"/>
          </w:tcPr>
          <w:p>
            <w:pPr>
              <w:jc w:val="center"/>
              <w:ind w:right="660"/>
              <w:spacing w:after="0"/>
              <w:rPr>
                <w:sz w:val="20"/>
                <w:szCs w:val="20"/>
                <w:color w:val="auto"/>
              </w:rPr>
            </w:pPr>
            <w:r>
              <w:rPr>
                <w:rFonts w:ascii="Times New Roman" w:cs="Times New Roman" w:eastAsia="Times New Roman" w:hAnsi="Times New Roman"/>
                <w:sz w:val="11"/>
                <w:szCs w:val="11"/>
                <w:color w:val="auto"/>
              </w:rPr>
              <w:t>The Nasdaq Global Market</w:t>
            </w:r>
          </w:p>
        </w:tc>
      </w:tr>
      <w:tr>
        <w:trPr>
          <w:trHeight w:val="180"/>
        </w:trPr>
        <w:tc>
          <w:tcPr>
            <w:tcW w:w="5800" w:type="dxa"/>
            <w:vAlign w:val="bottom"/>
            <w:gridSpan w:val="3"/>
          </w:tcPr>
          <w:p>
            <w:pPr>
              <w:jc w:val="center"/>
              <w:ind w:left="64"/>
              <w:spacing w:after="0"/>
              <w:rPr>
                <w:sz w:val="20"/>
                <w:szCs w:val="20"/>
                <w:color w:val="auto"/>
              </w:rPr>
            </w:pPr>
            <w:r>
              <w:rPr>
                <w:rFonts w:ascii="Times New Roman" w:cs="Times New Roman" w:eastAsia="Times New Roman" w:hAnsi="Times New Roman"/>
                <w:sz w:val="11"/>
                <w:szCs w:val="11"/>
                <w:color w:val="auto"/>
              </w:rPr>
              <w:t>Redeemable Warrants, each whole warrant exercisable for one share of Class A Common Stock</w:t>
            </w:r>
          </w:p>
        </w:tc>
        <w:tc>
          <w:tcPr>
            <w:tcW w:w="660" w:type="dxa"/>
            <w:vAlign w:val="bottom"/>
          </w:tcPr>
          <w:p>
            <w:pPr>
              <w:spacing w:after="0"/>
              <w:rPr>
                <w:sz w:val="15"/>
                <w:szCs w:val="15"/>
                <w:color w:val="auto"/>
              </w:rPr>
            </w:pPr>
          </w:p>
        </w:tc>
        <w:tc>
          <w:tcPr>
            <w:tcW w:w="2060" w:type="dxa"/>
            <w:vAlign w:val="bottom"/>
            <w:gridSpan w:val="2"/>
          </w:tcPr>
          <w:p>
            <w:pPr>
              <w:jc w:val="center"/>
              <w:ind w:right="1280"/>
              <w:spacing w:after="0"/>
              <w:rPr>
                <w:sz w:val="20"/>
                <w:szCs w:val="20"/>
                <w:color w:val="auto"/>
              </w:rPr>
            </w:pPr>
            <w:r>
              <w:rPr>
                <w:rFonts w:ascii="Times New Roman" w:cs="Times New Roman" w:eastAsia="Times New Roman" w:hAnsi="Times New Roman"/>
                <w:sz w:val="11"/>
                <w:szCs w:val="11"/>
                <w:color w:val="auto"/>
              </w:rPr>
              <w:t>CMPOW</w:t>
            </w:r>
          </w:p>
        </w:tc>
        <w:tc>
          <w:tcPr>
            <w:tcW w:w="2760" w:type="dxa"/>
            <w:vAlign w:val="bottom"/>
            <w:gridSpan w:val="2"/>
          </w:tcPr>
          <w:p>
            <w:pPr>
              <w:jc w:val="center"/>
              <w:ind w:right="660"/>
              <w:spacing w:after="0"/>
              <w:rPr>
                <w:sz w:val="20"/>
                <w:szCs w:val="20"/>
                <w:color w:val="auto"/>
              </w:rPr>
            </w:pPr>
            <w:r>
              <w:rPr>
                <w:rFonts w:ascii="Times New Roman" w:cs="Times New Roman" w:eastAsia="Times New Roman" w:hAnsi="Times New Roman"/>
                <w:sz w:val="11"/>
                <w:szCs w:val="11"/>
                <w:color w:val="auto"/>
              </w:rPr>
              <w:t>The Nasdaq Global Market</w:t>
            </w:r>
          </w:p>
        </w:tc>
      </w:tr>
      <w:tr>
        <w:trPr>
          <w:trHeight w:val="1269"/>
        </w:trPr>
        <w:tc>
          <w:tcPr>
            <w:tcW w:w="2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 w:name="page2"/>
    <w:bookmarkEnd w:id="1"/>
    <w:p>
      <w:pPr>
        <w:ind w:firstLine="286"/>
        <w:spacing w:after="0" w:line="21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0"/>
          <w:szCs w:val="20"/>
          <w:color w:val="auto"/>
        </w:rPr>
      </w:pPr>
    </w:p>
    <w:p>
      <w:pPr>
        <w:ind w:firstLine="286"/>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0"/>
          <w:szCs w:val="20"/>
          <w:color w:val="auto"/>
        </w:rPr>
      </w:pPr>
    </w:p>
    <w:p>
      <w:pPr>
        <w:ind w:firstLine="286"/>
        <w:spacing w:after="0" w:line="33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72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2"/>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7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16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760" w:type="dxa"/>
            <w:vAlign w:val="bottom"/>
          </w:tcPr>
          <w:p>
            <w:pPr>
              <w:ind w:left="27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7" w:lineRule="exact"/>
        <w:rPr>
          <w:sz w:val="20"/>
          <w:szCs w:val="20"/>
          <w:color w:val="auto"/>
        </w:rPr>
      </w:pPr>
    </w:p>
    <w:p>
      <w:pPr>
        <w:ind w:firstLine="286"/>
        <w:spacing w:after="0" w:line="20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06" w:lineRule="exact"/>
        <w:rPr>
          <w:sz w:val="20"/>
          <w:szCs w:val="20"/>
          <w:color w:val="auto"/>
        </w:rPr>
      </w:pPr>
    </w:p>
    <w:p>
      <w:pPr>
        <w:ind w:left="30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5"/>
          <w:szCs w:val="15"/>
          <w:color w:val="auto"/>
        </w:rPr>
        <w:t>☒</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As of May 01, 2024, there were 20,632,837 shares of the registrant's Class A common stock outstanding and 59,958,422 shares of the registrant's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1069975</wp:posOffset>
            </wp:positionV>
            <wp:extent cx="71875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16216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162560</wp:posOffset>
            </wp:positionV>
            <wp:extent cx="716216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289"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2"/>
        </w:trPr>
        <w:tc>
          <w:tcPr>
            <w:tcW w:w="108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0000FF"/>
              </w:rPr>
              <w:t>Part I.</w:t>
            </w:r>
          </w:p>
        </w:tc>
        <w:tc>
          <w:tcPr>
            <w:tcW w:w="9520" w:type="dxa"/>
            <w:vAlign w:val="bottom"/>
            <w:gridSpan w:val="2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0000FF"/>
              </w:rPr>
              <w:t>Financial Information</w:t>
            </w: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080" w:type="dxa"/>
            <w:vAlign w:val="bottom"/>
            <w:gridSpan w:val="6"/>
            <w:vMerge w:val="continue"/>
          </w:tcPr>
          <w:p>
            <w:pPr>
              <w:spacing w:after="0"/>
              <w:rPr>
                <w:sz w:val="12"/>
                <w:szCs w:val="12"/>
                <w:color w:val="auto"/>
              </w:rPr>
            </w:pPr>
          </w:p>
        </w:tc>
        <w:tc>
          <w:tcPr>
            <w:tcW w:w="9520" w:type="dxa"/>
            <w:vAlign w:val="bottom"/>
            <w:gridSpan w:val="20"/>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95"/>
              </w:rPr>
              <w:t>Item 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5"/>
              </w:rPr>
              <w:t>Financial Statements</w:t>
            </w:r>
          </w:p>
        </w:tc>
        <w:tc>
          <w:tcPr>
            <w:tcW w:w="8140" w:type="dxa"/>
            <w:vAlign w:val="bottom"/>
            <w:gridSpan w:val="12"/>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Consolidated Balance Sheets (Unaudited)</w:t>
            </w:r>
          </w:p>
        </w:tc>
        <w:tc>
          <w:tcPr>
            <w:tcW w:w="6920" w:type="dxa"/>
            <w:vAlign w:val="bottom"/>
            <w:gridSpan w:val="9"/>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9"/>
              </w:rPr>
              <w:t>Consolidated Statements of Operations (Unaudited)</w:t>
            </w:r>
          </w:p>
        </w:tc>
        <w:tc>
          <w:tcPr>
            <w:tcW w:w="6360" w:type="dxa"/>
            <w:vAlign w:val="bottom"/>
            <w:gridSpan w:val="8"/>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(Unaudited)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Deficit (Unaudited)</w:t>
            </w:r>
          </w:p>
        </w:tc>
        <w:tc>
          <w:tcPr>
            <w:tcW w:w="5640" w:type="dxa"/>
            <w:vAlign w:val="bottom"/>
            <w:gridSpan w:val="2"/>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Cash Flows (Unaudited)</w:t>
            </w:r>
          </w:p>
        </w:tc>
        <w:tc>
          <w:tcPr>
            <w:tcW w:w="5780" w:type="dxa"/>
            <w:vAlign w:val="bottom"/>
            <w:gridSpan w:val="3"/>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0000FF"/>
                <w:w w:val="95"/>
              </w:rPr>
              <w:t>Item 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95"/>
              </w:rPr>
              <w:t>Item 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w w:val="99"/>
              </w:rPr>
              <w:t>Quantitative and Qualitative Disclosures About Market Risk</w:t>
            </w:r>
          </w:p>
        </w:tc>
        <w:tc>
          <w:tcPr>
            <w:tcW w:w="1620" w:type="dxa"/>
            <w:vAlign w:val="bottom"/>
            <w:tcBorders>
              <w:top w:val="single" w:sz="8" w:color="0000FF"/>
            </w:tcBorders>
            <w:gridSpan w:val="3"/>
          </w:tcPr>
          <w:p>
            <w:pPr>
              <w:spacing w:after="0"/>
              <w:rPr>
                <w:sz w:val="17"/>
                <w:szCs w:val="17"/>
                <w:color w:val="auto"/>
              </w:rPr>
            </w:pPr>
          </w:p>
        </w:tc>
        <w:tc>
          <w:tcPr>
            <w:tcW w:w="42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0000FF"/>
                <w:w w:val="95"/>
              </w:rPr>
              <w:t>Item 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400" w:type="dxa"/>
            <w:vAlign w:val="bottom"/>
          </w:tcPr>
          <w:p>
            <w:pPr>
              <w:spacing w:after="0"/>
              <w:rPr>
                <w:sz w:val="17"/>
                <w:szCs w:val="17"/>
                <w:color w:val="auto"/>
              </w:rPr>
            </w:pPr>
          </w:p>
        </w:tc>
        <w:tc>
          <w:tcPr>
            <w:tcW w:w="9520" w:type="dxa"/>
            <w:vAlign w:val="bottom"/>
            <w:gridSpan w:val="20"/>
          </w:tcPr>
          <w:p>
            <w:pPr>
              <w:ind w:left="20"/>
              <w:spacing w:after="0"/>
              <w:rPr>
                <w:sz w:val="20"/>
                <w:szCs w:val="20"/>
                <w:color w:val="auto"/>
              </w:rPr>
            </w:pPr>
            <w:r>
              <w:rPr>
                <w:rFonts w:ascii="Times New Roman" w:cs="Times New Roman" w:eastAsia="Times New Roman" w:hAnsi="Times New Roman"/>
                <w:sz w:val="14"/>
                <w:szCs w:val="14"/>
                <w:b w:val="1"/>
                <w:bCs w:val="1"/>
                <w:color w:val="0000FF"/>
              </w:rPr>
              <w:t>Other Information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0000FF"/>
                <w:w w:val="95"/>
              </w:rPr>
              <w:t>Item 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w w:val="96"/>
              </w:rPr>
              <w:t>Item 1A.</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0000FF"/>
                <w:w w:val="95"/>
              </w:rPr>
              <w:t>Item 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95"/>
              </w:rPr>
              <w:t>Item 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7"/>
              </w:rPr>
              <w:t>Defaults Upon Senior Securities</w:t>
            </w:r>
          </w:p>
        </w:tc>
        <w:tc>
          <w:tcPr>
            <w:tcW w:w="1580" w:type="dxa"/>
            <w:vAlign w:val="bottom"/>
            <w:tcBorders>
              <w:top w:val="single" w:sz="8" w:color="0000FF"/>
            </w:tcBorders>
            <w:gridSpan w:val="5"/>
          </w:tcPr>
          <w:p>
            <w:pPr>
              <w:spacing w:after="0"/>
              <w:rPr>
                <w:sz w:val="17"/>
                <w:szCs w:val="17"/>
                <w:color w:val="auto"/>
              </w:rPr>
            </w:pPr>
          </w:p>
        </w:tc>
        <w:tc>
          <w:tcPr>
            <w:tcW w:w="5920" w:type="dxa"/>
            <w:vAlign w:val="bottom"/>
            <w:gridSpan w:val="5"/>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0000FF"/>
                <w:w w:val="95"/>
              </w:rPr>
              <w:t>Item 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95"/>
              </w:rPr>
              <w:t>Item 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940" w:type="dxa"/>
            <w:vAlign w:val="bottom"/>
            <w:gridSpan w:val="11"/>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95"/>
              </w:rPr>
              <w:t>Item 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Exhibits</w:t>
            </w:r>
          </w:p>
        </w:tc>
        <w:tc>
          <w:tcPr>
            <w:tcW w:w="8280" w:type="dxa"/>
            <w:vAlign w:val="bottom"/>
            <w:gridSpan w:val="14"/>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0000FF"/>
              </w:rPr>
              <w:t>Signatures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796"/>
        </w:trPr>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9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This report,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 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 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spacing w:after="0" w:line="164"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14"/>
          <w:szCs w:val="14"/>
          <w:color w:val="auto"/>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spacing w:after="0" w:line="177" w:lineRule="exact"/>
        <w:rPr>
          <w:sz w:val="20"/>
          <w:szCs w:val="20"/>
          <w:color w:val="auto"/>
        </w:rPr>
      </w:pPr>
    </w:p>
    <w:p>
      <w:pPr>
        <w:ind w:left="500" w:hanging="241"/>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the ability of the Company to grow and manage growth profitably, maintain relationships with customers, compete within its industry and retain its key employees;</w:t>
      </w:r>
    </w:p>
    <w:p>
      <w:pPr>
        <w:spacing w:after="0" w:line="206" w:lineRule="exact"/>
        <w:rPr>
          <w:rFonts w:ascii="Arial" w:cs="Arial" w:eastAsia="Arial" w:hAnsi="Arial"/>
          <w:sz w:val="17"/>
          <w:szCs w:val="17"/>
          <w:color w:val="auto"/>
        </w:rPr>
      </w:pPr>
    </w:p>
    <w:p>
      <w:pPr>
        <w:ind w:left="500" w:hanging="241"/>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the possibility that the Company may be adversely impacted by other global economic, business, and/or competitive factors;</w:t>
      </w:r>
    </w:p>
    <w:p>
      <w:pPr>
        <w:spacing w:after="0" w:line="176" w:lineRule="exact"/>
        <w:rPr>
          <w:rFonts w:ascii="Arial" w:cs="Arial" w:eastAsia="Arial" w:hAnsi="Arial"/>
          <w:sz w:val="17"/>
          <w:szCs w:val="17"/>
          <w:color w:val="auto"/>
        </w:rPr>
      </w:pPr>
    </w:p>
    <w:p>
      <w:pPr>
        <w:ind w:left="500" w:hanging="241"/>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legal proceedings that may be instituted against the Company or others;</w:t>
      </w:r>
    </w:p>
    <w:p>
      <w:pPr>
        <w:spacing w:after="0" w:line="208" w:lineRule="exact"/>
        <w:rPr>
          <w:rFonts w:ascii="Times New Roman" w:cs="Times New Roman" w:eastAsia="Times New Roman" w:hAnsi="Times New Roman"/>
          <w:sz w:val="14"/>
          <w:szCs w:val="14"/>
          <w:color w:val="auto"/>
        </w:rPr>
      </w:pPr>
    </w:p>
    <w:p>
      <w:pPr>
        <w:ind w:left="500" w:hanging="241"/>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future exchange and interest rates; and</w:t>
      </w:r>
    </w:p>
    <w:p>
      <w:pPr>
        <w:spacing w:after="0" w:line="196" w:lineRule="exact"/>
        <w:rPr>
          <w:rFonts w:ascii="Arial" w:cs="Arial" w:eastAsia="Arial" w:hAnsi="Arial"/>
          <w:sz w:val="17"/>
          <w:szCs w:val="17"/>
          <w:color w:val="auto"/>
        </w:rPr>
      </w:pPr>
    </w:p>
    <w:p>
      <w:pPr>
        <w:ind w:left="500" w:hanging="241"/>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other risks and uncertainties indicated in this report, including those under “Risk Factors” herein, and other filings that have been made or will be made with the SEC.</w:t>
      </w:r>
    </w:p>
    <w:p>
      <w:pPr>
        <w:spacing w:after="0" w:line="17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These and other factors that could cause actual results to differ from those implied by the forward-looking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477520</wp:posOffset>
            </wp:positionV>
            <wp:extent cx="71875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633" w:right="339" w:bottom="1440" w:gutter="0" w:footer="0" w:header="0"/>
        </w:sectPr>
      </w:pPr>
    </w:p>
    <w:bookmarkStart w:id="4" w:name="page5"/>
    <w:bookmarkEnd w:id="4"/>
    <w:p>
      <w:pPr>
        <w:jc w:val="right"/>
        <w:ind w:right="3639"/>
        <w:spacing w:after="0"/>
        <w:rPr>
          <w:sz w:val="20"/>
          <w:szCs w:val="20"/>
          <w:color w:val="auto"/>
        </w:rPr>
      </w:pPr>
      <w:r>
        <w:rPr>
          <w:rFonts w:ascii="Times New Roman" w:cs="Times New Roman" w:eastAsia="Times New Roman" w:hAnsi="Times New Roman"/>
          <w:sz w:val="14"/>
          <w:szCs w:val="14"/>
          <w:b w:val="1"/>
          <w:bCs w:val="1"/>
          <w:color w:val="auto"/>
        </w:rPr>
        <w:t>Part I -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159"/>
          </w:cols>
          <w:pgMar w:left="300" w:top="504"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in thousands, except par value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05421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215" cy="69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0" w:type="dxa"/>
            <w:vAlign w:val="bottom"/>
          </w:tcPr>
          <w:p>
            <w:pPr>
              <w:spacing w:after="0"/>
              <w:rPr>
                <w:sz w:val="11"/>
                <w:szCs w:val="11"/>
                <w:color w:val="auto"/>
              </w:rPr>
            </w:pPr>
          </w:p>
        </w:tc>
        <w:tc>
          <w:tcPr>
            <w:tcW w:w="1160" w:type="dxa"/>
            <w:vAlign w:val="bottom"/>
          </w:tcPr>
          <w:p>
            <w:pPr>
              <w:jc w:val="center"/>
              <w:ind w:left="464"/>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jc w:val="right"/>
              <w:ind w:right="46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8"/>
        </w:trPr>
        <w:tc>
          <w:tcPr>
            <w:tcW w:w="7800" w:type="dxa"/>
            <w:vAlign w:val="bottom"/>
          </w:tcPr>
          <w:p>
            <w:pPr>
              <w:spacing w:after="0"/>
              <w:rPr>
                <w:sz w:val="12"/>
                <w:szCs w:val="12"/>
                <w:color w:val="auto"/>
              </w:rPr>
            </w:pPr>
          </w:p>
        </w:tc>
        <w:tc>
          <w:tcPr>
            <w:tcW w:w="1160" w:type="dxa"/>
            <w:vAlign w:val="bottom"/>
          </w:tcPr>
          <w:p>
            <w:pPr>
              <w:jc w:val="center"/>
              <w:ind w:left="48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ind w:right="68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9"/>
        </w:trPr>
        <w:tc>
          <w:tcPr>
            <w:tcW w:w="78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1"/>
        </w:trPr>
        <w:tc>
          <w:tcPr>
            <w:tcW w:w="7800" w:type="dxa"/>
            <w:vAlign w:val="bottom"/>
          </w:tcPr>
          <w:p>
            <w:pPr>
              <w:spacing w:after="0"/>
              <w:rPr>
                <w:sz w:val="14"/>
                <w:szCs w:val="14"/>
                <w:color w:val="auto"/>
              </w:rPr>
            </w:pPr>
          </w:p>
        </w:tc>
        <w:tc>
          <w:tcPr>
            <w:tcW w:w="1160" w:type="dxa"/>
            <w:vAlign w:val="bottom"/>
          </w:tcPr>
          <w:p>
            <w:pPr>
              <w:jc w:val="center"/>
              <w:ind w:left="464"/>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0"/>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7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6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55,146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41,216</w:t>
            </w:r>
          </w:p>
        </w:tc>
      </w:tr>
      <w:tr>
        <w:trPr>
          <w:trHeight w:val="170"/>
        </w:trPr>
        <w:tc>
          <w:tcPr>
            <w:tcW w:w="780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Accounts receivable, net</w:t>
            </w:r>
          </w:p>
        </w:tc>
        <w:tc>
          <w:tcPr>
            <w:tcW w:w="1160" w:type="dxa"/>
            <w:vAlign w:val="bottom"/>
          </w:tcPr>
          <w:p>
            <w:pPr>
              <w:spacing w:after="0"/>
              <w:rPr>
                <w:sz w:val="14"/>
                <w:szCs w:val="1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35,110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40,488</w:t>
            </w:r>
          </w:p>
        </w:tc>
      </w:tr>
      <w:tr>
        <w:trPr>
          <w:trHeight w:val="189"/>
        </w:trPr>
        <w:tc>
          <w:tcPr>
            <w:tcW w:w="7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Inventories</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55,197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52,540</w:t>
            </w:r>
          </w:p>
        </w:tc>
      </w:tr>
      <w:tr>
        <w:trPr>
          <w:trHeight w:val="170"/>
        </w:trPr>
        <w:tc>
          <w:tcPr>
            <w:tcW w:w="78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5,252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5,133</w:t>
            </w:r>
          </w:p>
        </w:tc>
      </w:tr>
      <w:tr>
        <w:trPr>
          <w:trHeight w:val="180"/>
        </w:trPr>
        <w:tc>
          <w:tcPr>
            <w:tcW w:w="78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Total current assets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150,705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139,377</w:t>
            </w:r>
          </w:p>
        </w:tc>
      </w:tr>
      <w:tr>
        <w:trPr>
          <w:trHeight w:val="159"/>
        </w:trPr>
        <w:tc>
          <w:tcPr>
            <w:tcW w:w="7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24,604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25,212</w:t>
            </w:r>
          </w:p>
        </w:tc>
      </w:tr>
      <w:tr>
        <w:trPr>
          <w:trHeight w:val="170"/>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 of use assets, net</w:t>
            </w:r>
          </w:p>
        </w:tc>
        <w:tc>
          <w:tcPr>
            <w:tcW w:w="1160" w:type="dxa"/>
            <w:vAlign w:val="bottom"/>
          </w:tcPr>
          <w:p>
            <w:pPr>
              <w:spacing w:after="0"/>
              <w:rPr>
                <w:sz w:val="14"/>
                <w:szCs w:val="1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6,964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7,473</w:t>
            </w:r>
          </w:p>
        </w:tc>
      </w:tr>
      <w:tr>
        <w:trPr>
          <w:trHeight w:val="18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25,529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23,697</w:t>
            </w:r>
          </w:p>
        </w:tc>
      </w:tr>
      <w:tr>
        <w:trPr>
          <w:trHeight w:val="170"/>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 asset - interest rate swap</w:t>
            </w:r>
          </w:p>
        </w:tc>
        <w:tc>
          <w:tcPr>
            <w:tcW w:w="1160" w:type="dxa"/>
            <w:vAlign w:val="bottom"/>
          </w:tcPr>
          <w:p>
            <w:pPr>
              <w:spacing w:after="0"/>
              <w:rPr>
                <w:sz w:val="14"/>
                <w:szCs w:val="1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5,745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5,258</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Deposits and other assets</w:t>
            </w:r>
          </w:p>
        </w:tc>
        <w:tc>
          <w:tcPr>
            <w:tcW w:w="1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80"/>
        </w:trPr>
        <w:tc>
          <w:tcPr>
            <w:tcW w:w="780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Total assets</w:t>
            </w:r>
          </w:p>
        </w:tc>
        <w:tc>
          <w:tcPr>
            <w:tcW w:w="116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213,571</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201,041</w:t>
            </w:r>
          </w:p>
        </w:tc>
      </w:tr>
      <w:tr>
        <w:trPr>
          <w:trHeight w:val="71"/>
        </w:trPr>
        <w:tc>
          <w:tcPr>
            <w:tcW w:w="78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170"/>
        </w:trPr>
        <w:tc>
          <w:tcPr>
            <w:tcW w:w="7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STOCKHOLDERS' DEFICIT</w:t>
            </w:r>
          </w:p>
        </w:tc>
        <w:tc>
          <w:tcPr>
            <w:tcW w:w="11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400" w:type="dxa"/>
            <w:vAlign w:val="bottom"/>
            <w:tcBorders>
              <w:top w:val="single" w:sz="8" w:color="CCEEFF"/>
            </w:tcBorders>
          </w:tcPr>
          <w:p>
            <w:pPr>
              <w:spacing w:after="0"/>
              <w:rPr>
                <w:sz w:val="14"/>
                <w:szCs w:val="14"/>
                <w:color w:val="auto"/>
              </w:rPr>
            </w:pPr>
          </w:p>
        </w:tc>
      </w:tr>
      <w:tr>
        <w:trPr>
          <w:trHeight w:val="18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0"/>
        </w:trPr>
        <w:tc>
          <w:tcPr>
            <w:tcW w:w="780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Accounts payable</w:t>
            </w:r>
          </w:p>
        </w:tc>
        <w:tc>
          <w:tcPr>
            <w:tcW w:w="1160" w:type="dxa"/>
            <w:vAlign w:val="bottom"/>
          </w:tcPr>
          <w:p>
            <w:pPr>
              <w:spacing w:after="0"/>
              <w:rPr>
                <w:sz w:val="14"/>
                <w:szCs w:val="1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4,747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5,193</w:t>
            </w:r>
          </w:p>
        </w:tc>
      </w:tr>
      <w:tr>
        <w:trPr>
          <w:trHeight w:val="189"/>
        </w:trPr>
        <w:tc>
          <w:tcPr>
            <w:tcW w:w="7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Accrued expenses</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13,473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11,986</w:t>
            </w:r>
          </w:p>
        </w:tc>
      </w:tr>
      <w:tr>
        <w:trPr>
          <w:trHeight w:val="170"/>
        </w:trPr>
        <w:tc>
          <w:tcPr>
            <w:tcW w:w="780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Commission payable</w:t>
            </w:r>
          </w:p>
        </w:tc>
        <w:tc>
          <w:tcPr>
            <w:tcW w:w="1160" w:type="dxa"/>
            <w:vAlign w:val="bottom"/>
          </w:tcPr>
          <w:p>
            <w:pPr>
              <w:spacing w:after="0"/>
              <w:rPr>
                <w:sz w:val="14"/>
                <w:szCs w:val="1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5,442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4,429</w:t>
            </w:r>
          </w:p>
        </w:tc>
      </w:tr>
      <w:tr>
        <w:trPr>
          <w:trHeight w:val="189"/>
        </w:trPr>
        <w:tc>
          <w:tcPr>
            <w:tcW w:w="7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Bonus payable</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3,405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5,616</w:t>
            </w:r>
          </w:p>
        </w:tc>
      </w:tr>
      <w:tr>
        <w:trPr>
          <w:trHeight w:val="170"/>
        </w:trPr>
        <w:tc>
          <w:tcPr>
            <w:tcW w:w="780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1160" w:type="dxa"/>
            <w:vAlign w:val="bottom"/>
          </w:tcPr>
          <w:p>
            <w:pPr>
              <w:spacing w:after="0"/>
              <w:rPr>
                <w:sz w:val="14"/>
                <w:szCs w:val="1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11,875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10,313</w:t>
            </w:r>
          </w:p>
        </w:tc>
      </w:tr>
      <w:tr>
        <w:trPr>
          <w:trHeight w:val="189"/>
        </w:trPr>
        <w:tc>
          <w:tcPr>
            <w:tcW w:w="7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Current portion of lease liabilities</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1,988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1,948</w:t>
            </w:r>
          </w:p>
        </w:tc>
      </w:tr>
      <w:tr>
        <w:trPr>
          <w:trHeight w:val="170"/>
        </w:trPr>
        <w:tc>
          <w:tcPr>
            <w:tcW w:w="78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Current portion of tax receivable agreement liability</w:t>
            </w: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1,425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1,425</w:t>
            </w:r>
          </w:p>
        </w:tc>
      </w:tr>
      <w:tr>
        <w:trPr>
          <w:trHeight w:val="180"/>
        </w:trPr>
        <w:tc>
          <w:tcPr>
            <w:tcW w:w="78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42,355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40,910</w:t>
            </w:r>
          </w:p>
        </w:tc>
      </w:tr>
      <w:tr>
        <w:trPr>
          <w:trHeight w:val="159"/>
        </w:trPr>
        <w:tc>
          <w:tcPr>
            <w:tcW w:w="7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debt, net of deferred finance costs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192,299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198,331</w:t>
            </w:r>
          </w:p>
        </w:tc>
      </w:tr>
      <w:tr>
        <w:trPr>
          <w:trHeight w:val="170"/>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Convertible notes</w:t>
            </w:r>
          </w:p>
        </w:tc>
        <w:tc>
          <w:tcPr>
            <w:tcW w:w="1160" w:type="dxa"/>
            <w:vAlign w:val="bottom"/>
          </w:tcPr>
          <w:p>
            <w:pPr>
              <w:spacing w:after="0"/>
              <w:rPr>
                <w:sz w:val="14"/>
                <w:szCs w:val="1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127,959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127,832</w:t>
            </w:r>
          </w:p>
        </w:tc>
      </w:tr>
      <w:tr>
        <w:trPr>
          <w:trHeight w:val="18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 liability - convertible notes redemption make-whole provision</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722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w:t>
            </w:r>
          </w:p>
        </w:tc>
      </w:tr>
      <w:tr>
        <w:trPr>
          <w:trHeight w:val="170"/>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Warrant liability</w:t>
            </w:r>
          </w:p>
        </w:tc>
        <w:tc>
          <w:tcPr>
            <w:tcW w:w="1160" w:type="dxa"/>
            <w:vAlign w:val="bottom"/>
          </w:tcPr>
          <w:p>
            <w:pPr>
              <w:spacing w:after="0"/>
              <w:rPr>
                <w:sz w:val="14"/>
                <w:szCs w:val="1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15,691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8,294</w:t>
            </w:r>
          </w:p>
        </w:tc>
      </w:tr>
      <w:tr>
        <w:trPr>
          <w:trHeight w:val="18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liabilities, operating</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5,655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6,220</w:t>
            </w:r>
          </w:p>
        </w:tc>
      </w:tr>
      <w:tr>
        <w:trPr>
          <w:trHeight w:val="170"/>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Tax receivable agreement liability</w:t>
            </w:r>
          </w:p>
        </w:tc>
        <w:tc>
          <w:tcPr>
            <w:tcW w:w="1160" w:type="dxa"/>
            <w:vAlign w:val="bottom"/>
          </w:tcPr>
          <w:p>
            <w:pPr>
              <w:spacing w:after="0"/>
              <w:rPr>
                <w:sz w:val="14"/>
                <w:szCs w:val="1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23,949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23,949</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Earnout consideration liability</w:t>
            </w:r>
          </w:p>
        </w:tc>
        <w:tc>
          <w:tcPr>
            <w:tcW w:w="1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2,312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w:t>
            </w:r>
          </w:p>
        </w:tc>
      </w:tr>
      <w:tr>
        <w:trPr>
          <w:trHeight w:val="170"/>
        </w:trPr>
        <w:tc>
          <w:tcPr>
            <w:tcW w:w="780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Total liabilities</w:t>
            </w:r>
          </w:p>
        </w:tc>
        <w:tc>
          <w:tcPr>
            <w:tcW w:w="1160" w:type="dxa"/>
            <w:vAlign w:val="bottom"/>
          </w:tcPr>
          <w:p>
            <w:pPr>
              <w:spacing w:after="0"/>
              <w:rPr>
                <w:sz w:val="14"/>
                <w:szCs w:val="1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410,942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406,814</w:t>
            </w:r>
          </w:p>
        </w:tc>
      </w:tr>
      <w:tr>
        <w:trPr>
          <w:trHeight w:val="168"/>
        </w:trPr>
        <w:tc>
          <w:tcPr>
            <w:tcW w:w="78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70"/>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13)</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78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7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Redeemable non-controlling interest</w:t>
            </w: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596,587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596,587</w:t>
            </w:r>
          </w:p>
        </w:tc>
      </w:tr>
      <w:tr>
        <w:trPr>
          <w:trHeight w:val="116"/>
        </w:trPr>
        <w:tc>
          <w:tcPr>
            <w:tcW w:w="78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r>
      <w:tr>
        <w:trPr>
          <w:trHeight w:val="170"/>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stock, $0.0001 par value; 10,000,000 shares authorized, no shares issued and outstanding</w:t>
            </w:r>
          </w:p>
        </w:tc>
        <w:tc>
          <w:tcPr>
            <w:tcW w:w="1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A common stock, $0.0001 par value; 250,000,000 shares authorized, 20,598,246 and 19,415,123 shares issued and outstanding as of March 31, 2024 and December</w:t>
            </w: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7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31, 2023, respectively.</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2"/>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Class B common stock, $0.0001 par value; 75,000,000 shares authorized, 59,958,422 shares issued and outstanding as of March 31, 2024 and December 31, 2023,</w:t>
            </w: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7"/>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respectively.</w:t>
            </w:r>
          </w:p>
        </w:tc>
        <w:tc>
          <w:tcPr>
            <w:tcW w:w="1160" w:type="dxa"/>
            <w:vAlign w:val="bottom"/>
          </w:tcPr>
          <w:p>
            <w:pPr>
              <w:spacing w:after="0"/>
              <w:rPr>
                <w:sz w:val="14"/>
                <w:szCs w:val="1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8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40,494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39,466</w:t>
            </w:r>
          </w:p>
        </w:tc>
      </w:tr>
      <w:tr>
        <w:trPr>
          <w:trHeight w:val="170"/>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1160" w:type="dxa"/>
            <w:vAlign w:val="bottom"/>
          </w:tcPr>
          <w:p>
            <w:pPr>
              <w:spacing w:after="0"/>
              <w:rPr>
                <w:sz w:val="14"/>
                <w:szCs w:val="1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5,443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4,991</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Accumulated deficit</w:t>
            </w:r>
          </w:p>
        </w:tc>
        <w:tc>
          <w:tcPr>
            <w:tcW w:w="1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(839,903)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(846,825)</w:t>
            </w:r>
          </w:p>
        </w:tc>
      </w:tr>
      <w:tr>
        <w:trPr>
          <w:trHeight w:val="17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stockholders' deficit</w:t>
            </w: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(793,958)</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(802,360)</w:t>
            </w:r>
          </w:p>
        </w:tc>
      </w:tr>
      <w:tr>
        <w:trPr>
          <w:trHeight w:val="205"/>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AND STOCKHOLDERS' DEFICIT</w:t>
            </w:r>
          </w:p>
        </w:tc>
        <w:tc>
          <w:tcPr>
            <w:tcW w:w="1160" w:type="dxa"/>
            <w:vAlign w:val="bottom"/>
            <w:tcBorders>
              <w:bottom w:val="single" w:sz="8" w:color="auto"/>
            </w:tcBorders>
            <w:shd w:val="clear" w:color="auto" w:fill="CCEEFF"/>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213,571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201,041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89535</wp:posOffset>
            </wp:positionV>
            <wp:extent cx="71875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70" w:right="31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(Unaudited)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05421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215" cy="698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316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
        </w:trPr>
        <w:tc>
          <w:tcPr>
            <w:tcW w:w="70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1"/>
        </w:trPr>
        <w:tc>
          <w:tcPr>
            <w:tcW w:w="7040" w:type="dxa"/>
            <w:vAlign w:val="bottom"/>
          </w:tcPr>
          <w:p>
            <w:pPr>
              <w:spacing w:after="0"/>
              <w:rPr>
                <w:sz w:val="15"/>
                <w:szCs w:val="15"/>
                <w:color w:val="auto"/>
              </w:rPr>
            </w:pPr>
          </w:p>
        </w:tc>
        <w:tc>
          <w:tcPr>
            <w:tcW w:w="12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2"/>
        </w:trPr>
        <w:tc>
          <w:tcPr>
            <w:tcW w:w="70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9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220" w:type="dxa"/>
            <w:vAlign w:val="bottom"/>
            <w:tcBorders>
              <w:bottom w:val="single" w:sz="8" w:color="CCEEFF"/>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104,010</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95,316</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48,797</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41,962</w:t>
            </w:r>
          </w:p>
        </w:tc>
        <w:tc>
          <w:tcPr>
            <w:tcW w:w="80" w:type="dxa"/>
            <w:vAlign w:val="bottom"/>
          </w:tcPr>
          <w:p>
            <w:pPr>
              <w:spacing w:after="0"/>
              <w:rPr>
                <w:sz w:val="16"/>
                <w:szCs w:val="16"/>
                <w:color w:val="auto"/>
              </w:rPr>
            </w:pPr>
          </w:p>
        </w:tc>
      </w:tr>
      <w:tr>
        <w:trPr>
          <w:trHeight w:val="32"/>
        </w:trPr>
        <w:tc>
          <w:tcPr>
            <w:tcW w:w="70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93"/>
        </w:trPr>
        <w:tc>
          <w:tcPr>
            <w:tcW w:w="7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Gross profit</w:t>
            </w:r>
          </w:p>
        </w:tc>
        <w:tc>
          <w:tcPr>
            <w:tcW w:w="1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55,213</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53,354</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
        </w:trPr>
        <w:tc>
          <w:tcPr>
            <w:tcW w:w="7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7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24,077</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8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31,136</w:t>
            </w:r>
          </w:p>
        </w:tc>
        <w:tc>
          <w:tcPr>
            <w:tcW w:w="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29,410</w:t>
            </w:r>
          </w:p>
        </w:tc>
        <w:tc>
          <w:tcPr>
            <w:tcW w:w="80" w:type="dxa"/>
            <w:vAlign w:val="bottom"/>
          </w:tcPr>
          <w:p>
            <w:pPr>
              <w:spacing w:after="0"/>
              <w:rPr>
                <w:sz w:val="15"/>
                <w:szCs w:val="15"/>
                <w:color w:val="auto"/>
              </w:rPr>
            </w:pPr>
          </w:p>
        </w:tc>
      </w:tr>
      <w:tr>
        <w:trPr>
          <w:trHeight w:val="32"/>
        </w:trPr>
        <w:tc>
          <w:tcPr>
            <w:tcW w:w="70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07"/>
        </w:trPr>
        <w:tc>
          <w:tcPr>
            <w:tcW w:w="70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
        </w:trPr>
        <w:tc>
          <w:tcPr>
            <w:tcW w:w="7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7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Revaluation of earnout consideration liability</w:t>
            </w:r>
          </w:p>
        </w:tc>
        <w:tc>
          <w:tcPr>
            <w:tcW w:w="1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0"/>
        </w:trPr>
        <w:tc>
          <w:tcPr>
            <w:tcW w:w="7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Revaluation of warrant liability</w:t>
            </w:r>
          </w:p>
        </w:tc>
        <w:tc>
          <w:tcPr>
            <w:tcW w:w="1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(7,397)</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(10,759)</w:t>
            </w:r>
          </w:p>
        </w:tc>
        <w:tc>
          <w:tcPr>
            <w:tcW w:w="80" w:type="dxa"/>
            <w:vAlign w:val="bottom"/>
          </w:tcPr>
          <w:p>
            <w:pPr>
              <w:spacing w:after="0"/>
              <w:rPr>
                <w:sz w:val="16"/>
                <w:szCs w:val="16"/>
                <w:color w:val="auto"/>
              </w:rPr>
            </w:pPr>
          </w:p>
        </w:tc>
      </w:tr>
      <w:tr>
        <w:trPr>
          <w:trHeight w:val="32"/>
        </w:trPr>
        <w:tc>
          <w:tcPr>
            <w:tcW w:w="7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7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Change in fair value of derivative liability - convertible notes redemption make-whole provision</w:t>
            </w:r>
          </w:p>
        </w:tc>
        <w:tc>
          <w:tcPr>
            <w:tcW w:w="1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0"/>
        </w:trPr>
        <w:tc>
          <w:tcPr>
            <w:tcW w:w="7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Interest expense, net</w:t>
            </w:r>
          </w:p>
        </w:tc>
        <w:tc>
          <w:tcPr>
            <w:tcW w:w="1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(5,929)</w:t>
            </w:r>
          </w:p>
        </w:tc>
        <w:tc>
          <w:tcPr>
            <w:tcW w:w="80" w:type="dxa"/>
            <w:vAlign w:val="bottom"/>
          </w:tcPr>
          <w:p>
            <w:pPr>
              <w:spacing w:after="0"/>
              <w:rPr>
                <w:sz w:val="16"/>
                <w:szCs w:val="16"/>
                <w:color w:val="auto"/>
              </w:rPr>
            </w:pPr>
          </w:p>
        </w:tc>
      </w:tr>
      <w:tr>
        <w:trPr>
          <w:trHeight w:val="32"/>
        </w:trPr>
        <w:tc>
          <w:tcPr>
            <w:tcW w:w="7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7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81"/>
        </w:trPr>
        <w:tc>
          <w:tcPr>
            <w:tcW w:w="70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Total other (expense), net</w:t>
            </w:r>
          </w:p>
        </w:tc>
        <w:tc>
          <w:tcPr>
            <w:tcW w:w="1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(14,899)</w:t>
            </w:r>
          </w:p>
        </w:tc>
        <w:tc>
          <w:tcPr>
            <w:tcW w:w="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(19,936)</w:t>
            </w:r>
          </w:p>
        </w:tc>
        <w:tc>
          <w:tcPr>
            <w:tcW w:w="80" w:type="dxa"/>
            <w:vAlign w:val="bottom"/>
          </w:tcPr>
          <w:p>
            <w:pPr>
              <w:spacing w:after="0"/>
              <w:rPr>
                <w:sz w:val="15"/>
                <w:szCs w:val="15"/>
                <w:color w:val="auto"/>
              </w:rPr>
            </w:pPr>
          </w:p>
        </w:tc>
      </w:tr>
      <w:tr>
        <w:trPr>
          <w:trHeight w:val="32"/>
        </w:trPr>
        <w:tc>
          <w:tcPr>
            <w:tcW w:w="70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9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16,237</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9,474</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1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80" w:type="dxa"/>
            <w:vAlign w:val="bottom"/>
          </w:tcPr>
          <w:p>
            <w:pPr>
              <w:spacing w:after="0"/>
              <w:rPr>
                <w:sz w:val="16"/>
                <w:szCs w:val="16"/>
                <w:color w:val="auto"/>
              </w:rPr>
            </w:pPr>
          </w:p>
        </w:tc>
      </w:tr>
      <w:tr>
        <w:trPr>
          <w:trHeight w:val="32"/>
        </w:trPr>
        <w:tc>
          <w:tcPr>
            <w:tcW w:w="70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3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17,073</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05"/>
        </w:trPr>
        <w:tc>
          <w:tcPr>
            <w:tcW w:w="7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2"/>
        </w:trPr>
        <w:tc>
          <w:tcPr>
            <w:tcW w:w="7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income attributable to redeemable non-controlling interests</w:t>
            </w:r>
          </w:p>
        </w:tc>
        <w:tc>
          <w:tcPr>
            <w:tcW w:w="1220" w:type="dxa"/>
            <w:vAlign w:val="bottom"/>
            <w:tcBorders>
              <w:bottom w:val="single" w:sz="8" w:color="CCEEFF"/>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8,408</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0"/>
        </w:trPr>
        <w:tc>
          <w:tcPr>
            <w:tcW w:w="7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income attributable to CompoSecure, Inc.</w:t>
            </w: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80" w:type="dxa"/>
            <w:vAlign w:val="bottom"/>
          </w:tcPr>
          <w:p>
            <w:pPr>
              <w:spacing w:after="0"/>
              <w:rPr>
                <w:sz w:val="16"/>
                <w:szCs w:val="16"/>
                <w:color w:val="auto"/>
              </w:rPr>
            </w:pP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80" w:type="dxa"/>
            <w:vAlign w:val="bottom"/>
          </w:tcPr>
          <w:p>
            <w:pPr>
              <w:spacing w:after="0"/>
              <w:rPr>
                <w:sz w:val="16"/>
                <w:szCs w:val="16"/>
                <w:color w:val="auto"/>
              </w:rPr>
            </w:pPr>
          </w:p>
        </w:tc>
      </w:tr>
      <w:tr>
        <w:trPr>
          <w:trHeight w:val="32"/>
        </w:trPr>
        <w:tc>
          <w:tcPr>
            <w:tcW w:w="7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7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share attributable to Class A common stockholders - basic</w:t>
            </w: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tcPr>
          <w:p>
            <w:pPr>
              <w:spacing w:after="0"/>
              <w:rPr>
                <w:sz w:val="16"/>
                <w:szCs w:val="16"/>
                <w:color w:val="auto"/>
              </w:rPr>
            </w:pP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6"/>
                <w:szCs w:val="16"/>
                <w:color w:val="auto"/>
              </w:rPr>
            </w:pPr>
          </w:p>
        </w:tc>
      </w:tr>
      <w:tr>
        <w:trPr>
          <w:trHeight w:val="32"/>
        </w:trPr>
        <w:tc>
          <w:tcPr>
            <w:tcW w:w="7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share attributable to Class A common stockholders - diluted</w:t>
            </w:r>
          </w:p>
        </w:tc>
        <w:tc>
          <w:tcPr>
            <w:tcW w:w="1220" w:type="dxa"/>
            <w:vAlign w:val="bottom"/>
            <w:tcBorders>
              <w:bottom w:val="single" w:sz="8" w:color="CCEEFF"/>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12"/>
        </w:trPr>
        <w:tc>
          <w:tcPr>
            <w:tcW w:w="7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used to compute net income per share attributable to Class A common stockholders - basic (in</w:t>
            </w: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20,567</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17,632</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76"/>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used to compute net income per share attributable to Class A common stockholders - diluted (in</w:t>
            </w: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96,235</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94,736</w:t>
            </w:r>
          </w:p>
        </w:tc>
        <w:tc>
          <w:tcPr>
            <w:tcW w:w="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875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20"/>
          </w:cols>
          <w:pgMar w:left="300" w:top="361" w:right="67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(Unaudited)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6216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36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32"/>
        </w:trPr>
        <w:tc>
          <w:tcPr>
            <w:tcW w:w="62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1"/>
        </w:trPr>
        <w:tc>
          <w:tcPr>
            <w:tcW w:w="6280" w:type="dxa"/>
            <w:vAlign w:val="bottom"/>
          </w:tcPr>
          <w:p>
            <w:pPr>
              <w:spacing w:after="0"/>
              <w:rPr>
                <w:sz w:val="15"/>
                <w:szCs w:val="15"/>
                <w:color w:val="auto"/>
              </w:rPr>
            </w:pPr>
          </w:p>
        </w:tc>
        <w:tc>
          <w:tcPr>
            <w:tcW w:w="14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5"/>
                <w:szCs w:val="15"/>
                <w:color w:val="auto"/>
              </w:rPr>
            </w:pPr>
          </w:p>
        </w:tc>
      </w:tr>
      <w:tr>
        <w:trPr>
          <w:trHeight w:val="32"/>
        </w:trPr>
        <w:tc>
          <w:tcPr>
            <w:tcW w:w="6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440" w:type="dxa"/>
            <w:vAlign w:val="bottom"/>
            <w:tcBorders>
              <w:bottom w:val="single" w:sz="8" w:color="CCEEFF"/>
            </w:tcBorders>
            <w:shd w:val="clear" w:color="auto" w:fill="CCEEFF"/>
          </w:tcPr>
          <w:p>
            <w:pPr>
              <w:jc w:val="right"/>
              <w:ind w:right="129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17,073</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12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10,737</w:t>
            </w:r>
          </w:p>
        </w:tc>
      </w:tr>
      <w:tr>
        <w:trPr>
          <w:trHeight w:val="156"/>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income, net:</w:t>
            </w:r>
          </w:p>
        </w:tc>
        <w:tc>
          <w:tcPr>
            <w:tcW w:w="14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r>
      <w:tr>
        <w:trPr>
          <w:trHeight w:val="25"/>
        </w:trPr>
        <w:tc>
          <w:tcPr>
            <w:tcW w:w="6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1"/>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Unrealized gain (loss) on derivative - interest rate swap, (net of tax)</w:t>
            </w:r>
          </w:p>
        </w:tc>
        <w:tc>
          <w:tcPr>
            <w:tcW w:w="14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w:t>
            </w:r>
          </w:p>
        </w:tc>
      </w:tr>
      <w:tr>
        <w:trPr>
          <w:trHeight w:val="166"/>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 net</w:t>
            </w:r>
          </w:p>
        </w:tc>
        <w:tc>
          <w:tcPr>
            <w:tcW w:w="14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0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(1,649)</w:t>
            </w:r>
          </w:p>
        </w:tc>
      </w:tr>
      <w:tr>
        <w:trPr>
          <w:trHeight w:val="25"/>
        </w:trPr>
        <w:tc>
          <w:tcPr>
            <w:tcW w:w="6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440" w:type="dxa"/>
            <w:vAlign w:val="bottom"/>
            <w:tcBorders>
              <w:bottom w:val="single" w:sz="8" w:color="auto"/>
            </w:tcBorders>
            <w:shd w:val="clear" w:color="auto" w:fill="CCEEFF"/>
          </w:tcPr>
          <w:p>
            <w:pPr>
              <w:jc w:val="right"/>
              <w:ind w:right="129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17,525</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2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89535</wp:posOffset>
            </wp:positionV>
            <wp:extent cx="71875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580"/>
          </w:cols>
          <w:pgMar w:left="300" w:top="170" w:right="101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Deficit (Unaudited)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69202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0230"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020" w:type="dxa"/>
            <w:vAlign w:val="bottom"/>
          </w:tcPr>
          <w:p>
            <w:pPr>
              <w:spacing w:after="0"/>
              <w:rPr>
                <w:sz w:val="11"/>
                <w:szCs w:val="11"/>
                <w:color w:val="auto"/>
              </w:rPr>
            </w:pPr>
          </w:p>
        </w:tc>
        <w:tc>
          <w:tcPr>
            <w:tcW w:w="17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6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60" w:type="dxa"/>
            <w:vAlign w:val="bottom"/>
          </w:tcPr>
          <w:p>
            <w:pPr>
              <w:spacing w:after="0"/>
              <w:rPr>
                <w:sz w:val="11"/>
                <w:szCs w:val="11"/>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Additional Paid-in</w:t>
            </w:r>
          </w:p>
        </w:tc>
        <w:tc>
          <w:tcPr>
            <w:tcW w:w="80" w:type="dxa"/>
            <w:vAlign w:val="bottom"/>
          </w:tcPr>
          <w:p>
            <w:pPr>
              <w:spacing w:after="0"/>
              <w:rPr>
                <w:sz w:val="11"/>
                <w:szCs w:val="11"/>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100" w:type="dxa"/>
            <w:vAlign w:val="bottom"/>
          </w:tcPr>
          <w:p>
            <w:pPr>
              <w:spacing w:after="0"/>
              <w:rPr>
                <w:sz w:val="11"/>
                <w:szCs w:val="11"/>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0" w:type="dxa"/>
            <w:vAlign w:val="bottom"/>
            <w:tcBorders>
              <w:right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Total Stockholders'</w:t>
            </w:r>
          </w:p>
        </w:tc>
        <w:tc>
          <w:tcPr>
            <w:tcW w:w="60" w:type="dxa"/>
            <w:vAlign w:val="bottom"/>
          </w:tcPr>
          <w:p>
            <w:pPr>
              <w:spacing w:after="0"/>
              <w:rPr>
                <w:sz w:val="11"/>
                <w:szCs w:val="11"/>
                <w:color w:val="auto"/>
              </w:rPr>
            </w:pPr>
          </w:p>
        </w:tc>
        <w:tc>
          <w:tcPr>
            <w:tcW w:w="86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7"/>
              </w:rPr>
              <w:t>Redeemable Non-</w:t>
            </w:r>
          </w:p>
        </w:tc>
        <w:tc>
          <w:tcPr>
            <w:tcW w:w="0" w:type="dxa"/>
            <w:vAlign w:val="bottom"/>
          </w:tcPr>
          <w:p>
            <w:pPr>
              <w:spacing w:after="0"/>
              <w:rPr>
                <w:sz w:val="1"/>
                <w:szCs w:val="1"/>
                <w:color w:val="auto"/>
              </w:rPr>
            </w:pPr>
          </w:p>
        </w:tc>
      </w:tr>
      <w:tr>
        <w:trPr>
          <w:trHeight w:val="130"/>
        </w:trPr>
        <w:tc>
          <w:tcPr>
            <w:tcW w:w="3020" w:type="dxa"/>
            <w:vAlign w:val="bottom"/>
          </w:tcPr>
          <w:p>
            <w:pPr>
              <w:spacing w:after="0"/>
              <w:rPr>
                <w:sz w:val="11"/>
                <w:szCs w:val="11"/>
                <w:color w:val="auto"/>
              </w:rPr>
            </w:pPr>
          </w:p>
        </w:tc>
        <w:tc>
          <w:tcPr>
            <w:tcW w:w="1700" w:type="dxa"/>
            <w:vAlign w:val="bottom"/>
            <w:gridSpan w:val="5"/>
            <w:vMerge w:val="continue"/>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0" w:type="dxa"/>
            <w:vAlign w:val="bottom"/>
            <w:tcBorders>
              <w:right w:val="single" w:sz="8" w:color="auto"/>
            </w:tcBorders>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0" w:type="dxa"/>
            <w:vAlign w:val="bottom"/>
          </w:tcPr>
          <w:p>
            <w:pPr>
              <w:spacing w:after="0"/>
              <w:rPr>
                <w:sz w:val="1"/>
                <w:szCs w:val="1"/>
                <w:color w:val="auto"/>
              </w:rPr>
            </w:pPr>
          </w:p>
        </w:tc>
      </w:tr>
      <w:tr>
        <w:trPr>
          <w:trHeight w:val="23"/>
        </w:trPr>
        <w:tc>
          <w:tcPr>
            <w:tcW w:w="30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line="20" w:lineRule="exact"/>
              <w:rPr>
                <w:sz w:val="1"/>
                <w:szCs w:val="1"/>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180" w:type="dxa"/>
            <w:vAlign w:val="bottom"/>
          </w:tcPr>
          <w:p>
            <w:pPr>
              <w:spacing w:after="0" w:line="20" w:lineRule="exact"/>
              <w:rPr>
                <w:sz w:val="1"/>
                <w:szCs w:val="1"/>
                <w:color w:val="auto"/>
              </w:rPr>
            </w:pPr>
          </w:p>
        </w:tc>
        <w:tc>
          <w:tcPr>
            <w:tcW w:w="820" w:type="dxa"/>
            <w:vAlign w:val="bottom"/>
            <w:tcBorders>
              <w:right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60" w:type="dxa"/>
            <w:vAlign w:val="bottom"/>
          </w:tcPr>
          <w:p>
            <w:pPr>
              <w:spacing w:after="0" w:line="20" w:lineRule="exact"/>
              <w:rPr>
                <w:sz w:val="1"/>
                <w:szCs w:val="1"/>
                <w:color w:val="auto"/>
              </w:rPr>
            </w:pPr>
          </w:p>
        </w:tc>
        <w:tc>
          <w:tcPr>
            <w:tcW w:w="860" w:type="dxa"/>
            <w:vAlign w:val="bottom"/>
            <w:vMerge w:val="restart"/>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0" w:type="dxa"/>
            <w:vAlign w:val="bottom"/>
          </w:tcPr>
          <w:p>
            <w:pPr>
              <w:spacing w:after="0"/>
              <w:rPr>
                <w:sz w:val="1"/>
                <w:szCs w:val="1"/>
                <w:color w:val="auto"/>
              </w:rPr>
            </w:pPr>
          </w:p>
        </w:tc>
      </w:tr>
      <w:tr>
        <w:trPr>
          <w:trHeight w:val="126"/>
        </w:trPr>
        <w:tc>
          <w:tcPr>
            <w:tcW w:w="3020" w:type="dxa"/>
            <w:vAlign w:val="bottom"/>
          </w:tcPr>
          <w:p>
            <w:pPr>
              <w:spacing w:after="0"/>
              <w:rPr>
                <w:sz w:val="10"/>
                <w:szCs w:val="10"/>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0"/>
                <w:szCs w:val="10"/>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19,415,123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59,958,422</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39,466</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4,991</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(846,825)</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(802,360)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596,587</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Distributions to non-controlling interests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(10,151)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(10,151)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4,397</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4,397</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Proceeds from employee stock purchase plan and exercises of options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4,025</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4,025</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13,048</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equity awards, net of shares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1,183,123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withheld for taxes, and ESPP transactions</w:t>
            </w: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Class A common stock withheld related to net share settlement of equity</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(3,476)</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awards</w:t>
            </w:r>
          </w:p>
        </w:tc>
        <w:tc>
          <w:tcPr>
            <w:tcW w:w="9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Class B common stock</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exchanges</w:t>
            </w: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Unrealized loss on derivative - interest rate swap</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452</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452</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Adjustment of redeemable non-controlling interests to redemption value</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13,048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13,048</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(13,048)</w:t>
            </w:r>
          </w:p>
        </w:tc>
        <w:tc>
          <w:tcPr>
            <w:tcW w:w="0" w:type="dxa"/>
            <w:vAlign w:val="bottom"/>
          </w:tcPr>
          <w:p>
            <w:pPr>
              <w:spacing w:after="0"/>
              <w:rPr>
                <w:sz w:val="1"/>
                <w:szCs w:val="1"/>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20,598,246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59,958,422</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40,494</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5,443</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(839,903)</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(793,958)</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596,587</w:t>
            </w:r>
          </w:p>
        </w:tc>
        <w:tc>
          <w:tcPr>
            <w:tcW w:w="0" w:type="dxa"/>
            <w:vAlign w:val="bottom"/>
          </w:tcPr>
          <w:p>
            <w:pPr>
              <w:spacing w:after="0"/>
              <w:rPr>
                <w:sz w:val="1"/>
                <w:szCs w:val="1"/>
                <w:color w:val="auto"/>
              </w:rPr>
            </w:pPr>
          </w:p>
        </w:tc>
      </w:tr>
      <w:tr>
        <w:trPr>
          <w:trHeight w:val="123"/>
        </w:trPr>
        <w:tc>
          <w:tcPr>
            <w:tcW w:w="3020" w:type="dxa"/>
            <w:vAlign w:val="bottom"/>
          </w:tcPr>
          <w:p>
            <w:pPr>
              <w:spacing w:after="0"/>
              <w:rPr>
                <w:sz w:val="10"/>
                <w:szCs w:val="10"/>
                <w:color w:val="auto"/>
              </w:rPr>
            </w:pPr>
          </w:p>
        </w:tc>
        <w:tc>
          <w:tcPr>
            <w:tcW w:w="1620" w:type="dxa"/>
            <w:vAlign w:val="bottom"/>
            <w:tcBorders>
              <w:top w:val="single" w:sz="8" w:color="auto"/>
            </w:tcBorders>
            <w:gridSpan w:val="4"/>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80" w:type="dxa"/>
            <w:vAlign w:val="bottom"/>
            <w:vMerge w:val="restart"/>
          </w:tcPr>
          <w:p>
            <w:pPr>
              <w:spacing w:after="0"/>
              <w:rPr>
                <w:sz w:val="10"/>
                <w:szCs w:val="10"/>
                <w:color w:val="auto"/>
              </w:rPr>
            </w:pPr>
          </w:p>
        </w:tc>
        <w:tc>
          <w:tcPr>
            <w:tcW w:w="1540" w:type="dxa"/>
            <w:vAlign w:val="bottom"/>
            <w:tcBorders>
              <w:top w:val="single" w:sz="8" w:color="auto"/>
            </w:tcBorders>
            <w:gridSpan w:val="4"/>
            <w:vMerge w:val="restart"/>
          </w:tcPr>
          <w:p>
            <w:pPr>
              <w:ind w:left="28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80" w:type="dxa"/>
            <w:vAlign w:val="bottom"/>
            <w:vMerge w:val="restart"/>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8"/>
              </w:rPr>
              <w:t>Additional Paid-in</w:t>
            </w:r>
          </w:p>
        </w:tc>
        <w:tc>
          <w:tcPr>
            <w:tcW w:w="60" w:type="dxa"/>
            <w:vAlign w:val="bottom"/>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60" w:type="dxa"/>
            <w:vAlign w:val="bottom"/>
            <w:vMerge w:val="restart"/>
          </w:tcPr>
          <w:p>
            <w:pPr>
              <w:spacing w:after="0"/>
              <w:rPr>
                <w:sz w:val="10"/>
                <w:szCs w:val="10"/>
                <w:color w:val="auto"/>
              </w:rPr>
            </w:pPr>
          </w:p>
        </w:tc>
        <w:tc>
          <w:tcPr>
            <w:tcW w:w="9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Total Stockholders'</w:t>
            </w:r>
          </w:p>
        </w:tc>
        <w:tc>
          <w:tcPr>
            <w:tcW w:w="100" w:type="dxa"/>
            <w:vAlign w:val="bottom"/>
            <w:tcBorders>
              <w:right w:val="single" w:sz="8" w:color="auto"/>
            </w:tcBorders>
            <w:vMerge w:val="restart"/>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7"/>
              </w:rPr>
              <w:t>Redeemable Non-</w:t>
            </w:r>
          </w:p>
        </w:tc>
        <w:tc>
          <w:tcPr>
            <w:tcW w:w="0" w:type="dxa"/>
            <w:vAlign w:val="bottom"/>
          </w:tcPr>
          <w:p>
            <w:pPr>
              <w:spacing w:after="0"/>
              <w:rPr>
                <w:sz w:val="1"/>
                <w:szCs w:val="1"/>
                <w:color w:val="auto"/>
              </w:rPr>
            </w:pPr>
          </w:p>
        </w:tc>
      </w:tr>
      <w:tr>
        <w:trPr>
          <w:trHeight w:val="130"/>
        </w:trPr>
        <w:tc>
          <w:tcPr>
            <w:tcW w:w="3020" w:type="dxa"/>
            <w:vAlign w:val="bottom"/>
          </w:tcPr>
          <w:p>
            <w:pPr>
              <w:spacing w:after="0"/>
              <w:rPr>
                <w:sz w:val="11"/>
                <w:szCs w:val="11"/>
                <w:color w:val="auto"/>
              </w:rPr>
            </w:pPr>
          </w:p>
        </w:tc>
        <w:tc>
          <w:tcPr>
            <w:tcW w:w="1620" w:type="dxa"/>
            <w:vAlign w:val="bottom"/>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0" w:type="dxa"/>
            <w:vAlign w:val="bottom"/>
          </w:tcPr>
          <w:p>
            <w:pPr>
              <w:spacing w:after="0"/>
              <w:rPr>
                <w:sz w:val="1"/>
                <w:szCs w:val="1"/>
                <w:color w:val="auto"/>
              </w:rPr>
            </w:pPr>
          </w:p>
        </w:tc>
      </w:tr>
      <w:tr>
        <w:trPr>
          <w:trHeight w:val="23"/>
        </w:trPr>
        <w:tc>
          <w:tcPr>
            <w:tcW w:w="3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0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right w:val="single" w:sz="8" w:color="auto"/>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0" w:type="dxa"/>
            <w:vAlign w:val="bottom"/>
          </w:tcPr>
          <w:p>
            <w:pPr>
              <w:spacing w:after="0"/>
              <w:rPr>
                <w:sz w:val="1"/>
                <w:szCs w:val="1"/>
                <w:color w:val="auto"/>
              </w:rPr>
            </w:pPr>
          </w:p>
        </w:tc>
      </w:tr>
      <w:tr>
        <w:trPr>
          <w:trHeight w:val="12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16,446,748</w:t>
            </w:r>
          </w:p>
        </w:tc>
        <w:tc>
          <w:tcPr>
            <w:tcW w:w="80" w:type="dxa"/>
            <w:vAlign w:val="bottom"/>
          </w:tcPr>
          <w:p>
            <w:pPr>
              <w:spacing w:after="0"/>
              <w:rPr>
                <w:sz w:val="10"/>
                <w:szCs w:val="10"/>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0"/>
                <w:szCs w:val="1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60,325,057</w:t>
            </w:r>
          </w:p>
        </w:tc>
        <w:tc>
          <w:tcPr>
            <w:tcW w:w="60" w:type="dxa"/>
            <w:vAlign w:val="bottom"/>
          </w:tcPr>
          <w:p>
            <w:pPr>
              <w:spacing w:after="0"/>
              <w:rPr>
                <w:sz w:val="10"/>
                <w:szCs w:val="1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24,107</w:t>
            </w:r>
          </w:p>
        </w:tc>
        <w:tc>
          <w:tcPr>
            <w:tcW w:w="6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8,283</w:t>
            </w:r>
          </w:p>
        </w:tc>
        <w:tc>
          <w:tcPr>
            <w:tcW w:w="6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(924,630)</w:t>
            </w:r>
          </w:p>
        </w:tc>
        <w:tc>
          <w:tcPr>
            <w:tcW w:w="60" w:type="dxa"/>
            <w:vAlign w:val="bottom"/>
          </w:tcPr>
          <w:p>
            <w:pPr>
              <w:spacing w:after="0"/>
              <w:rPr>
                <w:sz w:val="10"/>
                <w:szCs w:val="10"/>
                <w:color w:val="auto"/>
              </w:rPr>
            </w:pPr>
          </w:p>
        </w:tc>
        <w:tc>
          <w:tcPr>
            <w:tcW w:w="1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(892,232)</w:t>
            </w:r>
          </w:p>
        </w:tc>
        <w:tc>
          <w:tcPr>
            <w:tcW w:w="100" w:type="dxa"/>
            <w:vAlign w:val="bottom"/>
            <w:tcBorders>
              <w:right w:val="single" w:sz="8" w:color="auto"/>
            </w:tcBorders>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600,234</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Distributions to non-controlling interests</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(9,714)</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(9,714)</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4,022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4,022</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2,329</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2,329</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8,408</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equity awards, net of shares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1,564,956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withheld for taxes, and ESPP transactions</w:t>
            </w: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employee stock purchase plan and exercises of options</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withheld related to net share settlement of equity</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(2,409)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(2,409)</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awards</w:t>
            </w: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Class B common stock</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366,635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(366,635)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exchanges</w:t>
            </w:r>
          </w:p>
        </w:tc>
        <w:tc>
          <w:tcPr>
            <w:tcW w:w="8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Unrealized loss on derivative - interest rate swap</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(1,649)</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Tax receivable agreement liability</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Adjustment of redeemable non-controlling interests to redemption value</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12,055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12,055</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(12,055)</w:t>
            </w:r>
          </w:p>
        </w:tc>
        <w:tc>
          <w:tcPr>
            <w:tcW w:w="0" w:type="dxa"/>
            <w:vAlign w:val="bottom"/>
          </w:tcPr>
          <w:p>
            <w:pPr>
              <w:spacing w:after="0"/>
              <w:rPr>
                <w:sz w:val="1"/>
                <w:szCs w:val="1"/>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18,378,339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59,958,422</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25,576</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6,634</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(919,960)</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(887,742)</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596,587</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89535</wp:posOffset>
            </wp:positionV>
            <wp:extent cx="71875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70" w:right="31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(Unaudited)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0345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4530" cy="6985"/>
                    </a:xfrm>
                    <a:prstGeom prst="rect">
                      <a:avLst/>
                    </a:prstGeom>
                    <a:noFill/>
                  </pic:spPr>
                </pic:pic>
              </a:graphicData>
            </a:graphic>
          </wp:anchor>
        </w:drawing>
      </w:r>
    </w:p>
    <w:p>
      <w:pPr>
        <w:spacing w:after="0" w:line="269"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8"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5297170</wp:posOffset>
            </wp:positionH>
            <wp:positionV relativeFrom="paragraph">
              <wp:posOffset>22225</wp:posOffset>
            </wp:positionV>
            <wp:extent cx="186753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67535"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5"/>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9"/>
        </w:trPr>
        <w:tc>
          <w:tcPr>
            <w:tcW w:w="8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1"/>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76"/>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17,073</w:t>
            </w: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10,737</w:t>
            </w: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76"/>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by operating activities</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1"/>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2,040</w:t>
            </w:r>
          </w:p>
        </w:tc>
      </w:tr>
      <w:tr>
        <w:trPr>
          <w:trHeight w:val="176"/>
        </w:trPr>
        <w:tc>
          <w:tcPr>
            <w:tcW w:w="8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4,022</w:t>
            </w: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1"/>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Amortization of deferred finance costs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r>
      <w:tr>
        <w:trPr>
          <w:trHeight w:val="176"/>
        </w:trPr>
        <w:tc>
          <w:tcPr>
            <w:tcW w:w="8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Change in fair value of earnout consideration liability</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1,973</w:t>
            </w: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1"/>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Revaluation of warrant liability</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10,759</w:t>
            </w:r>
          </w:p>
        </w:tc>
      </w:tr>
      <w:tr>
        <w:trPr>
          <w:trHeight w:val="176"/>
        </w:trPr>
        <w:tc>
          <w:tcPr>
            <w:tcW w:w="8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Change in fair value of derivative liability</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w:t>
            </w: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1"/>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tax (benefit) expense</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r>
      <w:tr>
        <w:trPr>
          <w:trHeight w:val="176"/>
        </w:trPr>
        <w:tc>
          <w:tcPr>
            <w:tcW w:w="8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1"/>
        </w:trPr>
        <w:tc>
          <w:tcPr>
            <w:tcW w:w="83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Accounts receivable</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w:t>
            </w:r>
          </w:p>
        </w:tc>
      </w:tr>
      <w:tr>
        <w:trPr>
          <w:trHeight w:val="176"/>
        </w:trPr>
        <w:tc>
          <w:tcPr>
            <w:tcW w:w="83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Inventories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(8,901)</w:t>
            </w: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1"/>
        </w:trPr>
        <w:tc>
          <w:tcPr>
            <w:tcW w:w="83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r>
      <w:tr>
        <w:trPr>
          <w:trHeight w:val="176"/>
        </w:trPr>
        <w:tc>
          <w:tcPr>
            <w:tcW w:w="83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Accounts payable</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8,367</w:t>
            </w: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1"/>
        </w:trPr>
        <w:tc>
          <w:tcPr>
            <w:tcW w:w="83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Accrued expenses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2,069</w:t>
            </w:r>
          </w:p>
        </w:tc>
      </w:tr>
      <w:tr>
        <w:trPr>
          <w:trHeight w:val="176"/>
        </w:trPr>
        <w:tc>
          <w:tcPr>
            <w:tcW w:w="83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Other liabilities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(3,114)</w:t>
            </w:r>
          </w:p>
        </w:tc>
      </w:tr>
      <w:tr>
        <w:trPr>
          <w:trHeight w:val="25"/>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2"/>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24,897</w:t>
            </w:r>
          </w:p>
        </w:tc>
      </w:tr>
      <w:tr>
        <w:trPr>
          <w:trHeight w:val="96"/>
        </w:trPr>
        <w:tc>
          <w:tcPr>
            <w:tcW w:w="834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r>
      <w:tr>
        <w:trPr>
          <w:trHeight w:val="181"/>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76"/>
        </w:trPr>
        <w:tc>
          <w:tcPr>
            <w:tcW w:w="8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(3,666)</w:t>
            </w:r>
          </w:p>
        </w:tc>
      </w:tr>
      <w:tr>
        <w:trPr>
          <w:trHeight w:val="25"/>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2"/>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(3,666)</w:t>
            </w:r>
          </w:p>
        </w:tc>
      </w:tr>
      <w:tr>
        <w:trPr>
          <w:trHeight w:val="192"/>
        </w:trPr>
        <w:tc>
          <w:tcPr>
            <w:tcW w:w="83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181"/>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76"/>
        </w:trPr>
        <w:tc>
          <w:tcPr>
            <w:tcW w:w="8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Proceeds from employee stock purchase plan and exercises of equity awards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1"/>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Payments for taxes related to net share settlement of equity awards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(2,409)</w:t>
            </w:r>
          </w:p>
        </w:tc>
      </w:tr>
      <w:tr>
        <w:trPr>
          <w:trHeight w:val="176"/>
        </w:trPr>
        <w:tc>
          <w:tcPr>
            <w:tcW w:w="8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Payment of term loan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1"/>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(10,151)</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(9,714)</w:t>
            </w:r>
          </w:p>
        </w:tc>
      </w:tr>
      <w:tr>
        <w:trPr>
          <w:trHeight w:val="166"/>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9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(18,208)</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(12,307)</w:t>
            </w:r>
          </w:p>
        </w:tc>
      </w:tr>
      <w:tr>
        <w:trPr>
          <w:trHeight w:val="25"/>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07"/>
        </w:trPr>
        <w:tc>
          <w:tcPr>
            <w:tcW w:w="83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76"/>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in cash and cash equivalents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8,924</w:t>
            </w: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16"/>
        </w:trPr>
        <w:tc>
          <w:tcPr>
            <w:tcW w:w="8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76"/>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13,642</w:t>
            </w: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27"/>
        </w:trPr>
        <w:tc>
          <w:tcPr>
            <w:tcW w:w="834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r>
      <w:tr>
        <w:trPr>
          <w:trHeight w:val="189"/>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 of period</w:t>
            </w:r>
          </w:p>
        </w:tc>
        <w:tc>
          <w:tcPr>
            <w:tcW w:w="90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55,146</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22,566</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5"/>
        </w:trPr>
        <w:tc>
          <w:tcPr>
            <w:tcW w:w="8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1"/>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Supplementary disclosure of cash flow information:</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76"/>
        </w:trPr>
        <w:tc>
          <w:tcPr>
            <w:tcW w:w="8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paid for interest expense</w:t>
            </w:r>
          </w:p>
        </w:tc>
        <w:tc>
          <w:tcPr>
            <w:tcW w:w="900" w:type="dxa"/>
            <w:vAlign w:val="bottom"/>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4,175</w:t>
            </w: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4,567</w:t>
            </w:r>
          </w:p>
        </w:tc>
      </w:tr>
      <w:tr>
        <w:trPr>
          <w:trHeight w:val="25"/>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1"/>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Supplemental disclosure of non-cash financing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76"/>
        </w:trPr>
        <w:tc>
          <w:tcPr>
            <w:tcW w:w="8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Derivative asset - interest rate swap</w:t>
            </w:r>
          </w:p>
        </w:tc>
        <w:tc>
          <w:tcPr>
            <w:tcW w:w="900" w:type="dxa"/>
            <w:vAlign w:val="bottom"/>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89535</wp:posOffset>
            </wp:positionV>
            <wp:extent cx="71875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7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ORGANIZATION AND BUSINESS OPERATIONS</w:t>
      </w:r>
    </w:p>
    <w:p>
      <w:pPr>
        <w:spacing w:after="0" w:line="201" w:lineRule="exact"/>
        <w:rPr>
          <w:sz w:val="20"/>
          <w:szCs w:val="20"/>
          <w:color w:val="auto"/>
        </w:rPr>
      </w:pPr>
    </w:p>
    <w:p>
      <w:pPr>
        <w:ind w:firstLine="508"/>
        <w:spacing w:after="0" w:line="259" w:lineRule="auto"/>
        <w:rPr>
          <w:sz w:val="20"/>
          <w:szCs w:val="20"/>
          <w:color w:val="auto"/>
        </w:rPr>
      </w:pPr>
      <w:r>
        <w:rPr>
          <w:rFonts w:ascii="Times New Roman" w:cs="Times New Roman" w:eastAsia="Times New Roman" w:hAnsi="Times New Roman"/>
          <w:sz w:val="14"/>
          <w:szCs w:val="14"/>
          <w:color w:val="auto"/>
        </w:rPr>
        <w:t>CompoSecure, Inc. (“CompoSecure” or the “Company”) is a manufacturer and designer of complex metal, composite and proprietary financial transaction cards. The Company was founded and commenced operations in 2000. It provides products and services primarily to global financial institutions, plastic card manufacturers, system integrators, and security specialists. The Company is located in Somerset, New Jersey. Since its inception, CompoSecure has established itself as a technology partner to market leaders, fintechs and consumers enabling trust for millions of people around the globe. The Company combines elegance, simplicity and security to deliver exceptional experiences and peace of mind in the physical and digital world. The Company’s innovative payment card technology and metal cards with Arculus secure authentication and digital asset storage capabilities deliver unique, premium branded experiences, enable people to access and use their financial and digital assets, and ensure trust at the point of a transaction.</w:t>
      </w:r>
    </w:p>
    <w:p>
      <w:pPr>
        <w:spacing w:after="0" w:line="164" w:lineRule="exact"/>
        <w:rPr>
          <w:sz w:val="20"/>
          <w:szCs w:val="20"/>
          <w:color w:val="auto"/>
        </w:rPr>
      </w:pPr>
    </w:p>
    <w:p>
      <w:pPr>
        <w:ind w:right="20" w:firstLine="508"/>
        <w:spacing w:after="0" w:line="259" w:lineRule="auto"/>
        <w:rPr>
          <w:sz w:val="20"/>
          <w:szCs w:val="20"/>
          <w:color w:val="auto"/>
        </w:rPr>
      </w:pPr>
      <w:r>
        <w:rPr>
          <w:rFonts w:ascii="Times New Roman" w:cs="Times New Roman" w:eastAsia="Times New Roman" w:hAnsi="Times New Roman"/>
          <w:sz w:val="14"/>
          <w:szCs w:val="14"/>
          <w:color w:val="auto"/>
        </w:rPr>
        <w:t>The Company creates newly innovated, highly differentiated and customized quality financial payment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with additional direct and indirect customers in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nearly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pacing w:after="0" w:line="164" w:lineRule="exact"/>
        <w:rPr>
          <w:sz w:val="20"/>
          <w:szCs w:val="20"/>
          <w:color w:val="auto"/>
        </w:rPr>
      </w:pPr>
    </w:p>
    <w:p>
      <w:pPr>
        <w:ind w:right="80" w:firstLine="508"/>
        <w:spacing w:after="0" w:line="263" w:lineRule="auto"/>
        <w:rPr>
          <w:sz w:val="20"/>
          <w:szCs w:val="20"/>
          <w:color w:val="auto"/>
        </w:rPr>
      </w:pPr>
      <w:r>
        <w:rPr>
          <w:rFonts w:ascii="Times New Roman" w:cs="Times New Roman" w:eastAsia="Times New Roman" w:hAnsi="Times New Roman"/>
          <w:sz w:val="14"/>
          <w:szCs w:val="14"/>
          <w:color w:val="auto"/>
        </w:rPr>
        <w:t>CompoSecure is operated as an umbrella partnership C corporation (“Up-C”) meaning that the sole asset of CompoSecure, Inc. is its interest in CompoSecure Holdings, L.L.C. ("Holdings") and the related deferred tax asset. Holdings is an entity taxed as a partnership for U.S. federal income tax purposes and owned by both the historical owners and CompoSecure, Inc. By virtue of our control of the board of managers of Holdings, CompoSecure, Inc. operates and controls the business and affairs of CompoSecure. As a result, we consolidate the financial results of Holdings and report a non-controlling interest related to the Holdings units not owned by CompoSecure, Inc.</w:t>
      </w:r>
    </w:p>
    <w:p>
      <w:pPr>
        <w:spacing w:after="0" w:line="139" w:lineRule="exact"/>
        <w:rPr>
          <w:sz w:val="20"/>
          <w:szCs w:val="20"/>
          <w:color w:val="auto"/>
        </w:rPr>
      </w:pPr>
    </w:p>
    <w:p>
      <w:pPr>
        <w:ind w:right="7440" w:firstLine="5"/>
        <w:spacing w:after="0" w:line="380" w:lineRule="auto"/>
        <w:tabs>
          <w:tab w:leader="none" w:pos="141"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Basis of Presentation</w:t>
      </w:r>
    </w:p>
    <w:p>
      <w:pPr>
        <w:ind w:right="60" w:firstLine="508"/>
        <w:spacing w:after="0" w:line="260" w:lineRule="auto"/>
        <w:rPr>
          <w:sz w:val="20"/>
          <w:szCs w:val="20"/>
          <w:color w:val="auto"/>
        </w:rPr>
      </w:pPr>
      <w:r>
        <w:rPr>
          <w:rFonts w:ascii="Times New Roman" w:cs="Times New Roman" w:eastAsia="Times New Roman" w:hAnsi="Times New Roman"/>
          <w:sz w:val="14"/>
          <w:szCs w:val="14"/>
          <w:color w:val="auto"/>
        </w:rPr>
        <w:t>The accompanying consolidated financial statements are presented in conformity U.S. GAAP and pursuant to the rules and regulations of the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subsidiaries. All intercompany accounts and transactions have been eliminated in consolidation. Certain reclassifications have been made to conform to the current year presentation. All dollar amounts are in thousands, unless otherwise noted. Share and per share amounts are presented on a post-conversion basis for all periods presented, unless otherwise noted.</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significant accounting policies are detailed in our Annual Report on Form 10-K for the year ended December 31, 2023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Interim Financial Statements</w:t>
      </w:r>
    </w:p>
    <w:p>
      <w:pPr>
        <w:spacing w:after="0" w:line="201" w:lineRule="exact"/>
        <w:rPr>
          <w:sz w:val="20"/>
          <w:szCs w:val="20"/>
          <w:color w:val="auto"/>
        </w:rPr>
      </w:pPr>
    </w:p>
    <w:p>
      <w:pPr>
        <w:jc w:val="both"/>
        <w:ind w:right="60" w:firstLine="508"/>
        <w:spacing w:after="0" w:line="269"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U.S. GAAP and Article 10 of Regulation S-X of the SEC for interim financial information. and should be read in conjunction with the Company’s Annual Report on Form 10-K for the year ended December 31, 2023. The financial statements presented in this Quarterly Report on Form 10-Q are unaudited; however, in the opinion of management, the Financial Statements reflect all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75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4"/>
          <w:szCs w:val="14"/>
          <w:color w:val="auto"/>
        </w:rPr>
        <w:t>adjustments, consisting solely of normal, recurring adjustments, necessary for the fair presentation of the financial statements for the periods presented. The results disclosed in the Consolidated Statements of Operations for the three months period ended March 31, 2024 are not necessarily indicative of the results to be expected for the full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201" w:lineRule="exact"/>
        <w:rPr>
          <w:sz w:val="20"/>
          <w:szCs w:val="20"/>
          <w:color w:val="auto"/>
        </w:rPr>
      </w:pPr>
    </w:p>
    <w:p>
      <w:pPr>
        <w:ind w:right="40" w:firstLine="508"/>
        <w:spacing w:after="0" w:line="257" w:lineRule="auto"/>
        <w:rPr>
          <w:sz w:val="20"/>
          <w:szCs w:val="20"/>
          <w:color w:val="auto"/>
        </w:rPr>
      </w:pPr>
      <w:r>
        <w:rPr>
          <w:rFonts w:ascii="Times New Roman" w:cs="Times New Roman" w:eastAsia="Times New Roman" w:hAnsi="Times New Roman"/>
          <w:sz w:val="14"/>
          <w:szCs w:val="14"/>
          <w:color w:val="auto"/>
        </w:rPr>
        <w:t>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which are marked to market each quarter based on a Lattice model approach, derivative asset for the interest rate swap, changes in the fair value of warrant liabilities, valuation allowances on deferred tax assets which are based on an assessment of recoverability of the deferred tax assets against future taxable income and estimates of the inputs used to calculate the tax receivable agreement liability.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5" w:lineRule="exact"/>
        <w:rPr>
          <w:sz w:val="20"/>
          <w:szCs w:val="20"/>
          <w:color w:val="auto"/>
        </w:rPr>
      </w:pPr>
    </w:p>
    <w:p>
      <w:pPr>
        <w:ind w:right="40" w:firstLine="508"/>
        <w:spacing w:after="0" w:line="258" w:lineRule="auto"/>
        <w:rPr>
          <w:sz w:val="20"/>
          <w:szCs w:val="20"/>
          <w:color w:val="auto"/>
        </w:rPr>
      </w:pPr>
      <w:r>
        <w:rPr>
          <w:rFonts w:ascii="Times New Roman" w:cs="Times New Roman" w:eastAsia="Times New Roman" w:hAnsi="Times New Roman"/>
          <w:sz w:val="14"/>
          <w:szCs w:val="14"/>
          <w:color w:val="auto"/>
        </w:rPr>
        <w:t>The Company recognizes revenue in accordance with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 The Company did not have any contract assets or liabilities as of March 31, 2024 or December 31, 2023.</w:t>
      </w:r>
    </w:p>
    <w:p>
      <w:pPr>
        <w:spacing w:after="0" w:line="58"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w:t>
      </w:r>
    </w:p>
    <w:p>
      <w:pPr>
        <w:spacing w:after="0" w:line="40" w:lineRule="exact"/>
        <w:rPr>
          <w:sz w:val="20"/>
          <w:szCs w:val="20"/>
          <w:color w:val="auto"/>
        </w:rPr>
      </w:pPr>
    </w:p>
    <w:p>
      <w:pPr>
        <w:ind w:right="200" w:firstLine="508"/>
        <w:spacing w:after="0" w:line="269" w:lineRule="auto"/>
        <w:rPr>
          <w:sz w:val="20"/>
          <w:szCs w:val="20"/>
          <w:color w:val="auto"/>
        </w:rPr>
      </w:pPr>
      <w:r>
        <w:rPr>
          <w:rFonts w:ascii="Times New Roman" w:cs="Times New Roman" w:eastAsia="Times New Roman" w:hAnsi="Times New Roman"/>
          <w:sz w:val="14"/>
          <w:szCs w:val="14"/>
          <w:color w:val="auto"/>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spacing w:after="0" w:line="51" w:lineRule="exact"/>
        <w:rPr>
          <w:sz w:val="20"/>
          <w:szCs w:val="20"/>
          <w:color w:val="auto"/>
        </w:rPr>
      </w:pPr>
    </w:p>
    <w:p>
      <w:pPr>
        <w:ind w:right="660" w:firstLine="508"/>
        <w:spacing w:after="0" w:line="286" w:lineRule="auto"/>
        <w:rPr>
          <w:sz w:val="20"/>
          <w:szCs w:val="20"/>
          <w:color w:val="auto"/>
        </w:rPr>
      </w:pPr>
      <w:r>
        <w:rPr>
          <w:rFonts w:ascii="Times New Roman" w:cs="Times New Roman" w:eastAsia="Times New Roman" w:hAnsi="Times New Roman"/>
          <w:sz w:val="14"/>
          <w:szCs w:val="14"/>
          <w:color w:val="auto"/>
        </w:rPr>
        <w:t>Revenue is measured in an amount that reflects the consideration the Company expects to receive in exchange for those products or services. Revenue is recognized net of variable consideration such as discounts, rebates, and returns.</w:t>
      </w:r>
    </w:p>
    <w:p>
      <w:pPr>
        <w:spacing w:after="0" w:line="40" w:lineRule="exact"/>
        <w:rPr>
          <w:sz w:val="20"/>
          <w:szCs w:val="20"/>
          <w:color w:val="auto"/>
        </w:rPr>
      </w:pPr>
    </w:p>
    <w:p>
      <w:pPr>
        <w:ind w:right="100" w:firstLine="508"/>
        <w:spacing w:after="0" w:line="263" w:lineRule="auto"/>
        <w:rPr>
          <w:sz w:val="20"/>
          <w:szCs w:val="20"/>
          <w:color w:val="auto"/>
        </w:rPr>
      </w:pPr>
      <w:r>
        <w:rPr>
          <w:rFonts w:ascii="Times New Roman" w:cs="Times New Roman" w:eastAsia="Times New Roman" w:hAnsi="Times New Roman"/>
          <w:sz w:val="14"/>
          <w:szCs w:val="14"/>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firstLine="508"/>
        <w:spacing w:after="0" w:line="286" w:lineRule="auto"/>
        <w:rPr>
          <w:sz w:val="20"/>
          <w:szCs w:val="20"/>
          <w:color w:val="auto"/>
        </w:rPr>
      </w:pPr>
      <w:r>
        <w:rPr>
          <w:rFonts w:ascii="Times New Roman" w:cs="Times New Roman" w:eastAsia="Times New Roman" w:hAnsi="Times New Roman"/>
          <w:sz w:val="14"/>
          <w:szCs w:val="14"/>
          <w:color w:val="auto"/>
        </w:rPr>
        <w:t>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95" w:lineRule="exact"/>
        <w:rPr>
          <w:sz w:val="20"/>
          <w:szCs w:val="20"/>
          <w:color w:val="auto"/>
        </w:rPr>
      </w:pPr>
    </w:p>
    <w:p>
      <w:pPr>
        <w:ind w:right="20" w:firstLine="508"/>
        <w:spacing w:after="0" w:line="263" w:lineRule="auto"/>
        <w:rPr>
          <w:sz w:val="20"/>
          <w:szCs w:val="20"/>
          <w:color w:val="auto"/>
        </w:rPr>
      </w:pPr>
      <w:r>
        <w:rPr>
          <w:rFonts w:ascii="Times New Roman" w:cs="Times New Roman" w:eastAsia="Times New Roman" w:hAnsi="Times New Roman"/>
          <w:sz w:val="14"/>
          <w:szCs w:val="14"/>
          <w:color w:val="auto"/>
        </w:rPr>
        <w:t>The Company is managed and operated as one business as the entire business is managed by a single management team that reports to the Chief Executive Officer and President. The Company's chief operating decision-maker ("CODM") is its Chief Executive Officer and President, who makes resource allocation decisions and assesses performance based on financial information presented on an aggregate basis. The Company does not operate separate lines of business with respect to any of its products and does not review discrete financial information to allocate resources to separate products or by location. Accordingly, the Company views its business as one reportable operating segment.</w:t>
      </w:r>
    </w:p>
    <w:p>
      <w:pPr>
        <w:spacing w:after="0" w:line="162" w:lineRule="exact"/>
        <w:rPr>
          <w:sz w:val="20"/>
          <w:szCs w:val="20"/>
          <w:color w:val="auto"/>
        </w:rPr>
      </w:pPr>
    </w:p>
    <w:p>
      <w:pPr>
        <w:ind w:right="100" w:firstLine="508"/>
        <w:spacing w:after="0" w:line="269" w:lineRule="auto"/>
        <w:rPr>
          <w:sz w:val="20"/>
          <w:szCs w:val="20"/>
          <w:color w:val="auto"/>
        </w:rPr>
      </w:pPr>
      <w:r>
        <w:rPr>
          <w:rFonts w:ascii="Times New Roman" w:cs="Times New Roman" w:eastAsia="Times New Roman" w:hAnsi="Times New Roman"/>
          <w:sz w:val="14"/>
          <w:szCs w:val="14"/>
          <w:color w:val="auto"/>
        </w:rPr>
        <w:t>Characteristics of the organization which were relied upon in making the determination that the Company operates in one reportable segment include the similar nature of all of the products that the Company sells, the functional alignment of the Company’s organizational structure, and the reports that are regularly reviewed by the CODM for the purpose of assessing performance and allocating resources.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Per Share</w:t>
      </w:r>
    </w:p>
    <w:p>
      <w:pPr>
        <w:spacing w:after="0" w:line="201" w:lineRule="exact"/>
        <w:rPr>
          <w:sz w:val="20"/>
          <w:szCs w:val="20"/>
          <w:color w:val="auto"/>
        </w:rPr>
      </w:pPr>
    </w:p>
    <w:p>
      <w:pPr>
        <w:ind w:right="260" w:firstLine="508"/>
        <w:spacing w:after="0" w:line="269" w:lineRule="auto"/>
        <w:rPr>
          <w:sz w:val="20"/>
          <w:szCs w:val="20"/>
          <w:color w:val="auto"/>
        </w:rPr>
      </w:pPr>
      <w:r>
        <w:rPr>
          <w:rFonts w:ascii="Times New Roman" w:cs="Times New Roman" w:eastAsia="Times New Roman" w:hAnsi="Times New Roman"/>
          <w:sz w:val="14"/>
          <w:szCs w:val="14"/>
          <w:color w:val="auto"/>
        </w:rPr>
        <w:t>The Company complies with accounting and disclosure requirements of FASB ASC Topic 260, “Earnings Per Share”.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is exclusive of Class B common stock as these shares have no economic or participating rights.</w:t>
      </w:r>
    </w:p>
    <w:p>
      <w:pPr>
        <w:spacing w:after="0" w:line="157" w:lineRule="exact"/>
        <w:rPr>
          <w:sz w:val="20"/>
          <w:szCs w:val="20"/>
          <w:color w:val="auto"/>
        </w:rPr>
      </w:pPr>
    </w:p>
    <w:p>
      <w:pPr>
        <w:jc w:val="both"/>
        <w:ind w:right="140" w:firstLine="508"/>
        <w:spacing w:after="0" w:line="269" w:lineRule="auto"/>
        <w:rPr>
          <w:sz w:val="20"/>
          <w:szCs w:val="20"/>
          <w:color w:val="auto"/>
        </w:rPr>
      </w:pPr>
      <w:r>
        <w:rPr>
          <w:rFonts w:ascii="Times New Roman" w:cs="Times New Roman" w:eastAsia="Times New Roman" w:hAnsi="Times New Roman"/>
          <w:sz w:val="14"/>
          <w:szCs w:val="14"/>
          <w:color w:val="auto"/>
        </w:rPr>
        <w:t>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the earnouts, exercise of the equity awards, exchange of the Class B units and Exchangeable Notes ("securities") only if the effect is not anti-dilutive.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 – Adopted in current fiscal year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December 2023, the FASB issued ASU 2023-09, Improvements to Income Tax Disclosures, applies to all</w:t>
      </w:r>
    </w:p>
    <w:p>
      <w:pPr>
        <w:spacing w:after="0" w:line="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entities subject to income taxes. For public business entities (PBEs), the new requirements will be effective for annual periods beginning after December 15, 2024. For entities other than public business entities (non-PBEs), the requirements will be effective for annual periods beginning after December 15, 2025. The guidance will be applied on a prospective basis with the option to apply the standard retrospectively. Early adoption is permitted. The amendments in this Update require that public business entities on an annual basis disclose specific categories in the rate reconciliation and provide additional information for reconciling items that meet a quantitative threshold if the effect of those reconciling items is equal to or greater than five percent of the amount computed by multiplying pretax income (or loss) by the applicable statutory income tax rate. The new guidance focuses on two specific disclosure areas: the rate reconciliation and income taxes paid. The rate reconciliation disclosure requirements differ for PBEs as compared to non-PBEs. The income taxes paid disclosures are the same for all entities. The adoption of these ASUs did not have a material impact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 INVENTORIES</w:t>
            </w: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54"/>
        </w:trPr>
        <w:tc>
          <w:tcPr>
            <w:tcW w:w="7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major classes of inventories were as follows:</w:t>
            </w:r>
          </w:p>
        </w:tc>
        <w:tc>
          <w:tcPr>
            <w:tcW w:w="1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96"/>
        </w:trPr>
        <w:tc>
          <w:tcPr>
            <w:tcW w:w="7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2"/>
        </w:trPr>
        <w:tc>
          <w:tcPr>
            <w:tcW w:w="7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560" w:type="dxa"/>
            <w:vAlign w:val="bottom"/>
            <w:tcBorders>
              <w:bottom w:val="single" w:sz="8" w:color="CCEEFF"/>
            </w:tcBorders>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50,867</w:t>
            </w:r>
          </w:p>
        </w:tc>
      </w:tr>
      <w:tr>
        <w:trPr>
          <w:trHeight w:val="19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4,110</w:t>
            </w:r>
          </w:p>
        </w:tc>
      </w:tr>
      <w:tr>
        <w:trPr>
          <w:trHeight w:val="32"/>
        </w:trPr>
        <w:tc>
          <w:tcPr>
            <w:tcW w:w="7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5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19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 reserve</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w:t>
            </w:r>
          </w:p>
        </w:tc>
      </w:tr>
      <w:tr>
        <w:trPr>
          <w:trHeight w:val="32"/>
        </w:trPr>
        <w:tc>
          <w:tcPr>
            <w:tcW w:w="7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8"/>
        </w:trPr>
        <w:tc>
          <w:tcPr>
            <w:tcW w:w="7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40" w:firstLine="508"/>
        <w:spacing w:after="0" w:line="242" w:lineRule="auto"/>
        <w:rPr>
          <w:sz w:val="20"/>
          <w:szCs w:val="20"/>
          <w:color w:val="auto"/>
        </w:rPr>
      </w:pPr>
      <w:r>
        <w:rPr>
          <w:rFonts w:ascii="Times New Roman" w:cs="Times New Roman" w:eastAsia="Times New Roman" w:hAnsi="Times New Roman"/>
          <w:sz w:val="14"/>
          <w:szCs w:val="14"/>
          <w:color w:val="auto"/>
        </w:rPr>
        <w:t>We monitor inventory costs relative to selling prices and perform physical cycle count procedures on inventories throughout the year to determine if a lower of cost or net realizable value reserve is necessary. The Company reviews inventory for slow-moving or obsolete amounts based on expected product sales volume and provides reserves against the carrying amount of inventory as appropriate. This reserve may fluctuate as our assumptions change due to new information, discrete events, or changes in our business, such as entering new markets or discontinuing a specific product.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 PROPERTY AND EQUIPMENT</w:t>
            </w:r>
          </w:p>
        </w:tc>
        <w:tc>
          <w:tcPr>
            <w:tcW w:w="1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2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Property and equipment consisted of the following:</w:t>
            </w:r>
          </w:p>
        </w:tc>
        <w:tc>
          <w:tcPr>
            <w:tcW w:w="1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20" w:type="dxa"/>
            <w:vAlign w:val="bottom"/>
          </w:tcPr>
          <w:p>
            <w:pPr>
              <w:spacing w:after="0"/>
              <w:rPr>
                <w:sz w:val="23"/>
                <w:szCs w:val="23"/>
                <w:color w:val="auto"/>
              </w:rPr>
            </w:pPr>
          </w:p>
        </w:tc>
        <w:tc>
          <w:tcPr>
            <w:tcW w:w="18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23"/>
                <w:szCs w:val="23"/>
                <w:color w:val="auto"/>
              </w:rPr>
            </w:pPr>
          </w:p>
        </w:tc>
        <w:tc>
          <w:tcPr>
            <w:tcW w:w="17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43"/>
        </w:trPr>
        <w:tc>
          <w:tcPr>
            <w:tcW w:w="4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4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center"/>
              <w:ind w:right="880"/>
              <w:spacing w:after="0"/>
              <w:rPr>
                <w:sz w:val="20"/>
                <w:szCs w:val="20"/>
                <w:color w:val="auto"/>
              </w:rPr>
            </w:pPr>
            <w:r>
              <w:rPr>
                <w:rFonts w:ascii="Times New Roman" w:cs="Times New Roman" w:eastAsia="Times New Roman" w:hAnsi="Times New Roman"/>
                <w:sz w:val="14"/>
                <w:szCs w:val="14"/>
                <w:color w:val="auto"/>
              </w:rPr>
              <w:t>5 - 10 years</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76,910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72,538</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400" w:type="dxa"/>
            <w:vAlign w:val="bottom"/>
          </w:tcPr>
          <w:p>
            <w:pPr>
              <w:spacing w:after="0"/>
              <w:rPr>
                <w:sz w:val="16"/>
                <w:szCs w:val="16"/>
                <w:color w:val="auto"/>
              </w:rPr>
            </w:pPr>
          </w:p>
        </w:tc>
        <w:tc>
          <w:tcPr>
            <w:tcW w:w="15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color w:val="auto"/>
              </w:rPr>
              <w:t>3 - 5 years</w:t>
            </w:r>
          </w:p>
        </w:tc>
        <w:tc>
          <w:tcPr>
            <w:tcW w:w="320" w:type="dxa"/>
            <w:vAlign w:val="bottom"/>
          </w:tcPr>
          <w:p>
            <w:pPr>
              <w:spacing w:after="0"/>
              <w:rPr>
                <w:sz w:val="16"/>
                <w:szCs w:val="16"/>
                <w:color w:val="auto"/>
              </w:rPr>
            </w:pP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32"/>
        </w:trPr>
        <w:tc>
          <w:tcPr>
            <w:tcW w:w="4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14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4"/>
                <w:szCs w:val="14"/>
                <w:color w:val="auto"/>
              </w:rPr>
              <w:t>3 - 5 years</w:t>
            </w:r>
          </w:p>
        </w:tc>
        <w:tc>
          <w:tcPr>
            <w:tcW w:w="3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927</w:t>
            </w:r>
          </w:p>
        </w:tc>
        <w:tc>
          <w:tcPr>
            <w:tcW w:w="0" w:type="dxa"/>
            <w:vAlign w:val="bottom"/>
          </w:tcPr>
          <w:p>
            <w:pPr>
              <w:spacing w:after="0"/>
              <w:rPr>
                <w:sz w:val="1"/>
                <w:szCs w:val="1"/>
                <w:color w:val="auto"/>
              </w:rPr>
            </w:pPr>
          </w:p>
        </w:tc>
      </w:tr>
      <w:tr>
        <w:trPr>
          <w:trHeight w:val="18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9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rPr>
              <w:t>Shorter of lease term or estimated</w:t>
            </w:r>
          </w:p>
        </w:tc>
        <w:tc>
          <w:tcPr>
            <w:tcW w:w="320" w:type="dxa"/>
            <w:vAlign w:val="bottom"/>
          </w:tcPr>
          <w:p>
            <w:pPr>
              <w:spacing w:after="0"/>
              <w:rPr>
                <w:sz w:val="16"/>
                <w:szCs w:val="16"/>
                <w:color w:val="auto"/>
              </w:rPr>
            </w:pPr>
          </w:p>
        </w:tc>
        <w:tc>
          <w:tcPr>
            <w:tcW w:w="17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15,370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14,981</w:t>
            </w:r>
          </w:p>
        </w:tc>
        <w:tc>
          <w:tcPr>
            <w:tcW w:w="0" w:type="dxa"/>
            <w:vAlign w:val="bottom"/>
          </w:tcPr>
          <w:p>
            <w:pPr>
              <w:spacing w:after="0"/>
              <w:rPr>
                <w:sz w:val="1"/>
                <w:szCs w:val="1"/>
                <w:color w:val="auto"/>
              </w:rPr>
            </w:pPr>
          </w:p>
        </w:tc>
      </w:tr>
      <w:tr>
        <w:trPr>
          <w:trHeight w:val="88"/>
        </w:trPr>
        <w:tc>
          <w:tcPr>
            <w:tcW w:w="42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54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color w:val="auto"/>
                <w:w w:val="99"/>
              </w:rPr>
              <w:t>useful life</w:t>
            </w:r>
          </w:p>
        </w:tc>
        <w:tc>
          <w:tcPr>
            <w:tcW w:w="32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Vehicles</w:t>
            </w:r>
          </w:p>
        </w:tc>
        <w:tc>
          <w:tcPr>
            <w:tcW w:w="14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4"/>
                <w:szCs w:val="14"/>
                <w:color w:val="auto"/>
                <w:w w:val="99"/>
              </w:rPr>
              <w:t>5 years</w:t>
            </w:r>
          </w:p>
        </w:tc>
        <w:tc>
          <w:tcPr>
            <w:tcW w:w="3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400" w:type="dxa"/>
            <w:vAlign w:val="bottom"/>
          </w:tcPr>
          <w:p>
            <w:pPr>
              <w:spacing w:after="0"/>
              <w:rPr>
                <w:sz w:val="16"/>
                <w:szCs w:val="16"/>
                <w:color w:val="auto"/>
              </w:rPr>
            </w:pPr>
          </w:p>
        </w:tc>
        <w:tc>
          <w:tcPr>
            <w:tcW w:w="15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color w:val="auto"/>
              </w:rPr>
              <w:t>1 - 3 years</w:t>
            </w:r>
          </w:p>
        </w:tc>
        <w:tc>
          <w:tcPr>
            <w:tcW w:w="320" w:type="dxa"/>
            <w:vAlign w:val="bottom"/>
          </w:tcPr>
          <w:p>
            <w:pPr>
              <w:spacing w:after="0"/>
              <w:rPr>
                <w:sz w:val="16"/>
                <w:szCs w:val="16"/>
                <w:color w:val="auto"/>
              </w:rPr>
            </w:pP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2,924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2,924</w:t>
            </w:r>
          </w:p>
        </w:tc>
        <w:tc>
          <w:tcPr>
            <w:tcW w:w="0" w:type="dxa"/>
            <w:vAlign w:val="bottom"/>
          </w:tcPr>
          <w:p>
            <w:pPr>
              <w:spacing w:after="0"/>
              <w:rPr>
                <w:sz w:val="1"/>
                <w:szCs w:val="1"/>
                <w:color w:val="auto"/>
              </w:rPr>
            </w:pPr>
          </w:p>
        </w:tc>
      </w:tr>
      <w:tr>
        <w:trPr>
          <w:trHeight w:val="32"/>
        </w:trPr>
        <w:tc>
          <w:tcPr>
            <w:tcW w:w="4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4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4,189</w:t>
            </w:r>
          </w:p>
        </w:tc>
        <w:tc>
          <w:tcPr>
            <w:tcW w:w="0" w:type="dxa"/>
            <w:vAlign w:val="bottom"/>
          </w:tcPr>
          <w:p>
            <w:pPr>
              <w:spacing w:after="0"/>
              <w:rPr>
                <w:sz w:val="1"/>
                <w:szCs w:val="1"/>
                <w:color w:val="auto"/>
              </w:rPr>
            </w:pPr>
          </w:p>
        </w:tc>
      </w:tr>
      <w:tr>
        <w:trPr>
          <w:trHeight w:val="18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98,423</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96,810</w:t>
            </w:r>
          </w:p>
        </w:tc>
        <w:tc>
          <w:tcPr>
            <w:tcW w:w="0" w:type="dxa"/>
            <w:vAlign w:val="bottom"/>
          </w:tcPr>
          <w:p>
            <w:pPr>
              <w:spacing w:after="0"/>
              <w:rPr>
                <w:sz w:val="1"/>
                <w:szCs w:val="1"/>
                <w:color w:val="auto"/>
              </w:rPr>
            </w:pPr>
          </w:p>
        </w:tc>
      </w:tr>
      <w:tr>
        <w:trPr>
          <w:trHeight w:val="32"/>
        </w:trPr>
        <w:tc>
          <w:tcPr>
            <w:tcW w:w="4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4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(73,819)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(71,598)</w:t>
            </w:r>
          </w:p>
        </w:tc>
        <w:tc>
          <w:tcPr>
            <w:tcW w:w="0" w:type="dxa"/>
            <w:vAlign w:val="bottom"/>
          </w:tcPr>
          <w:p>
            <w:pPr>
              <w:spacing w:after="0"/>
              <w:rPr>
                <w:sz w:val="1"/>
                <w:szCs w:val="1"/>
                <w:color w:val="auto"/>
              </w:rPr>
            </w:pPr>
          </w:p>
        </w:tc>
      </w:t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24,604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25,212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Depreciation and amortization expense on property and equipment was $2,221 and $2,040 for the three months ended March 31,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DEBT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Exchangeable Senior Notes</w:t>
      </w:r>
    </w:p>
    <w:p>
      <w:pPr>
        <w:spacing w:after="0" w:line="201" w:lineRule="exact"/>
        <w:rPr>
          <w:sz w:val="20"/>
          <w:szCs w:val="20"/>
          <w:color w:val="auto"/>
        </w:rPr>
      </w:pPr>
    </w:p>
    <w:p>
      <w:pPr>
        <w:ind w:right="60" w:firstLine="508"/>
        <w:spacing w:after="0" w:line="258" w:lineRule="auto"/>
        <w:rPr>
          <w:sz w:val="20"/>
          <w:szCs w:val="20"/>
          <w:color w:val="auto"/>
        </w:rPr>
      </w:pPr>
      <w:r>
        <w:rPr>
          <w:rFonts w:ascii="Times New Roman" w:cs="Times New Roman" w:eastAsia="Times New Roman" w:hAnsi="Times New Roman"/>
          <w:sz w:val="14"/>
          <w:szCs w:val="14"/>
          <w:color w:val="auto"/>
        </w:rPr>
        <w:t>On April 19, 2021, concurrent with the execution of the Merger Agreement for the Business Combination, the Company and its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Holdings and guaranteed by its operating subsidiaries, CompoSecure, L.L.C. and Arculus Holdings, L.L.C., in an aggregate principal amount of up to $130,000 that are exchangeable into shares of Class A common stock at a conversion price of $11.50 per share, subject to the terms and conditions of an Indenture entered by the Company and its subsidiary, Holdings, and the trustee under the Indenture. The Exchangeable Notes bear interest at a rate of 7% per year, payable semiannually in arrears on each June 15 and December 15, commencing on June 15, 2022, to holders of record at the close of business on the preceding June 1 and December 1 (whether or not such day is a Business Day), respectively. The Exchangeable Notes mature in five years 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4"/>
          <w:szCs w:val="14"/>
          <w:color w:val="auto"/>
        </w:rPr>
        <w:t>December 27, 2026. The Company will settle any exchange of the Exchangeable Notes in shares of Class A Common Stock, with cash payable in lieu of any fractional shares. In connection with the issuance of the Exchangeable Notes, the Company entered into a Registration Rights Agreement, pursuant to which the Notes Investors received certain registration rights with respect to the Class A Common Stock.</w:t>
      </w:r>
    </w:p>
    <w:p>
      <w:pPr>
        <w:spacing w:after="0" w:line="157" w:lineRule="exact"/>
        <w:rPr>
          <w:sz w:val="20"/>
          <w:szCs w:val="20"/>
          <w:color w:val="auto"/>
        </w:rPr>
      </w:pPr>
    </w:p>
    <w:p>
      <w:pPr>
        <w:ind w:right="160" w:firstLine="508"/>
        <w:spacing w:after="0" w:line="257" w:lineRule="auto"/>
        <w:rPr>
          <w:sz w:val="20"/>
          <w:szCs w:val="20"/>
          <w:color w:val="auto"/>
        </w:rPr>
      </w:pPr>
      <w:r>
        <w:rPr>
          <w:rFonts w:ascii="Times New Roman" w:cs="Times New Roman" w:eastAsia="Times New Roman" w:hAnsi="Times New Roman"/>
          <w:sz w:val="14"/>
          <w:szCs w:val="14"/>
          <w:color w:val="auto"/>
        </w:rPr>
        <w:t>After the three-year anniversary of the Closing Date, the Exchangeable Notes will be redeemable at any time and from time to time by the Company, in whole or in part, (i) if the Last Reported Sale Price of the Class A Common Stock exceeds 130% of the exchange price as defined in Indenture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so long as a registration statement registering the resale of all Exchange Shares is effective and available for use by holders of</w:t>
      </w:r>
    </w:p>
    <w:p>
      <w:pPr>
        <w:spacing w:after="0" w:line="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4"/>
          <w:szCs w:val="14"/>
          <w:color w:val="auto"/>
        </w:rPr>
        <w:t>Exchangeable Notes during the entirety of the period from and including the date notice of redemption is given to and including the date of redemption. The notice period for any redemption will be no less than 30 scheduled trading days. The redemption price in any such redemption shall be equal to (a) 100% of the principal amount of the Exchangeable Notes to be redeemed, plus (b) accrued and unpaid interest to, but excluding, the redemption date. The redemption price is payable in cash.</w:t>
      </w:r>
    </w:p>
    <w:p>
      <w:pPr>
        <w:spacing w:after="0" w:line="165" w:lineRule="exact"/>
        <w:rPr>
          <w:sz w:val="20"/>
          <w:szCs w:val="20"/>
          <w:color w:val="auto"/>
        </w:rPr>
      </w:pPr>
    </w:p>
    <w:p>
      <w:pPr>
        <w:ind w:firstLine="508"/>
        <w:spacing w:after="0" w:line="263" w:lineRule="auto"/>
        <w:rPr>
          <w:sz w:val="20"/>
          <w:szCs w:val="20"/>
          <w:color w:val="auto"/>
        </w:rPr>
      </w:pPr>
      <w:r>
        <w:rPr>
          <w:rFonts w:ascii="Times New Roman" w:cs="Times New Roman" w:eastAsia="Times New Roman" w:hAnsi="Times New Roman"/>
          <w:sz w:val="14"/>
          <w:szCs w:val="14"/>
          <w:color w:val="auto"/>
        </w:rPr>
        <w:t>Per the terms of the indenture, holders of Exchangeable Notes in connection with any such redemption will receive a make-whole payment equal to the aggregate dollar value of all interest payable from the date the Company delivers notice of such redemption through the maturity of the Exchangeable Notes. The redemption Make-Whole Amount is payable, at the Company’s option, in cash or through an increase in the exchange rate then applicable to the Exchangeable Notes by an amount equal to (i) the redemption Make-Whole Amount divided by (ii) the five day Volume Weighed Average Price ("VWAP") with regard to the Class A Common Stock during the five trading period beginning on the trading day immediately following the notice of redemption.</w:t>
      </w:r>
    </w:p>
    <w:p>
      <w:pPr>
        <w:spacing w:after="0" w:line="162" w:lineRule="exact"/>
        <w:rPr>
          <w:sz w:val="20"/>
          <w:szCs w:val="20"/>
          <w:color w:val="auto"/>
        </w:rPr>
      </w:pPr>
    </w:p>
    <w:p>
      <w:pPr>
        <w:ind w:right="160" w:firstLine="508"/>
        <w:spacing w:after="0" w:line="286" w:lineRule="auto"/>
        <w:rPr>
          <w:sz w:val="20"/>
          <w:szCs w:val="20"/>
          <w:color w:val="auto"/>
        </w:rPr>
      </w:pPr>
      <w:r>
        <w:rPr>
          <w:rFonts w:ascii="Times New Roman" w:cs="Times New Roman" w:eastAsia="Times New Roman" w:hAnsi="Times New Roman"/>
          <w:sz w:val="14"/>
          <w:szCs w:val="14"/>
          <w:color w:val="auto"/>
        </w:rPr>
        <w:t>Holders of Exchangeable Notes may exchange their notes in whole or in part, at any time or from time to time, for shares of the Company’s Class A Common Stock, par value $0.0001 per share up, to a maximum exchange rate of 99.9999 shares per $1,000 principal amount after adjustments as defined in the indenture.</w:t>
      </w:r>
    </w:p>
    <w:p>
      <w:pPr>
        <w:spacing w:after="0" w:line="145" w:lineRule="exact"/>
        <w:rPr>
          <w:sz w:val="20"/>
          <w:szCs w:val="20"/>
          <w:color w:val="auto"/>
        </w:rPr>
      </w:pPr>
    </w:p>
    <w:p>
      <w:pPr>
        <w:ind w:firstLine="508"/>
        <w:spacing w:after="0" w:line="269" w:lineRule="auto"/>
        <w:rPr>
          <w:sz w:val="20"/>
          <w:szCs w:val="20"/>
          <w:color w:val="auto"/>
        </w:rPr>
      </w:pPr>
      <w:r>
        <w:rPr>
          <w:rFonts w:ascii="Times New Roman" w:cs="Times New Roman" w:eastAsia="Times New Roman" w:hAnsi="Times New Roman"/>
          <w:sz w:val="14"/>
          <w:szCs w:val="14"/>
          <w:color w:val="auto"/>
        </w:rPr>
        <w:t>The Exchangeable Notes contain customary anti-dilution adjustments, taking into account the agreed terms in the Indenture. To avoid doubt, among other customary adjustments, this includes anti-dilution protections for dividends and distributions of the Company's capital stock, assets and indebtedness. Per the terms of the Indenture, the following are the anti-dilution adjustments of the Exchange Rate:</w:t>
      </w:r>
    </w:p>
    <w:p>
      <w:pPr>
        <w:spacing w:after="0" w:line="157" w:lineRule="exact"/>
        <w:rPr>
          <w:sz w:val="20"/>
          <w:szCs w:val="20"/>
          <w:color w:val="auto"/>
        </w:rPr>
      </w:pPr>
    </w:p>
    <w:p>
      <w:pPr>
        <w:ind w:left="500" w:hanging="241"/>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exclusively issues shares of common stock as a dividend or distribution on shares of the common stock, or if the Company effects a share split or share combination;</w:t>
      </w:r>
    </w:p>
    <w:p>
      <w:pPr>
        <w:spacing w:after="0" w:line="198" w:lineRule="exact"/>
        <w:rPr>
          <w:rFonts w:ascii="Times New Roman" w:cs="Times New Roman" w:eastAsia="Times New Roman" w:hAnsi="Times New Roman"/>
          <w:sz w:val="14"/>
          <w:szCs w:val="14"/>
          <w:color w:val="auto"/>
        </w:rPr>
      </w:pPr>
    </w:p>
    <w:p>
      <w:pPr>
        <w:ind w:left="520" w:right="80" w:hanging="261"/>
        <w:spacing w:after="0" w:line="263"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w:t>
      </w:r>
    </w:p>
    <w:p>
      <w:pPr>
        <w:spacing w:after="0" w:line="161" w:lineRule="exact"/>
        <w:rPr>
          <w:rFonts w:ascii="Times New Roman" w:cs="Times New Roman" w:eastAsia="Times New Roman" w:hAnsi="Times New Roman"/>
          <w:sz w:val="14"/>
          <w:szCs w:val="14"/>
          <w:color w:val="auto"/>
        </w:rPr>
      </w:pPr>
    </w:p>
    <w:p>
      <w:pPr>
        <w:ind w:left="520" w:right="80" w:hanging="261"/>
        <w:spacing w:after="0" w:line="286" w:lineRule="auto"/>
        <w:tabs>
          <w:tab w:leader="none" w:pos="51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w:t>
      </w:r>
    </w:p>
    <w:p>
      <w:pPr>
        <w:spacing w:after="0" w:line="14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cash dividend or distribution is made to all or substantially all holders of the common stock;</w:t>
      </w:r>
    </w:p>
    <w:p>
      <w:pPr>
        <w:spacing w:after="0" w:line="198" w:lineRule="exact"/>
        <w:rPr>
          <w:rFonts w:ascii="Times New Roman" w:cs="Times New Roman" w:eastAsia="Times New Roman" w:hAnsi="Times New Roman"/>
          <w:sz w:val="14"/>
          <w:szCs w:val="14"/>
          <w:color w:val="auto"/>
        </w:rPr>
      </w:pPr>
    </w:p>
    <w:p>
      <w:pPr>
        <w:ind w:left="520" w:right="320" w:hanging="261"/>
        <w:spacing w:after="0" w:line="286" w:lineRule="auto"/>
        <w:tabs>
          <w:tab w:leader="none" w:pos="51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or any of its Subsidiaries make a payment in respect of a tender or exchange offer for the common Stock, to the extent that the cash and value of any other consideration included in the payment per share of the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right="420"/>
        <w:spacing w:after="0" w:line="286" w:lineRule="auto"/>
        <w:rPr>
          <w:sz w:val="20"/>
          <w:szCs w:val="20"/>
          <w:color w:val="auto"/>
        </w:rPr>
      </w:pPr>
      <w:r>
        <w:rPr>
          <w:rFonts w:ascii="Times New Roman" w:cs="Times New Roman" w:eastAsia="Times New Roman" w:hAnsi="Times New Roman"/>
          <w:sz w:val="14"/>
          <w:szCs w:val="14"/>
          <w:color w:val="auto"/>
        </w:rPr>
        <w:t>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exchange rate will in no event be adjusted down pursuant to the provisions described above, except to the extent a tender or exchange offer is announced but not consummated.</w:t>
      </w:r>
    </w:p>
    <w:p>
      <w:pPr>
        <w:spacing w:after="0" w:line="199" w:lineRule="exact"/>
        <w:rPr>
          <w:sz w:val="20"/>
          <w:szCs w:val="20"/>
          <w:color w:val="auto"/>
        </w:rPr>
      </w:pPr>
    </w:p>
    <w:p>
      <w:pPr>
        <w:ind w:right="200" w:firstLine="508"/>
        <w:spacing w:after="0" w:line="263" w:lineRule="auto"/>
        <w:rPr>
          <w:sz w:val="20"/>
          <w:szCs w:val="20"/>
          <w:color w:val="auto"/>
        </w:rPr>
      </w:pPr>
      <w:r>
        <w:rPr>
          <w:rFonts w:ascii="Times New Roman" w:cs="Times New Roman" w:eastAsia="Times New Roman" w:hAnsi="Times New Roman"/>
          <w:sz w:val="14"/>
          <w:szCs w:val="14"/>
          <w:color w:val="auto"/>
        </w:rPr>
        <w:t>If the Company undergoes a “fundamental change” (as defined in the Indenture), subject to certain conditions, the Exchange Rate will be adjusted per the adjustment table included in the Indenture. If a fundamental change occurs at any time prior to the maturity date, each holder shall have the right, at such holder’s option, to require the Company to repurchase for cash all of such holder’s Exchangeable Notes at a repurchase price equal to 100% of the principal amount of the Exchangeable Notes to be repurchased, plus accrued and unpaid interest thereon. There is no make-whole payment associated with a fundamental change redemption.</w:t>
      </w:r>
    </w:p>
    <w:p>
      <w:pPr>
        <w:spacing w:after="0" w:line="162" w:lineRule="exact"/>
        <w:rPr>
          <w:sz w:val="20"/>
          <w:szCs w:val="20"/>
          <w:color w:val="auto"/>
        </w:rPr>
      </w:pPr>
    </w:p>
    <w:p>
      <w:pPr>
        <w:ind w:right="40" w:firstLine="508"/>
        <w:spacing w:after="0" w:line="236" w:lineRule="auto"/>
        <w:rPr>
          <w:sz w:val="20"/>
          <w:szCs w:val="20"/>
          <w:color w:val="auto"/>
        </w:rPr>
      </w:pPr>
      <w:r>
        <w:rPr>
          <w:rFonts w:ascii="Times New Roman" w:cs="Times New Roman" w:eastAsia="Times New Roman" w:hAnsi="Times New Roman"/>
          <w:sz w:val="14"/>
          <w:szCs w:val="14"/>
          <w:color w:val="auto"/>
        </w:rPr>
        <w:t>Holders of Exchangeable Notes will be entitled to the resale registration rights under the resale Registration Rights Agreement. If a Registration default occurs, additional interest will accrue, equal to 0.25% in the first 90 days and 0.50% after the 91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day after the Registration Default (which includes that the Registration Statement has not been filed, or deemed effective or ceases to be effective).</w:t>
      </w:r>
    </w:p>
    <w:p>
      <w:pPr>
        <w:spacing w:after="0" w:line="178" w:lineRule="exact"/>
        <w:rPr>
          <w:sz w:val="20"/>
          <w:szCs w:val="20"/>
          <w:color w:val="auto"/>
        </w:rPr>
      </w:pPr>
    </w:p>
    <w:p>
      <w:pPr>
        <w:ind w:firstLine="508"/>
        <w:spacing w:after="0" w:line="263" w:lineRule="auto"/>
        <w:rPr>
          <w:sz w:val="20"/>
          <w:szCs w:val="20"/>
          <w:color w:val="auto"/>
        </w:rPr>
      </w:pPr>
      <w:r>
        <w:rPr>
          <w:rFonts w:ascii="Times New Roman" w:cs="Times New Roman" w:eastAsia="Times New Roman" w:hAnsi="Times New Roman"/>
          <w:sz w:val="14"/>
          <w:szCs w:val="14"/>
          <w:color w:val="auto"/>
        </w:rPr>
        <w:t>The Indenture contains customary terms and covenants and events of default. Upon an event of default as defined in the Indenture, the trustee or the holders of at least 25% in aggregate principal amount of the Exchangeable Notes may declare 100% of the principal of, and accrued and unpaid interest on, all the Exchangeable Notes to be due and payable immediately, and upon any such declaration, the same shall become and shall automatically be immediately due and payable. Upon an event of default in the payment of interest, the Company may elect the sole remedy to be the payment of additional interest of 0.25% for the first 90 days after the occurrence of such an event of default and 0.50% for day s 91-180 after the occurrence of such an event of default.</w:t>
      </w:r>
    </w:p>
    <w:p>
      <w:pPr>
        <w:spacing w:after="0" w:line="162" w:lineRule="exact"/>
        <w:rPr>
          <w:sz w:val="20"/>
          <w:szCs w:val="20"/>
          <w:color w:val="auto"/>
        </w:rPr>
      </w:pPr>
    </w:p>
    <w:p>
      <w:pPr>
        <w:ind w:firstLine="508"/>
        <w:spacing w:after="0" w:line="256" w:lineRule="auto"/>
        <w:rPr>
          <w:sz w:val="20"/>
          <w:szCs w:val="20"/>
          <w:color w:val="auto"/>
        </w:rPr>
      </w:pPr>
      <w:r>
        <w:rPr>
          <w:rFonts w:ascii="Times New Roman" w:cs="Times New Roman" w:eastAsia="Times New Roman" w:hAnsi="Times New Roman"/>
          <w:sz w:val="14"/>
          <w:szCs w:val="14"/>
          <w:color w:val="auto"/>
        </w:rPr>
        <w:t>The Company assessed all of the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as it is a derivative. The fair value of this derivative was determined based on the difference between the fair value of the Exchangeable Notes with the redemption with a make-whole provision feature and the fair value of the Exchangeable Notes without the redemption with a make-whole provision feature. The Company employed a Lattice model to determine the fair value of the derivative upon issuance of the Exchangeable Notes was $552 and recorded this amount as derivative liability with an offsetting amount as a debt discount as a reduction to the carrying value of the Exchangeable Notes on the Closing Date, or December 27, 2021. The optional redemption with a make-whole provision feature is measured at fair value on a quarterly basis and the change in the fair value for the period is recorded on the consolidated statements of operations. The Company determined that the change in fair value from December 27, 2021 to December 31, 2021 was not material. The Company performed a valuation of the derivative liability and determined that the fair value of the derivative liability was $722 at March 31, 2024 and $425 at December 31, 2023. The Company recorded an unfavorable change in fair value of $297 and $708 for the three months ended March 31, 2024 and March 31, 2023, respectively.</w:t>
      </w:r>
    </w:p>
    <w:p>
      <w:pPr>
        <w:spacing w:after="0" w:line="166" w:lineRule="exact"/>
        <w:rPr>
          <w:sz w:val="20"/>
          <w:szCs w:val="20"/>
          <w:color w:val="auto"/>
        </w:rPr>
      </w:pPr>
    </w:p>
    <w:p>
      <w:pPr>
        <w:ind w:right="140" w:firstLine="508"/>
        <w:spacing w:after="0" w:line="263" w:lineRule="auto"/>
        <w:rPr>
          <w:sz w:val="20"/>
          <w:szCs w:val="20"/>
          <w:color w:val="auto"/>
        </w:rPr>
      </w:pPr>
      <w:r>
        <w:rPr>
          <w:rFonts w:ascii="Times New Roman" w:cs="Times New Roman" w:eastAsia="Times New Roman" w:hAnsi="Times New Roman"/>
          <w:sz w:val="14"/>
          <w:szCs w:val="14"/>
          <w:color w:val="auto"/>
        </w:rPr>
        <w:t>The expected term of the Exchangeable Notes was equal for the period through December 27, 2026 as this represents the point at which the Exchangeable Notes will mature unless earlier converted in accordance with their terms prior to such date. For the quarter ended March 31, 2024 and March 31, 2023, the Company recognized $2,396 and $2,362 of interest expense related to the Exchangeable Notes at the effective interest rate of 7.4%. The fair value of the Company’s Exchangeable Notes without the make-whole feature, was approximately $126,000 and $118,000, as of March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508"/>
        <w:spacing w:after="0" w:line="269" w:lineRule="auto"/>
        <w:rPr>
          <w:sz w:val="20"/>
          <w:szCs w:val="20"/>
          <w:color w:val="auto"/>
        </w:rPr>
      </w:pPr>
      <w:r>
        <w:rPr>
          <w:rFonts w:ascii="Times New Roman" w:cs="Times New Roman" w:eastAsia="Times New Roman" w:hAnsi="Times New Roman"/>
          <w:sz w:val="14"/>
          <w:szCs w:val="14"/>
          <w:color w:val="auto"/>
        </w:rPr>
        <w:t>In connection with the issuance of the Exchangeable Notes, the Company incurred approximately $2,600 of debt issuance costs, which primarily consisted of underwriting fees, and allocated these costs to the liability component and recorded as a reduction in the carrying amount of the debt liability on the balance sheet. The portion allocated to the Exchangeable Notes is amortized to interest expense over the expected term of the Exchangeable Notes using the effective interest method.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Term Loan</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November of 2020, the Company through its subsidiary, Holdings, entered into a new agreement</w:t>
      </w:r>
    </w:p>
    <w:p>
      <w:pPr>
        <w:spacing w:after="0" w:line="2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with JPMC to refinance its then existing July 2019 credit facility, increasing the maximum aggregate amount available under the term loan to $240,000 bringing total credit facility to $300,000. In addition, the maturity date of both the revolver and term loan was amended to November 5, 2023. This amendment was accounted for as a modification and approximately $3,200 of additional costs incurred in connection with the modification were capitalized as debt issuance costs.</w:t>
      </w:r>
    </w:p>
    <w:p>
      <w:pPr>
        <w:spacing w:after="0" w:line="59" w:lineRule="exact"/>
        <w:rPr>
          <w:sz w:val="20"/>
          <w:szCs w:val="20"/>
          <w:color w:val="auto"/>
        </w:rPr>
      </w:pPr>
    </w:p>
    <w:p>
      <w:pPr>
        <w:jc w:val="both"/>
        <w:ind w:right="20" w:firstLine="508"/>
        <w:spacing w:after="0" w:line="269" w:lineRule="auto"/>
        <w:rPr>
          <w:sz w:val="20"/>
          <w:szCs w:val="20"/>
          <w:color w:val="auto"/>
        </w:rPr>
      </w:pPr>
      <w:r>
        <w:rPr>
          <w:rFonts w:ascii="Times New Roman" w:cs="Times New Roman" w:eastAsia="Times New Roman" w:hAnsi="Times New Roman"/>
          <w:sz w:val="14"/>
          <w:szCs w:val="14"/>
          <w:color w:val="auto"/>
        </w:rPr>
        <w:t>In December 2021, the Company entered into a new agreement with JPMC to refinance its then existing November 2020 credit facility (the "2021 Credit Facility"), increasing the maximum aggregate amount available under the term loan to $250,000 bringing total credit facility to $310,000. In addition, the maturity dates of both the revolver and term loan were amended to December 16, 2025. This amendment was accounted for as a modification and approximately $1,800 of additional costs incurred in connection with the modification were capitalized as debt issuance costs.</w:t>
      </w:r>
    </w:p>
    <w:p>
      <w:pPr>
        <w:spacing w:after="0" w:line="51" w:lineRule="exact"/>
        <w:rPr>
          <w:sz w:val="20"/>
          <w:szCs w:val="20"/>
          <w:color w:val="auto"/>
        </w:rPr>
      </w:pPr>
    </w:p>
    <w:p>
      <w:pPr>
        <w:ind w:right="180" w:firstLine="508"/>
        <w:spacing w:after="0" w:line="259" w:lineRule="auto"/>
        <w:rPr>
          <w:sz w:val="20"/>
          <w:szCs w:val="20"/>
          <w:color w:val="auto"/>
        </w:rPr>
      </w:pPr>
      <w:r>
        <w:rPr>
          <w:rFonts w:ascii="Times New Roman" w:cs="Times New Roman" w:eastAsia="Times New Roman" w:hAnsi="Times New Roman"/>
          <w:sz w:val="14"/>
          <w:szCs w:val="14"/>
          <w:color w:val="auto"/>
        </w:rPr>
        <w:t>In February 2023, the Company amended the 2021 Credit Facility to transition from bearing interest based on LIBOR to SOFR or the Alternate Base Rate (as defined in the 2021 Credit Facility), at the election of the Company, plus an applicable margin, and to reflect the waiver of a technical default under the 2021 Credit Facility, related to the delayed delivery of a pledge of its interests in Holdings by the parent company (i.e., CompoSecure, Inc.). Holdings had already pledged all of its assets in favor of the lenders as per the terms of the debt agreement. After the amendment on February 28, 2023, the interest rate spreads and fees under the 2021 Credit Facility are based on a quoted SOFR plus a SOFR adjustment of 0.10% and an applicable margin ranging from 1.75% to 2.75% as determined by the Company’s prevailing Leverage Ratio for the revolving and term loan Term Benchmark and RFR Spread debt (as each term is defined in the 2021 Credit Facility).</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May 2023, certain lenders under the Company's 2021 Credit Facility transferred their debt to certain other</w:t>
      </w:r>
    </w:p>
    <w:p>
      <w:pPr>
        <w:spacing w:after="0" w:line="23"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lenders. Approximately $257 of additional costs incurred by the Company in connection with the transfers were capitalized as debt issuance costs. In addition, approximately $589 deferred finance fees incurred by the Company at the inception of the 2021 Credit Facility and relating to the transferring lenders were written off by the Company at the time of the transfers.</w:t>
      </w:r>
    </w:p>
    <w:p>
      <w:pPr>
        <w:spacing w:after="0" w:line="150" w:lineRule="exact"/>
        <w:rPr>
          <w:sz w:val="20"/>
          <w:szCs w:val="20"/>
          <w:color w:val="auto"/>
        </w:rPr>
      </w:pPr>
    </w:p>
    <w:p>
      <w:pPr>
        <w:ind w:firstLine="508"/>
        <w:spacing w:after="0" w:line="270" w:lineRule="auto"/>
        <w:rPr>
          <w:sz w:val="20"/>
          <w:szCs w:val="20"/>
          <w:color w:val="auto"/>
        </w:rPr>
      </w:pPr>
      <w:r>
        <w:rPr>
          <w:rFonts w:ascii="Times New Roman" w:cs="Times New Roman" w:eastAsia="Times New Roman" w:hAnsi="Times New Roman"/>
          <w:sz w:val="14"/>
          <w:szCs w:val="14"/>
          <w:color w:val="auto"/>
        </w:rPr>
        <w:t>In March 2024, the Company and the lenders entered into a further amendment to the Credit Facility. This amendment allowed the Company (or the applicable subsidiary) to repurchase outstanding shares of common stock, outstanding warrants to purchase shares of common stock and/or outstanding exchangeable notes in an aggregate amount not to exceed $40,000,000 at any time.</w:t>
      </w:r>
    </w:p>
    <w:p>
      <w:pPr>
        <w:spacing w:after="0" w:line="156" w:lineRule="exact"/>
        <w:rPr>
          <w:sz w:val="20"/>
          <w:szCs w:val="20"/>
          <w:color w:val="auto"/>
        </w:rPr>
      </w:pPr>
    </w:p>
    <w:p>
      <w:pPr>
        <w:ind w:right="180" w:firstLine="508"/>
        <w:spacing w:after="0" w:line="263" w:lineRule="auto"/>
        <w:rPr>
          <w:sz w:val="20"/>
          <w:szCs w:val="20"/>
          <w:color w:val="auto"/>
        </w:rPr>
      </w:pPr>
      <w:r>
        <w:rPr>
          <w:rFonts w:ascii="Times New Roman" w:cs="Times New Roman" w:eastAsia="Times New Roman" w:hAnsi="Times New Roman"/>
          <w:sz w:val="14"/>
          <w:szCs w:val="14"/>
          <w:color w:val="auto"/>
        </w:rPr>
        <w:t>Interest on the Revolver and Term Loan are based on the outstanding principal amount during the interest period multiplied by the fluctuating bank prime rate plus the applicable margin of 1.75% or for portions of the debt converted to Term Benchmark Loan, the quoted SOFR rate plus the applicable margin of 2.75%. At March 31, 2024 and 2023, the effective interest rate on the Revolver and Term Loan was 7.80% and 7.99% per year, respectively. Interest is payable monthly in arrears or upon maturity of the Euro loans that can run 30, 90, 120, 180 day time periods. The Company must pay quarterly an annual commitment fee of 0.35% on the unused portion of the $60,000 Revolver.</w:t>
      </w:r>
    </w:p>
    <w:p>
      <w:pPr>
        <w:spacing w:after="0" w:line="56" w:lineRule="exact"/>
        <w:rPr>
          <w:sz w:val="20"/>
          <w:szCs w:val="20"/>
          <w:color w:val="auto"/>
        </w:rPr>
      </w:pPr>
    </w:p>
    <w:p>
      <w:pPr>
        <w:ind w:right="80" w:firstLine="508"/>
        <w:spacing w:after="0" w:line="286" w:lineRule="auto"/>
        <w:rPr>
          <w:sz w:val="20"/>
          <w:szCs w:val="20"/>
          <w:color w:val="auto"/>
        </w:rPr>
      </w:pPr>
      <w:r>
        <w:rPr>
          <w:rFonts w:ascii="Times New Roman" w:cs="Times New Roman" w:eastAsia="Times New Roman" w:hAnsi="Times New Roman"/>
          <w:sz w:val="14"/>
          <w:szCs w:val="14"/>
          <w:color w:val="auto"/>
        </w:rPr>
        <w:t>The credit facility is secured by substantially all of the assets of the Company. The Company recognized $4,459 and $5,161 of interest expense related to the Revolver and the Term Loan for the quarter ended March 31, 2024 and 2023, respectively.</w:t>
      </w:r>
    </w:p>
    <w:p>
      <w:pPr>
        <w:spacing w:after="0" w:line="40" w:lineRule="exact"/>
        <w:rPr>
          <w:sz w:val="20"/>
          <w:szCs w:val="20"/>
          <w:color w:val="auto"/>
        </w:rPr>
      </w:pPr>
    </w:p>
    <w:p>
      <w:pPr>
        <w:ind w:right="60" w:firstLine="508"/>
        <w:spacing w:after="0" w:line="269" w:lineRule="auto"/>
        <w:rPr>
          <w:sz w:val="20"/>
          <w:szCs w:val="20"/>
          <w:color w:val="auto"/>
        </w:rPr>
      </w:pPr>
      <w:r>
        <w:rPr>
          <w:rFonts w:ascii="Times New Roman" w:cs="Times New Roman" w:eastAsia="Times New Roman" w:hAnsi="Times New Roman"/>
          <w:sz w:val="14"/>
          <w:szCs w:val="14"/>
          <w:color w:val="auto"/>
        </w:rPr>
        <w:t>The terms of the credit facilities contain certain financial covenants including a minimum interest coverage ratio, a maximum total debt to EBITDA ratio and a minimum fixed charge coverage ratio. At March 31, 2024 and December 31, 2023, the Company was in compliance with all financial covenants. The fair value of the Company's debt approximates the carrying value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31, 2024 and December 31, 2023, there were no balances outstanding on the Revolver. At March 31, 2024, there was $60,000 available for borrowing under the Revolver.</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balances payable under all borrowing facilities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140" w:type="dxa"/>
            <w:vAlign w:val="bottom"/>
          </w:tcPr>
          <w:p>
            <w:pPr>
              <w:spacing w:after="0"/>
              <w:rPr>
                <w:sz w:val="13"/>
                <w:szCs w:val="13"/>
                <w:color w:val="auto"/>
              </w:rPr>
            </w:pPr>
          </w:p>
        </w:tc>
      </w:tr>
      <w:tr>
        <w:trPr>
          <w:trHeight w:val="167"/>
        </w:trPr>
        <w:tc>
          <w:tcPr>
            <w:tcW w:w="3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
        </w:trPr>
        <w:tc>
          <w:tcPr>
            <w:tcW w:w="3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32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Term Loan</w:t>
            </w:r>
          </w:p>
        </w:tc>
        <w:tc>
          <w:tcPr>
            <w:tcW w:w="15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Exchangeable Notes</w:t>
            </w:r>
          </w:p>
        </w:tc>
        <w:tc>
          <w:tcPr>
            <w:tcW w:w="1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1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Term Loan</w:t>
            </w:r>
          </w:p>
        </w:tc>
        <w:tc>
          <w:tcPr>
            <w:tcW w:w="1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Exchangeable Notes</w:t>
            </w:r>
          </w:p>
        </w:tc>
        <w:tc>
          <w:tcPr>
            <w:tcW w:w="11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Total debt</w:t>
            </w:r>
          </w:p>
        </w:tc>
      </w:tr>
      <w:tr>
        <w:trPr>
          <w:trHeight w:val="20"/>
        </w:trPr>
        <w:tc>
          <w:tcPr>
            <w:tcW w:w="3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6" w:lineRule="exact"/>
        <w:rPr>
          <w:sz w:val="20"/>
          <w:szCs w:val="20"/>
          <w:color w:val="auto"/>
        </w:rPr>
      </w:pPr>
    </w:p>
    <w:p>
      <w:pPr>
        <w:sectPr>
          <w:pgSz w:w="11900" w:h="16838" w:orient="portrait"/>
          <w:cols w:equalWidth="0" w:num="1">
            <w:col w:w="11280"/>
          </w:cols>
          <w:pgMar w:left="300" w:top="117" w:right="319" w:bottom="1440" w:gutter="0" w:footer="0" w:header="0"/>
        </w:sectPr>
      </w:pPr>
    </w:p>
    <w:p>
      <w:pPr>
        <w:ind w:left="60"/>
        <w:spacing w:after="0"/>
        <w:tabs>
          <w:tab w:leader="none" w:pos="3200" w:val="left"/>
        </w:tabs>
        <w:rPr>
          <w:sz w:val="20"/>
          <w:szCs w:val="20"/>
          <w:color w:val="auto"/>
        </w:rPr>
      </w:pPr>
      <w:r>
        <w:rPr>
          <w:rFonts w:ascii="Times New Roman" w:cs="Times New Roman" w:eastAsia="Times New Roman" w:hAnsi="Times New Roman"/>
          <w:sz w:val="14"/>
          <w:szCs w:val="14"/>
          <w:color w:val="auto"/>
        </w:rPr>
        <w:t>Loan Balance</w:t>
      </w:r>
      <w:r>
        <w:rPr>
          <w:sz w:val="20"/>
          <w:szCs w:val="20"/>
          <w:color w:val="auto"/>
        </w:rPr>
        <w:tab/>
      </w:r>
      <w:r>
        <w:rPr>
          <w:rFonts w:ascii="Times New Roman" w:cs="Times New Roman" w:eastAsia="Times New Roman" w:hAnsi="Times New Roman"/>
          <w:sz w:val="14"/>
          <w:szCs w:val="14"/>
          <w:color w:val="auto"/>
        </w:rPr>
        <w:t>$</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current portion of term loan (scheduled payments)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net deferred financing costs</w:t>
      </w:r>
    </w:p>
    <w:p>
      <w:pPr>
        <w:spacing w:after="0" w:line="72" w:lineRule="exact"/>
        <w:rPr>
          <w:sz w:val="20"/>
          <w:szCs w:val="20"/>
          <w:color w:val="auto"/>
        </w:rPr>
      </w:pPr>
    </w:p>
    <w:p>
      <w:pPr>
        <w:ind w:left="20"/>
        <w:spacing w:after="0"/>
        <w:tabs>
          <w:tab w:leader="none" w:pos="3200" w:val="left"/>
        </w:tabs>
        <w:rPr>
          <w:sz w:val="20"/>
          <w:szCs w:val="20"/>
          <w:color w:val="auto"/>
        </w:rPr>
      </w:pPr>
      <w:r>
        <w:rPr>
          <w:rFonts w:ascii="Times New Roman" w:cs="Times New Roman" w:eastAsia="Times New Roman" w:hAnsi="Times New Roman"/>
          <w:sz w:val="14"/>
          <w:szCs w:val="14"/>
          <w:color w:val="auto"/>
        </w:rPr>
        <w:t>Total Long Term debt</w:t>
      </w:r>
      <w:r>
        <w:rPr>
          <w:sz w:val="20"/>
          <w:szCs w:val="20"/>
          <w:color w:val="auto"/>
        </w:rPr>
        <w:tab/>
      </w:r>
      <w:r>
        <w:rPr>
          <w:rFonts w:ascii="Times New Roman" w:cs="Times New Roman" w:eastAsia="Times New Roman" w:hAnsi="Times New Roman"/>
          <w:sz w:val="14"/>
          <w:szCs w:val="14"/>
          <w:color w:val="auto"/>
        </w:rPr>
        <w:t>$</w:t>
      </w:r>
    </w:p>
    <w:p>
      <w:pPr>
        <w:spacing w:after="0" w:line="82" w:lineRule="exact"/>
        <w:rPr>
          <w:sz w:val="20"/>
          <w:szCs w:val="20"/>
          <w:color w:val="auto"/>
        </w:rPr>
      </w:pPr>
    </w:p>
    <w:p>
      <w:pPr>
        <w:ind w:left="20" w:right="440"/>
        <w:spacing w:after="0" w:line="301" w:lineRule="auto"/>
        <w:rPr>
          <w:sz w:val="20"/>
          <w:szCs w:val="20"/>
          <w:color w:val="auto"/>
        </w:rPr>
      </w:pPr>
      <w:r>
        <w:rPr>
          <w:rFonts w:ascii="Times New Roman" w:cs="Times New Roman" w:eastAsia="Times New Roman" w:hAnsi="Times New Roman"/>
          <w:sz w:val="14"/>
          <w:szCs w:val="14"/>
          <w:color w:val="auto"/>
        </w:rPr>
        <w:t>Derivative liability - redemption with make-whole provision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205,625</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335,625</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210,313</w:t>
            </w:r>
          </w:p>
        </w:tc>
        <w:tc>
          <w:tcPr>
            <w:tcW w:w="8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$340,313</w:t>
            </w:r>
          </w:p>
        </w:tc>
      </w:tr>
      <w:tr>
        <w:trPr>
          <w:trHeight w:val="222"/>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6"/>
              </w:rPr>
              <w:t>(11,875)</w:t>
            </w:r>
          </w:p>
        </w:tc>
        <w:tc>
          <w:tcPr>
            <w:tcW w:w="5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94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(10,313)</w:t>
            </w:r>
          </w:p>
        </w:tc>
      </w:tr>
      <w:tr>
        <w:trPr>
          <w:trHeight w:val="222"/>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(1,451)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(3,837)</w:t>
            </w:r>
          </w:p>
        </w:tc>
      </w:tr>
      <w:tr>
        <w:trPr>
          <w:trHeight w:val="32"/>
        </w:trPr>
        <w:tc>
          <w:tcPr>
            <w:tcW w:w="6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192,299</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127,959</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320,258</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198,331</w:t>
            </w:r>
          </w:p>
        </w:tc>
        <w:tc>
          <w:tcPr>
            <w:tcW w:w="8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127,832</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326,163</w:t>
            </w:r>
          </w:p>
        </w:tc>
      </w:tr>
      <w:tr>
        <w:trPr>
          <w:trHeight w:val="32"/>
        </w:trPr>
        <w:tc>
          <w:tcPr>
            <w:tcW w:w="6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7"/>
        </w:trPr>
        <w:tc>
          <w:tcPr>
            <w:tcW w:w="600" w:type="dxa"/>
            <w:vAlign w:val="bottom"/>
          </w:tcPr>
          <w:p>
            <w:pPr>
              <w:spacing w:after="0"/>
              <w:rPr>
                <w:sz w:val="21"/>
                <w:szCs w:val="21"/>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-624205</wp:posOffset>
            </wp:positionV>
            <wp:extent cx="7148830" cy="140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830" cy="140970"/>
                    </a:xfrm>
                    <a:prstGeom prst="rect">
                      <a:avLst/>
                    </a:prstGeom>
                    <a:noFill/>
                  </pic:spPr>
                </pic:pic>
              </a:graphicData>
            </a:graphic>
          </wp:anchor>
        </w:drawing>
        <w:drawing>
          <wp:anchor simplePos="0" relativeHeight="251657728" behindDoc="1" locked="0" layoutInCell="0" allowOverlap="1">
            <wp:simplePos x="0" y="0"/>
            <wp:positionH relativeFrom="column">
              <wp:posOffset>-2485390</wp:posOffset>
            </wp:positionH>
            <wp:positionV relativeFrom="paragraph">
              <wp:posOffset>-341630</wp:posOffset>
            </wp:positionV>
            <wp:extent cx="7148830" cy="174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830" cy="174625"/>
                    </a:xfrm>
                    <a:prstGeom prst="rect">
                      <a:avLst/>
                    </a:prstGeom>
                    <a:noFill/>
                  </pic:spPr>
                </pic:pic>
              </a:graphicData>
            </a:graphic>
          </wp:anchor>
        </w:drawing>
      </w:r>
    </w:p>
    <w:p>
      <w:pPr>
        <w:spacing w:after="0" w:line="324" w:lineRule="exact"/>
        <w:rPr>
          <w:sz w:val="20"/>
          <w:szCs w:val="20"/>
          <w:color w:val="auto"/>
        </w:rPr>
      </w:pPr>
    </w:p>
    <w:p>
      <w:pPr>
        <w:sectPr>
          <w:pgSz w:w="11900" w:h="16838" w:orient="portrait"/>
          <w:cols w:equalWidth="0" w:num="2">
            <w:col w:w="3300" w:space="620"/>
            <w:col w:w="7360"/>
          </w:cols>
          <w:pgMar w:left="300" w:top="117" w:right="31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maturity of all the borrowings facilities is as follows:</w:t>
            </w:r>
          </w:p>
        </w:tc>
        <w:tc>
          <w:tcPr>
            <w:tcW w:w="15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12"/>
        </w:trPr>
        <w:tc>
          <w:tcPr>
            <w:tcW w:w="7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02"/>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2024</w:t>
            </w:r>
          </w:p>
        </w:tc>
        <w:tc>
          <w:tcPr>
            <w:tcW w:w="1500" w:type="dxa"/>
            <w:vAlign w:val="bottom"/>
            <w:tcBorders>
              <w:bottom w:val="single" w:sz="8" w:color="CCEEFF"/>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w:t>
            </w:r>
          </w:p>
        </w:tc>
      </w:t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5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r>
      <w:tr>
        <w:trPr>
          <w:trHeight w:val="32"/>
        </w:trPr>
        <w:tc>
          <w:tcPr>
            <w:tcW w:w="7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2"/>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r>
      <w:tr>
        <w:trPr>
          <w:trHeight w:val="18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500" w:type="dxa"/>
            <w:vAlign w:val="bottom"/>
            <w:tcBorders>
              <w:top w:val="single" w:sz="8" w:color="auto"/>
            </w:tcBorders>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335,625</w:t>
            </w:r>
          </w:p>
        </w:tc>
      </w:tr>
      <w:tr>
        <w:trPr>
          <w:trHeight w:val="32"/>
        </w:trPr>
        <w:tc>
          <w:tcPr>
            <w:tcW w:w="78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100" w:firstLine="508"/>
        <w:spacing w:after="0" w:line="257" w:lineRule="auto"/>
        <w:rPr>
          <w:sz w:val="20"/>
          <w:szCs w:val="20"/>
          <w:color w:val="auto"/>
        </w:rPr>
      </w:pPr>
      <w:r>
        <w:rPr>
          <w:rFonts w:ascii="Times New Roman" w:cs="Times New Roman" w:eastAsia="Times New Roman" w:hAnsi="Times New Roman"/>
          <w:sz w:val="14"/>
          <w:szCs w:val="14"/>
          <w:color w:val="auto"/>
        </w:rPr>
        <w:t>The Company is exposed to interest rate risk on variable interest rate debt obligations. To manage interest rate risk, the Company had entered into an interest rate swap agreement on November 5, 2020 to hedge forecasted interest rate payments on its variable rate debt. In January 2022, the Company cancelled the November 2020 swap agreement and entered into a new interest rate swap agreement. At March 31, 2024, the Company’s interest rate swap contract outstanding had a notional amount of $125,000 maturing in December 2025. The Company has designated the interest rate swap agreement as a cash flow hedge for accounting purposes, that was determined to be effective. The Company determined the fair value of the interest rate swap to be zero at the inception of the agreement and $5,745 and $5,258 at March 31, 2024 and December 31, 2023, respectively. The Company reflects the realized gains and losses of the actual monthly settlement activity of the interest rate swap through interest income or expense in its consolidated statements of operations. The Company reflects the unrealized changes in fair value of the interest rate swap at each reporting period in other comprehensive income and a derivative asset or liability will be recognized at each reporting period in the Company’s financial statements. The interest rate swap converted to SOFR from LIBOR at the same time as the amendment of 2021 Credit Facility in February 2023.</w:t>
      </w:r>
    </w:p>
    <w:p>
      <w:pPr>
        <w:spacing w:after="0" w:line="142" w:lineRule="exact"/>
        <w:rPr>
          <w:sz w:val="20"/>
          <w:szCs w:val="20"/>
          <w:color w:val="auto"/>
        </w:rPr>
      </w:pPr>
    </w:p>
    <w:p>
      <w:pPr>
        <w:ind w:right="9680" w:firstLine="5"/>
        <w:spacing w:after="0" w:line="415" w:lineRule="auto"/>
        <w:tabs>
          <w:tab w:leader="none" w:pos="141"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STRUCTURE Shares Authorized</w:t>
      </w:r>
    </w:p>
    <w:p>
      <w:pPr>
        <w:spacing w:after="0" w:line="59" w:lineRule="exact"/>
        <w:rPr>
          <w:sz w:val="20"/>
          <w:szCs w:val="20"/>
          <w:color w:val="auto"/>
        </w:rPr>
      </w:pPr>
    </w:p>
    <w:p>
      <w:pPr>
        <w:ind w:right="40" w:firstLine="508"/>
        <w:spacing w:after="0" w:line="269" w:lineRule="auto"/>
        <w:rPr>
          <w:sz w:val="20"/>
          <w:szCs w:val="20"/>
          <w:color w:val="auto"/>
        </w:rPr>
      </w:pPr>
      <w:r>
        <w:rPr>
          <w:rFonts w:ascii="Times New Roman" w:cs="Times New Roman" w:eastAsia="Times New Roman" w:hAnsi="Times New Roman"/>
          <w:sz w:val="14"/>
          <w:szCs w:val="14"/>
          <w:color w:val="auto"/>
        </w:rPr>
        <w:t>As of March 31, 2024, the Company had authorized a total of 250,000,000 shares for issuance designated as Class A common stock, 75,000,000 designated as Class B common stock and 10,000,000 shares designated as preferred stock. As of March 31, 2024, there were 20,598,246 shares of Class A Common Stock issued and outstanding, 59,958,422 shares of Class B Common Stock issued and outstanding and no shares of Preferred Stock issued and outstanding.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Issuance of Common Stock</w:t>
      </w:r>
    </w:p>
    <w:p>
      <w:pPr>
        <w:spacing w:after="0" w:line="95" w:lineRule="exact"/>
        <w:rPr>
          <w:sz w:val="20"/>
          <w:szCs w:val="20"/>
          <w:color w:val="auto"/>
        </w:rPr>
      </w:pPr>
    </w:p>
    <w:p>
      <w:pPr>
        <w:ind w:right="280" w:firstLine="508"/>
        <w:spacing w:after="0" w:line="286" w:lineRule="auto"/>
        <w:rPr>
          <w:sz w:val="20"/>
          <w:szCs w:val="20"/>
          <w:color w:val="auto"/>
        </w:rPr>
      </w:pPr>
      <w:r>
        <w:rPr>
          <w:rFonts w:ascii="Times New Roman" w:cs="Times New Roman" w:eastAsia="Times New Roman" w:hAnsi="Times New Roman"/>
          <w:sz w:val="14"/>
          <w:szCs w:val="14"/>
          <w:color w:val="auto"/>
        </w:rPr>
        <w:t>In the quarter ended March 31, 2024, the Company issued 1,183,123 new shares of class A common stock pursuant primarily to the vesting of certain restricted stock units ("RSUs"), and exercises of stock options, as well as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75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396" w:lineRule="auto"/>
        <w:rPr>
          <w:sz w:val="20"/>
          <w:szCs w:val="20"/>
          <w:color w:val="auto"/>
        </w:rPr>
      </w:pPr>
      <w:r>
        <w:rPr>
          <w:rFonts w:ascii="Times New Roman" w:cs="Times New Roman" w:eastAsia="Times New Roman" w:hAnsi="Times New Roman"/>
          <w:sz w:val="14"/>
          <w:szCs w:val="14"/>
          <w:color w:val="auto"/>
        </w:rPr>
        <w:t xml:space="preserve">employee stock purchase plan transactions ("ESPP") during the quarter. The Class A common stock issued pursuant to the vesting of RSUs were issued net of shares withheld for applicable taxes. </w:t>
      </w:r>
      <w:r>
        <w:rPr>
          <w:rFonts w:ascii="Times New Roman" w:cs="Times New Roman" w:eastAsia="Times New Roman" w:hAnsi="Times New Roman"/>
          <w:sz w:val="14"/>
          <w:szCs w:val="14"/>
          <w:b w:val="1"/>
          <w:bCs w:val="1"/>
          <w:color w:val="auto"/>
        </w:rPr>
        <w:t>Warrants</w:t>
      </w:r>
    </w:p>
    <w:p>
      <w:pPr>
        <w:spacing w:after="0" w:line="72" w:lineRule="exact"/>
        <w:rPr>
          <w:sz w:val="20"/>
          <w:szCs w:val="20"/>
          <w:color w:val="auto"/>
        </w:rPr>
      </w:pPr>
    </w:p>
    <w:p>
      <w:pPr>
        <w:ind w:firstLine="508"/>
        <w:spacing w:after="0" w:line="269" w:lineRule="auto"/>
        <w:rPr>
          <w:sz w:val="20"/>
          <w:szCs w:val="20"/>
          <w:color w:val="auto"/>
        </w:rPr>
      </w:pPr>
      <w:r>
        <w:rPr>
          <w:rFonts w:ascii="Times New Roman" w:cs="Times New Roman" w:eastAsia="Times New Roman" w:hAnsi="Times New Roman"/>
          <w:sz w:val="14"/>
          <w:szCs w:val="14"/>
          <w:color w:val="auto"/>
        </w:rPr>
        <w:t>As of March 31, 2024, the Company had 22,415,389 public warrants outstanding. Until the expiration date of December 26, 2026, each public warrant entitles the registered holder to purchase one share of the Company’s Class A Common Stock at a price of $11.50 per share, subject to adjustment, at any time commencing 30 days after the completion of the Business Combination. Pursuant to the warrant agreement, a warrant holder may exercise its warrants only for a whole number of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Non-Controlling Interest</w:t>
      </w:r>
    </w:p>
    <w:p>
      <w:pPr>
        <w:spacing w:after="0" w:line="180" w:lineRule="exact"/>
        <w:rPr>
          <w:sz w:val="20"/>
          <w:szCs w:val="20"/>
          <w:color w:val="auto"/>
        </w:rPr>
      </w:pPr>
    </w:p>
    <w:p>
      <w:pPr>
        <w:ind w:right="80" w:firstLine="508"/>
        <w:spacing w:after="0" w:line="258" w:lineRule="auto"/>
        <w:rPr>
          <w:sz w:val="20"/>
          <w:szCs w:val="20"/>
          <w:color w:val="auto"/>
        </w:rPr>
      </w:pPr>
      <w:r>
        <w:rPr>
          <w:rFonts w:ascii="Times New Roman" w:cs="Times New Roman" w:eastAsia="Times New Roman" w:hAnsi="Times New Roman"/>
          <w:sz w:val="14"/>
          <w:szCs w:val="14"/>
          <w:color w:val="auto"/>
        </w:rPr>
        <w:t>Non-controlling interests represent direct interests held in Holdings other than by the Company immediately after the Business Combination. The non-controlling interests in the Company are represented by Class B Units, or such other equity securities in the Company as the Board may establish in accordance with the terms hereof. Since the potential cash redemptions of the non-controlling interests are outside the control of the Company, such non-controlling interests are classified as temporary equity on the consolidated balance sheet in accordance with ASC 480. Income tax benefit or expense is applied to the income attributable to the controlling interest as the income attributable to the non-controlling interest is pass-through income. The non-controlling interest has been adjusted to redemption value as of March 31, 2024, in accordance with ASC 480-10. This measurement adjustment results in a corresponding adjustment to shareholders’ deficit through adjustments to additional paid-in capital and retained earnings. The redemption value of the Class B Units was $596,587 on March 31, 2024. The redemption value was calculated by multiplying the 59,958,422 Class B Units outstanding at March 31, 2024 by the $9.95 trading price of our Class A common stock on December 27,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STOCK-BASED COMPENSATION</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share-based compensation expense included in Selling, general and administrative expenses within the consolidated statements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362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r>
      <w:tr>
        <w:trPr>
          <w:trHeight w:val="32"/>
        </w:trPr>
        <w:tc>
          <w:tcPr>
            <w:tcW w:w="58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3"/>
        </w:trPr>
        <w:tc>
          <w:tcPr>
            <w:tcW w:w="58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CCEEFF"/>
            </w:tcBorders>
            <w:shd w:val="clear" w:color="auto" w:fill="CCEEFF"/>
          </w:tcPr>
          <w:p>
            <w:pPr>
              <w:spacing w:after="0"/>
              <w:rPr>
                <w:sz w:val="18"/>
                <w:szCs w:val="18"/>
                <w:color w:val="auto"/>
              </w:rPr>
            </w:pPr>
          </w:p>
        </w:tc>
      </w:tr>
      <w:tr>
        <w:trPr>
          <w:trHeight w:val="181"/>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 expense</w:t>
            </w:r>
          </w:p>
        </w:tc>
        <w:tc>
          <w:tcPr>
            <w:tcW w:w="1440" w:type="dxa"/>
            <w:vAlign w:val="bottom"/>
            <w:tcBorders>
              <w:top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32"/>
        </w:trPr>
        <w:tc>
          <w:tcPr>
            <w:tcW w:w="5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2"/>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 expense</w:t>
            </w:r>
          </w:p>
        </w:tc>
        <w:tc>
          <w:tcPr>
            <w:tcW w:w="14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w:t>
            </w:r>
          </w:p>
        </w:tc>
      </w:tr>
      <w:tr>
        <w:trPr>
          <w:trHeight w:val="19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stock unit expense</w:t>
            </w:r>
          </w:p>
        </w:tc>
        <w:tc>
          <w:tcPr>
            <w:tcW w:w="1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r>
      <w:tr>
        <w:trPr>
          <w:trHeight w:val="32"/>
        </w:trPr>
        <w:tc>
          <w:tcPr>
            <w:tcW w:w="5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2"/>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4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1"/>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440" w:type="dxa"/>
            <w:vAlign w:val="bottom"/>
            <w:tcBorders>
              <w:top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4,022</w:t>
            </w:r>
          </w:p>
        </w:tc>
      </w:tr>
      <w:tr>
        <w:trPr>
          <w:trHeight w:val="32"/>
        </w:trPr>
        <w:tc>
          <w:tcPr>
            <w:tcW w:w="58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5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the options activity under the Holdings' equity plan, which was assumed by the Company, for the three month period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 Activity</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Weighted Average Exercise</w:t>
            </w:r>
          </w:p>
        </w:tc>
        <w:tc>
          <w:tcPr>
            <w:tcW w:w="160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7"/>
                <w:szCs w:val="17"/>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 Per Shares</w:t>
            </w:r>
          </w:p>
        </w:tc>
        <w:tc>
          <w:tcPr>
            <w:tcW w:w="16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
        </w:trPr>
        <w:tc>
          <w:tcPr>
            <w:tcW w:w="36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3,278,463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11,780</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March 31, 2024</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3,260,723</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17,383</w:t>
            </w: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March 31, 2024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3,260,723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17,383</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at March 31, 2024</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3,260,723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17,383</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 Activity</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gridSpan w:val="4"/>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32"/>
        </w:trPr>
        <w:tc>
          <w:tcPr>
            <w:tcW w:w="36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5,651,895</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1,900,678</w:t>
            </w: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(1,781,932)</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(39,450)</w:t>
            </w:r>
          </w:p>
        </w:tc>
        <w:tc>
          <w:tcPr>
            <w:tcW w:w="0" w:type="dxa"/>
            <w:vAlign w:val="bottom"/>
          </w:tcPr>
          <w:p>
            <w:pPr>
              <w:spacing w:after="0"/>
              <w:rPr>
                <w:sz w:val="1"/>
                <w:szCs w:val="1"/>
                <w:color w:val="auto"/>
              </w:rPr>
            </w:pPr>
          </w:p>
        </w:tc>
      </w:tr>
      <w:tr>
        <w:trPr>
          <w:trHeight w:val="32"/>
        </w:trPr>
        <w:tc>
          <w:tcPr>
            <w:tcW w:w="36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March 31, 2024</w:t>
            </w:r>
          </w:p>
        </w:tc>
        <w:tc>
          <w:tcPr>
            <w:tcW w:w="1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5,731,191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and Market based Stock Unit Activity</w:t>
            </w: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66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gridSpan w:val="4"/>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32"/>
        </w:trPr>
        <w:tc>
          <w:tcPr>
            <w:tcW w:w="36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1,107,536</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872,685</w:t>
            </w: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March 31, 2024</w:t>
            </w: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1,980,221</w:t>
            </w:r>
          </w:p>
        </w:tc>
        <w:tc>
          <w:tcPr>
            <w:tcW w:w="0" w:type="dxa"/>
            <w:vAlign w:val="bottom"/>
          </w:tcPr>
          <w:p>
            <w:pPr>
              <w:spacing w:after="0"/>
              <w:rPr>
                <w:sz w:val="1"/>
                <w:szCs w:val="1"/>
                <w:color w:val="auto"/>
              </w:rPr>
            </w:pPr>
          </w:p>
        </w:tc>
      </w:tr>
      <w:tr>
        <w:trPr>
          <w:trHeight w:val="21"/>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Earnouts</w:t>
            </w: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66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gridSpan w:val="4"/>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32"/>
        </w:trPr>
        <w:tc>
          <w:tcPr>
            <w:tcW w:w="36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657,160</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March 31, 2024</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657,160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Incentive Units</w:t>
      </w:r>
    </w:p>
    <w:p>
      <w:pPr>
        <w:spacing w:after="0" w:line="95" w:lineRule="exact"/>
        <w:rPr>
          <w:sz w:val="20"/>
          <w:szCs w:val="20"/>
          <w:color w:val="auto"/>
        </w:rPr>
      </w:pPr>
    </w:p>
    <w:p>
      <w:pPr>
        <w:ind w:right="220" w:firstLine="508"/>
        <w:spacing w:after="0" w:line="269" w:lineRule="auto"/>
        <w:rPr>
          <w:sz w:val="20"/>
          <w:szCs w:val="20"/>
          <w:color w:val="auto"/>
        </w:rPr>
      </w:pPr>
      <w:r>
        <w:rPr>
          <w:rFonts w:ascii="Times New Roman" w:cs="Times New Roman" w:eastAsia="Times New Roman" w:hAnsi="Times New Roman"/>
          <w:sz w:val="14"/>
          <w:szCs w:val="14"/>
          <w:color w:val="auto"/>
        </w:rPr>
        <w:t>Upon consummation of the Business Combination on December 27, 2021, all of the incentive units, whether vested or unvested, outstanding immediately prior to the merger that were not settled as part of the transaction, were assumed by the Company and converted into Class B common stock and such shares of converted Class B common stock outstanding were 1,236,027 as of March 31, 2024.</w:t>
      </w:r>
    </w:p>
    <w:p>
      <w:pPr>
        <w:spacing w:after="0" w:line="51" w:lineRule="exact"/>
        <w:rPr>
          <w:sz w:val="20"/>
          <w:szCs w:val="20"/>
          <w:color w:val="auto"/>
        </w:rPr>
      </w:pPr>
    </w:p>
    <w:p>
      <w:pPr>
        <w:ind w:right="280" w:firstLine="508"/>
        <w:spacing w:after="0" w:line="286" w:lineRule="auto"/>
        <w:rPr>
          <w:sz w:val="20"/>
          <w:szCs w:val="20"/>
          <w:color w:val="auto"/>
        </w:rPr>
      </w:pPr>
      <w:r>
        <w:rPr>
          <w:rFonts w:ascii="Times New Roman" w:cs="Times New Roman" w:eastAsia="Times New Roman" w:hAnsi="Times New Roman"/>
          <w:sz w:val="14"/>
          <w:szCs w:val="14"/>
          <w:color w:val="auto"/>
        </w:rPr>
        <w:t>Unrecognized compensation cost for restricted stock awards and performance and market based stock units as of March 31, 2024 totaled $41,842, and is expected to be recognized over a weighted average period of approximately 2.1 years. No unrecognized compensation expense remained for the incentive units as of March 31, 2024.</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9660" w:firstLine="5"/>
        <w:spacing w:after="0" w:line="415" w:lineRule="auto"/>
        <w:tabs>
          <w:tab w:leader="none" w:pos="141"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RETIREMENT PLANS Defined Contribution Plan</w:t>
      </w:r>
    </w:p>
    <w:p>
      <w:pPr>
        <w:spacing w:after="0" w:line="59" w:lineRule="exact"/>
        <w:rPr>
          <w:sz w:val="20"/>
          <w:szCs w:val="20"/>
          <w:color w:val="auto"/>
        </w:rPr>
      </w:pPr>
    </w:p>
    <w:p>
      <w:pPr>
        <w:ind w:right="40" w:firstLine="508"/>
        <w:spacing w:after="0" w:line="286" w:lineRule="auto"/>
        <w:rPr>
          <w:sz w:val="20"/>
          <w:szCs w:val="20"/>
          <w:color w:val="auto"/>
        </w:rPr>
      </w:pPr>
      <w:r>
        <w:rPr>
          <w:rFonts w:ascii="Times New Roman" w:cs="Times New Roman" w:eastAsia="Times New Roman" w:hAnsi="Times New Roman"/>
          <w:sz w:val="14"/>
          <w:szCs w:val="14"/>
          <w:color w:val="auto"/>
        </w:rPr>
        <w:t>The Company has a 401(k) profit sharing plan for all full-time employees who have attained the age of 21 and completed 90 days of service. The Company matches 100% of the first 1% and then 50% of the next 5% of employee contributions. Retirement plan expense for the three months ended March 31, 2024 and 2023 was approximately $591 and $525, respectively.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FAIR VALUE MEASUREMENTS</w:t>
      </w:r>
    </w:p>
    <w:p>
      <w:pPr>
        <w:spacing w:after="0" w:line="201" w:lineRule="exact"/>
        <w:rPr>
          <w:sz w:val="20"/>
          <w:szCs w:val="20"/>
          <w:color w:val="auto"/>
        </w:rPr>
      </w:pPr>
    </w:p>
    <w:p>
      <w:pPr>
        <w:ind w:right="200" w:firstLine="508"/>
        <w:spacing w:after="0" w:line="286" w:lineRule="auto"/>
        <w:rPr>
          <w:sz w:val="20"/>
          <w:szCs w:val="20"/>
          <w:color w:val="auto"/>
        </w:rPr>
      </w:pPr>
      <w:r>
        <w:rPr>
          <w:rFonts w:ascii="Times New Roman" w:cs="Times New Roman" w:eastAsia="Times New Roman" w:hAnsi="Times New Roman"/>
          <w:sz w:val="14"/>
          <w:szCs w:val="14"/>
          <w:color w:val="auto"/>
        </w:rPr>
        <w:t>In accordance with ASC 820-10, the Company evaluates assets and liabilities subject to fair value measurements on a recurring basis to determine the appropriate level at which to classify them for each reporting period. This determination requires significant judgments to be made by the Company.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financial assets and liabilities measured at fair value on a recurring basis, consisted of the following types of instruments as of the following dates: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81"/>
        </w:trPr>
        <w:tc>
          <w:tcPr>
            <w:tcW w:w="5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Assets Carried at Fair Value:</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2"/>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 - interest rate swap</w:t>
            </w:r>
          </w:p>
        </w:tc>
        <w:tc>
          <w:tcPr>
            <w:tcW w:w="1000" w:type="dxa"/>
            <w:vAlign w:val="bottom"/>
            <w:tcBorders>
              <w:bottom w:val="single" w:sz="8" w:color="CCEEFF"/>
            </w:tcBorders>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5,745</w:t>
            </w: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Carried at Fair Value:</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2"/>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1000" w:type="dxa"/>
            <w:vAlign w:val="bottom"/>
            <w:tcBorders>
              <w:bottom w:val="single" w:sz="8" w:color="CCEEFF"/>
            </w:tcBorders>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15,691</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15,691</w:t>
            </w: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consideration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r>
      <w:tr>
        <w:trPr>
          <w:trHeight w:val="32"/>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liability - redemption with make-whole provision</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2"/>
        </w:trPr>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19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Carried at Fair Value:</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asset - interest rate swap</w:t>
            </w:r>
          </w:p>
        </w:tc>
        <w:tc>
          <w:tcPr>
            <w:tcW w:w="1000" w:type="dxa"/>
            <w:vAlign w:val="bottom"/>
            <w:gridSpan w:val="2"/>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w:t>
            </w:r>
          </w:p>
        </w:tc>
        <w:tc>
          <w:tcPr>
            <w:tcW w:w="100" w:type="dxa"/>
            <w:vAlign w:val="bottom"/>
          </w:tcPr>
          <w:p>
            <w:pPr>
              <w:spacing w:after="0"/>
              <w:rPr>
                <w:sz w:val="16"/>
                <w:szCs w:val="16"/>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w:t>
            </w:r>
          </w:p>
        </w:tc>
      </w:tr>
      <w:tr>
        <w:trPr>
          <w:trHeight w:val="32"/>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Carried at Fair Value:</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1000" w:type="dxa"/>
            <w:vAlign w:val="bottom"/>
            <w:gridSpan w:val="2"/>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8,294</w:t>
            </w:r>
          </w:p>
        </w:tc>
        <w:tc>
          <w:tcPr>
            <w:tcW w:w="100" w:type="dxa"/>
            <w:vAlign w:val="bottom"/>
          </w:tcPr>
          <w:p>
            <w:pPr>
              <w:spacing w:after="0"/>
              <w:rPr>
                <w:sz w:val="16"/>
                <w:szCs w:val="16"/>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8,294</w:t>
            </w:r>
          </w:p>
        </w:tc>
      </w:tr>
      <w:tr>
        <w:trPr>
          <w:trHeight w:val="32"/>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consideration</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liability - redemption with make-whole provision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r>
    </w:tbl>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 information is provided below about assets and liabilities remeasured at fair value on a recurring basis and for which the Company utilizes Level 3 inputs to determine fair value.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asset - interest rate swap</w:t>
      </w:r>
    </w:p>
    <w:p>
      <w:pPr>
        <w:spacing w:after="0" w:line="180" w:lineRule="exact"/>
        <w:rPr>
          <w:sz w:val="20"/>
          <w:szCs w:val="20"/>
          <w:color w:val="auto"/>
        </w:rPr>
      </w:pPr>
    </w:p>
    <w:p>
      <w:pPr>
        <w:ind w:right="180" w:firstLine="508"/>
        <w:spacing w:after="0" w:line="286" w:lineRule="auto"/>
        <w:rPr>
          <w:sz w:val="20"/>
          <w:szCs w:val="20"/>
          <w:color w:val="auto"/>
        </w:rPr>
      </w:pPr>
      <w:r>
        <w:rPr>
          <w:rFonts w:ascii="Times New Roman" w:cs="Times New Roman" w:eastAsia="Times New Roman" w:hAnsi="Times New Roman"/>
          <w:sz w:val="14"/>
          <w:szCs w:val="14"/>
          <w:color w:val="auto"/>
        </w:rPr>
        <w:t>The Company is exposed to interest rate risk on variable interest rate debt obligations. To manage interest rate risk, the Company entered into an interest rate swap agreement on January 5, 2022. See Note 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liabilities</w:t>
      </w:r>
    </w:p>
    <w:p>
      <w:pPr>
        <w:spacing w:after="0" w:line="201" w:lineRule="exact"/>
        <w:rPr>
          <w:sz w:val="20"/>
          <w:szCs w:val="20"/>
          <w:color w:val="auto"/>
        </w:rPr>
      </w:pPr>
    </w:p>
    <w:p>
      <w:pPr>
        <w:ind w:right="20" w:firstLine="508"/>
        <w:spacing w:after="0" w:line="286" w:lineRule="auto"/>
        <w:rPr>
          <w:sz w:val="20"/>
          <w:szCs w:val="20"/>
          <w:color w:val="auto"/>
        </w:rPr>
      </w:pPr>
      <w:r>
        <w:rPr>
          <w:rFonts w:ascii="Times New Roman" w:cs="Times New Roman" w:eastAsia="Times New Roman" w:hAnsi="Times New Roman"/>
          <w:sz w:val="14"/>
          <w:szCs w:val="14"/>
          <w:color w:val="auto"/>
        </w:rPr>
        <w:t>As a result of the Business Combination, the Company assumed warrant liability related to previously issued warrants in connection with Roman DBDR's initial public offering. The warrants were accounted for as liabilities in accordance with ASC 815-40 and are presented within warrant liabilities on our consolidated balance sheet. The warrant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were remeasured at March 31, 2024, with changes in fair value presented within revaluation of warrant liabilities in the consolidated statement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provides a reconciliation of the ending balances for the warrant liabilities remeasured at fair value:</w:t>
            </w:r>
          </w:p>
        </w:tc>
        <w:tc>
          <w:tcPr>
            <w:tcW w:w="3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12"/>
        </w:trPr>
        <w:tc>
          <w:tcPr>
            <w:tcW w:w="8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32"/>
        </w:trPr>
        <w:tc>
          <w:tcPr>
            <w:tcW w:w="8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93"/>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2023</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w:t>
            </w:r>
          </w:p>
        </w:tc>
      </w:tr>
      <w:tr>
        <w:trPr>
          <w:trHeight w:val="190"/>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38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7,397</w:t>
            </w:r>
          </w:p>
        </w:tc>
      </w:tr>
      <w:tr>
        <w:trPr>
          <w:trHeight w:val="32"/>
        </w:trPr>
        <w:tc>
          <w:tcPr>
            <w:tcW w:w="8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2"/>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March 31, 2024</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15,691</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Public warrants were valued using the quoted market price as the fair value at the end of each balance sheet date.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Earnout Consideration</w:t>
      </w:r>
    </w:p>
    <w:p>
      <w:pPr>
        <w:spacing w:after="0" w:line="201" w:lineRule="exact"/>
        <w:rPr>
          <w:sz w:val="20"/>
          <w:szCs w:val="20"/>
          <w:color w:val="auto"/>
        </w:rPr>
      </w:pPr>
    </w:p>
    <w:p>
      <w:pPr>
        <w:ind w:right="20" w:firstLine="508"/>
        <w:spacing w:after="0" w:line="259" w:lineRule="auto"/>
        <w:rPr>
          <w:sz w:val="20"/>
          <w:szCs w:val="20"/>
          <w:color w:val="auto"/>
        </w:rPr>
      </w:pPr>
      <w:r>
        <w:rPr>
          <w:rFonts w:ascii="Times New Roman" w:cs="Times New Roman" w:eastAsia="Times New Roman" w:hAnsi="Times New Roman"/>
          <w:sz w:val="14"/>
          <w:szCs w:val="14"/>
          <w:color w:val="auto"/>
        </w:rPr>
        <w:t>Holdings' equity holders have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Earnout consideration (not including the holders under ASC 718) was determined to be a derivative instrument in accordance with ASC 815 and were accounted as derivative liabilities, initially valued at fair value in accordance with ASC 815-40-30-1. The liability for earnout consideration is remeasured at each reporting period at fair value, with changes in fair value recorded in earnings in accordance with ASC 815. The Company established the initial fair value for the earnout consideration at the closing date on December 27, 2021 using a Monte Carlo simulation model. The following table provides a reconciliation of the ending balances for the earnout consideration liabilities remeasured at fair value: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30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Earnout Consideration Liability</w:t>
            </w:r>
          </w:p>
        </w:tc>
        <w:tc>
          <w:tcPr>
            <w:tcW w:w="0" w:type="dxa"/>
            <w:vAlign w:val="bottom"/>
          </w:tcPr>
          <w:p>
            <w:pPr>
              <w:spacing w:after="0"/>
              <w:rPr>
                <w:sz w:val="1"/>
                <w:szCs w:val="1"/>
                <w:color w:val="auto"/>
              </w:rPr>
            </w:pPr>
          </w:p>
        </w:tc>
      </w:tr>
      <w:tr>
        <w:trPr>
          <w:trHeight w:val="32"/>
        </w:trPr>
        <w:tc>
          <w:tcPr>
            <w:tcW w:w="7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2023</w:t>
            </w:r>
          </w:p>
        </w:tc>
        <w:tc>
          <w:tcPr>
            <w:tcW w:w="1300" w:type="dxa"/>
            <w:vAlign w:val="bottom"/>
            <w:tcBorders>
              <w:bottom w:val="single" w:sz="8" w:color="CCEEFF"/>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9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0" w:type="dxa"/>
            <w:vAlign w:val="bottom"/>
          </w:tcPr>
          <w:p>
            <w:pPr>
              <w:spacing w:after="0"/>
              <w:rPr>
                <w:sz w:val="1"/>
                <w:szCs w:val="1"/>
                <w:color w:val="auto"/>
              </w:rPr>
            </w:pPr>
          </w:p>
        </w:tc>
      </w:tr>
      <w:tr>
        <w:trPr>
          <w:trHeight w:val="32"/>
        </w:trPr>
        <w:tc>
          <w:tcPr>
            <w:tcW w:w="7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March 31, 2024</w:t>
            </w:r>
          </w:p>
        </w:tc>
        <w:tc>
          <w:tcPr>
            <w:tcW w:w="130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4"/>
                <w:szCs w:val="14"/>
                <w:color w:val="auto"/>
              </w:rPr>
              <w:t>The following assumptions were used to determine the fair value of the Earnout considerations as of March 31, 2024:</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9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32"/>
        </w:trPr>
        <w:tc>
          <w:tcPr>
            <w:tcW w:w="79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market value</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9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 - 5.21%</w:t>
            </w:r>
          </w:p>
        </w:tc>
        <w:tc>
          <w:tcPr>
            <w:tcW w:w="0" w:type="dxa"/>
            <w:vAlign w:val="bottom"/>
          </w:tcPr>
          <w:p>
            <w:pPr>
              <w:spacing w:after="0"/>
              <w:rPr>
                <w:sz w:val="1"/>
                <w:szCs w:val="1"/>
                <w:color w:val="auto"/>
              </w:rPr>
            </w:pPr>
          </w:p>
        </w:tc>
      </w:tr>
      <w:tr>
        <w:trPr>
          <w:trHeight w:val="32"/>
        </w:trPr>
        <w:tc>
          <w:tcPr>
            <w:tcW w:w="7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 - 40.0%</w:t>
            </w:r>
          </w:p>
        </w:tc>
        <w:tc>
          <w:tcPr>
            <w:tcW w:w="0" w:type="dxa"/>
            <w:vAlign w:val="bottom"/>
          </w:tcPr>
          <w:p>
            <w:pPr>
              <w:spacing w:after="0"/>
              <w:rPr>
                <w:sz w:val="1"/>
                <w:szCs w:val="1"/>
                <w:color w:val="auto"/>
              </w:rPr>
            </w:pPr>
          </w:p>
        </w:tc>
      </w:tr>
      <w:tr>
        <w:trPr>
          <w:trHeight w:val="19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0" w:type="dxa"/>
            <w:vAlign w:val="bottom"/>
          </w:tcPr>
          <w:p>
            <w:pPr>
              <w:spacing w:after="0"/>
              <w:rPr>
                <w:sz w:val="1"/>
                <w:szCs w:val="1"/>
                <w:color w:val="auto"/>
              </w:rPr>
            </w:pPr>
          </w:p>
        </w:tc>
      </w:tr>
      <w:tr>
        <w:trPr>
          <w:trHeight w:val="32"/>
        </w:trPr>
        <w:tc>
          <w:tcPr>
            <w:tcW w:w="7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1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0.7-1.7 years</w:t>
            </w:r>
          </w:p>
        </w:tc>
        <w:tc>
          <w:tcPr>
            <w:tcW w:w="0" w:type="dxa"/>
            <w:vAlign w:val="bottom"/>
          </w:tcPr>
          <w:p>
            <w:pPr>
              <w:spacing w:after="0"/>
              <w:rPr>
                <w:sz w:val="1"/>
                <w:szCs w:val="1"/>
                <w:color w:val="auto"/>
              </w:rPr>
            </w:pPr>
          </w:p>
        </w:tc>
      </w:tr>
      <w:tr>
        <w:trPr>
          <w:trHeight w:val="32"/>
        </w:trPr>
        <w:tc>
          <w:tcPr>
            <w:tcW w:w="79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360" w:firstLine="508"/>
        <w:spacing w:after="0" w:line="270" w:lineRule="auto"/>
        <w:rPr>
          <w:sz w:val="20"/>
          <w:szCs w:val="20"/>
          <w:color w:val="auto"/>
        </w:rPr>
      </w:pPr>
      <w:r>
        <w:rPr>
          <w:rFonts w:ascii="Times New Roman" w:cs="Times New Roman" w:eastAsia="Times New Roman" w:hAnsi="Times New Roman"/>
          <w:sz w:val="14"/>
          <w:szCs w:val="14"/>
          <w:color w:val="auto"/>
        </w:rPr>
        <w:t>The fair value of Earnouts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GEOGRAPHIC INFORMATION AND CONCENTRATIONS</w:t>
      </w:r>
    </w:p>
    <w:p>
      <w:pPr>
        <w:spacing w:after="0" w:line="95" w:lineRule="exact"/>
        <w:rPr>
          <w:sz w:val="20"/>
          <w:szCs w:val="20"/>
          <w:color w:val="auto"/>
        </w:rPr>
      </w:pPr>
    </w:p>
    <w:p>
      <w:pPr>
        <w:ind w:right="100" w:firstLine="508"/>
        <w:spacing w:after="0" w:line="286" w:lineRule="auto"/>
        <w:rPr>
          <w:sz w:val="20"/>
          <w:szCs w:val="20"/>
          <w:color w:val="auto"/>
        </w:rPr>
      </w:pPr>
      <w:r>
        <w:rPr>
          <w:rFonts w:ascii="Times New Roman" w:cs="Times New Roman" w:eastAsia="Times New Roman" w:hAnsi="Times New Roman"/>
          <w:sz w:val="14"/>
          <w:szCs w:val="14"/>
          <w:color w:val="auto"/>
        </w:rPr>
        <w:t>The Company headquarters and substantially all of its operations, including its long-lived assets, are located in the United States. Geographical sales information based on the location of the customer was as follows: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75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36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
        </w:trPr>
        <w:tc>
          <w:tcPr>
            <w:tcW w:w="45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1"/>
        </w:trPr>
        <w:tc>
          <w:tcPr>
            <w:tcW w:w="4540" w:type="dxa"/>
            <w:vAlign w:val="bottom"/>
          </w:tcPr>
          <w:p>
            <w:pPr>
              <w:spacing w:after="0"/>
              <w:rPr>
                <w:sz w:val="15"/>
                <w:szCs w:val="15"/>
                <w:color w:val="auto"/>
              </w:rPr>
            </w:pPr>
          </w:p>
        </w:tc>
        <w:tc>
          <w:tcPr>
            <w:tcW w:w="18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80" w:type="dxa"/>
            <w:vAlign w:val="bottom"/>
          </w:tcPr>
          <w:p>
            <w:pPr>
              <w:jc w:val="right"/>
              <w:ind w:right="12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32"/>
        </w:trPr>
        <w:tc>
          <w:tcPr>
            <w:tcW w:w="45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82"/>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by region:</w:t>
            </w:r>
          </w:p>
        </w:tc>
        <w:tc>
          <w:tcPr>
            <w:tcW w:w="18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90"/>
        </w:trPr>
        <w:tc>
          <w:tcPr>
            <w:tcW w:w="4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Domestic</w:t>
            </w:r>
          </w:p>
        </w:tc>
        <w:tc>
          <w:tcPr>
            <w:tcW w:w="1880" w:type="dxa"/>
            <w:vAlign w:val="bottom"/>
          </w:tcPr>
          <w:p>
            <w:pPr>
              <w:jc w:val="right"/>
              <w:ind w:right="17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92,790</w:t>
            </w:r>
          </w:p>
        </w:tc>
        <w:tc>
          <w:tcPr>
            <w:tcW w:w="80" w:type="dxa"/>
            <w:vAlign w:val="bottom"/>
          </w:tcPr>
          <w:p>
            <w:pPr>
              <w:spacing w:after="0"/>
              <w:rPr>
                <w:sz w:val="16"/>
                <w:szCs w:val="16"/>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73,667</w:t>
            </w:r>
          </w:p>
        </w:tc>
        <w:tc>
          <w:tcPr>
            <w:tcW w:w="80" w:type="dxa"/>
            <w:vAlign w:val="bottom"/>
          </w:tcPr>
          <w:p>
            <w:pPr>
              <w:spacing w:after="0"/>
              <w:rPr>
                <w:sz w:val="16"/>
                <w:szCs w:val="16"/>
                <w:color w:val="auto"/>
              </w:rPr>
            </w:pPr>
          </w:p>
        </w:tc>
      </w:tr>
      <w:tr>
        <w:trPr>
          <w:trHeight w:val="32"/>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w:t>
            </w:r>
          </w:p>
        </w:tc>
        <w:tc>
          <w:tcPr>
            <w:tcW w:w="18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11,220</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8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80" w:type="dxa"/>
            <w:vAlign w:val="bottom"/>
            <w:tcBorders>
              <w:top w:val="single" w:sz="8" w:color="auto"/>
            </w:tcBorders>
          </w:tcPr>
          <w:p>
            <w:pPr>
              <w:jc w:val="right"/>
              <w:ind w:right="17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104,010</w:t>
            </w:r>
          </w:p>
        </w:tc>
        <w:tc>
          <w:tcPr>
            <w:tcW w:w="80" w:type="dxa"/>
            <w:vAlign w:val="bottom"/>
          </w:tcPr>
          <w:p>
            <w:pPr>
              <w:spacing w:after="0"/>
              <w:rPr>
                <w:sz w:val="15"/>
                <w:szCs w:val="15"/>
                <w:color w:val="auto"/>
              </w:rPr>
            </w:pPr>
          </w:p>
        </w:tc>
        <w:tc>
          <w:tcPr>
            <w:tcW w:w="1140" w:type="dxa"/>
            <w:vAlign w:val="bottom"/>
            <w:tcBorders>
              <w:top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95,316</w:t>
            </w:r>
          </w:p>
        </w:tc>
        <w:tc>
          <w:tcPr>
            <w:tcW w:w="80" w:type="dxa"/>
            <w:vAlign w:val="bottom"/>
            <w:tcBorders>
              <w:top w:val="single" w:sz="8" w:color="auto"/>
            </w:tcBorders>
          </w:tcPr>
          <w:p>
            <w:pPr>
              <w:spacing w:after="0"/>
              <w:rPr>
                <w:sz w:val="15"/>
                <w:szCs w:val="15"/>
                <w:color w:val="auto"/>
              </w:rPr>
            </w:pPr>
          </w:p>
        </w:tc>
      </w:tr>
      <w:tr>
        <w:trPr>
          <w:trHeight w:val="32"/>
        </w:trPr>
        <w:tc>
          <w:tcPr>
            <w:tcW w:w="45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45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firstLine="508"/>
        <w:spacing w:after="0" w:line="269" w:lineRule="auto"/>
        <w:rPr>
          <w:sz w:val="20"/>
          <w:szCs w:val="20"/>
          <w:color w:val="auto"/>
        </w:rPr>
      </w:pPr>
      <w:r>
        <w:rPr>
          <w:rFonts w:ascii="Times New Roman" w:cs="Times New Roman" w:eastAsia="Times New Roman" w:hAnsi="Times New Roman"/>
          <w:sz w:val="14"/>
          <w:szCs w:val="14"/>
          <w:color w:val="auto"/>
        </w:rPr>
        <w:t>The Company’s principal direct customers as of March 31, 2024 consist primarily of leading international and domestic banks and other payment card issuers primarily within the U.S., with additional direct and indirect customers in Europe, Asia, Latin America, Canada, and the Middle East. The Company periodically assesses the financial strength of these customers and establishes allowances for anticipated losses, if necessary.</w:t>
      </w:r>
    </w:p>
    <w:p>
      <w:pPr>
        <w:spacing w:after="0" w:line="51" w:lineRule="exact"/>
        <w:rPr>
          <w:sz w:val="20"/>
          <w:szCs w:val="20"/>
          <w:color w:val="auto"/>
        </w:rPr>
      </w:pPr>
    </w:p>
    <w:p>
      <w:pPr>
        <w:ind w:right="240" w:firstLine="508"/>
        <w:spacing w:after="0" w:line="263" w:lineRule="auto"/>
        <w:rPr>
          <w:sz w:val="20"/>
          <w:szCs w:val="20"/>
          <w:color w:val="auto"/>
        </w:rPr>
      </w:pPr>
      <w:r>
        <w:rPr>
          <w:rFonts w:ascii="Times New Roman" w:cs="Times New Roman" w:eastAsia="Times New Roman" w:hAnsi="Times New Roman"/>
          <w:sz w:val="14"/>
          <w:szCs w:val="14"/>
          <w:color w:val="auto"/>
        </w:rPr>
        <w:t>Two customers individually accounted for more than 10% of the Company’s revenue or 73.2% combined, of total revenue for the three months ended March 31, 2024. Three customers individually accounted for more than 10% of the Company’s revenue or 77.6%, combined, of total revenue for the three months ended March 31, 2023. Four customers individually accounted for more than 10% of the Company’s accounts receivable or approximately 80% and two customers individually accounted for more than 10% or approximately 73% of total accounts receivable as of March 31, 2024 and December 31, 2023, respectively.</w:t>
      </w:r>
    </w:p>
    <w:p>
      <w:pPr>
        <w:spacing w:after="0" w:line="56" w:lineRule="exact"/>
        <w:rPr>
          <w:sz w:val="20"/>
          <w:szCs w:val="20"/>
          <w:color w:val="auto"/>
        </w:rPr>
      </w:pPr>
    </w:p>
    <w:p>
      <w:pPr>
        <w:ind w:right="80" w:firstLine="508"/>
        <w:spacing w:after="0" w:line="286" w:lineRule="auto"/>
        <w:rPr>
          <w:sz w:val="20"/>
          <w:szCs w:val="20"/>
          <w:color w:val="auto"/>
        </w:rPr>
      </w:pPr>
      <w:r>
        <w:rPr>
          <w:rFonts w:ascii="Times New Roman" w:cs="Times New Roman" w:eastAsia="Times New Roman" w:hAnsi="Times New Roman"/>
          <w:sz w:val="14"/>
          <w:szCs w:val="14"/>
          <w:color w:val="auto"/>
        </w:rPr>
        <w:t>Two individual vendor accounted for more than 10% of purchases of supplies, or approximately 31% of total purchases, for the three months ended March 31, 2024. Three individual vendor accounted for more than 10% of purchases of supplies, or approximately 38% of total purchases, for the three months ended March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recorded income tax benefit of $836 and $1,263 for the three months ended March 31, 2024, and March 31, 2023, respectively.</w:t>
      </w:r>
    </w:p>
    <w:p>
      <w:pPr>
        <w:spacing w:after="0" w:line="199" w:lineRule="exact"/>
        <w:rPr>
          <w:sz w:val="20"/>
          <w:szCs w:val="20"/>
          <w:color w:val="auto"/>
        </w:rPr>
      </w:pPr>
    </w:p>
    <w:p>
      <w:pPr>
        <w:ind w:right="80" w:firstLine="508"/>
        <w:spacing w:after="0" w:line="286" w:lineRule="auto"/>
        <w:rPr>
          <w:sz w:val="20"/>
          <w:szCs w:val="20"/>
          <w:color w:val="auto"/>
        </w:rPr>
      </w:pPr>
      <w:r>
        <w:rPr>
          <w:rFonts w:ascii="Times New Roman" w:cs="Times New Roman" w:eastAsia="Times New Roman" w:hAnsi="Times New Roman"/>
          <w:sz w:val="14"/>
          <w:szCs w:val="14"/>
          <w:color w:val="auto"/>
        </w:rPr>
        <w:t>The Company is currently under audit by federal tax authorities for fiscal 2020. There have been no proposed adjustments at this stage of the examination. The examination is expected to be finalized in fiscal 2024. The Company does not expect any material impact to the financial statements due to settlement of this audit.</w:t>
      </w:r>
    </w:p>
    <w:p>
      <w:pPr>
        <w:spacing w:after="0" w:line="145" w:lineRule="exact"/>
        <w:rPr>
          <w:sz w:val="20"/>
          <w:szCs w:val="20"/>
          <w:color w:val="auto"/>
        </w:rPr>
      </w:pPr>
    </w:p>
    <w:p>
      <w:pPr>
        <w:ind w:firstLine="508"/>
        <w:spacing w:after="0" w:line="258" w:lineRule="auto"/>
        <w:rPr>
          <w:sz w:val="20"/>
          <w:szCs w:val="20"/>
          <w:color w:val="auto"/>
        </w:rPr>
      </w:pPr>
      <w:r>
        <w:rPr>
          <w:rFonts w:ascii="Times New Roman" w:cs="Times New Roman" w:eastAsia="Times New Roman" w:hAnsi="Times New Roman"/>
          <w:sz w:val="14"/>
          <w:szCs w:val="14"/>
          <w:color w:val="auto"/>
        </w:rPr>
        <w:t>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The Company's interim effective tax rate, inclusive of any discrete items, was (5.10)% and (13.33)% for the three months ended March 31, 2024 and March 31, 2023, respectively. The Company’s effective income tax rate differs from the U.S. statutory rate primarily due to the non-controlling interest adjustment as the income attributable to the non-controlling interest is pass-through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EARNINGS PER SHARE</w:t>
      </w:r>
    </w:p>
    <w:p>
      <w:pPr>
        <w:spacing w:after="0" w:line="201" w:lineRule="exact"/>
        <w:rPr>
          <w:sz w:val="20"/>
          <w:szCs w:val="20"/>
          <w:color w:val="auto"/>
        </w:rPr>
      </w:pPr>
    </w:p>
    <w:p>
      <w:pPr>
        <w:ind w:right="160" w:firstLine="508"/>
        <w:spacing w:after="0" w:line="286" w:lineRule="auto"/>
        <w:rPr>
          <w:sz w:val="20"/>
          <w:szCs w:val="20"/>
          <w:color w:val="auto"/>
        </w:rPr>
      </w:pPr>
      <w:r>
        <w:rPr>
          <w:rFonts w:ascii="Times New Roman" w:cs="Times New Roman" w:eastAsia="Times New Roman" w:hAnsi="Times New Roman"/>
          <w:sz w:val="14"/>
          <w:szCs w:val="14"/>
          <w:color w:val="auto"/>
        </w:rPr>
        <w:t>The following table sets forth the computation of net income used to compute basic and diluted net earnings per share of Class A common stock for the three months ended March 31, 2024 and March 31, 2023, respectively. Shares of Class B common stock do not participate in the Company's income or loss and are, therefore, not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6"/>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and diluted:</w:t>
            </w: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5"/>
        </w:trPr>
        <w:tc>
          <w:tcPr>
            <w:tcW w:w="7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1"/>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40" w:type="dxa"/>
            <w:vAlign w:val="bottom"/>
            <w:tcBorders>
              <w:bottom w:val="single" w:sz="8" w:color="CCEEFF"/>
            </w:tcBorders>
            <w:shd w:val="clear" w:color="auto" w:fill="CCEEFF"/>
          </w:tcPr>
          <w:p>
            <w:pPr>
              <w:jc w:val="right"/>
              <w:ind w:right="9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17,073</w:t>
            </w:r>
          </w:p>
        </w:tc>
        <w:tc>
          <w:tcPr>
            <w:tcW w:w="520" w:type="dxa"/>
            <w:vAlign w:val="bottom"/>
            <w:tcBorders>
              <w:bottom w:val="single" w:sz="8" w:color="CCEEFF"/>
            </w:tcBorders>
            <w:gridSpan w:val="2"/>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10,737</w:t>
            </w:r>
          </w:p>
        </w:tc>
      </w:tr>
      <w:tr>
        <w:trPr>
          <w:trHeight w:val="176"/>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w:t>
            </w:r>
          </w:p>
        </w:tc>
        <w:tc>
          <w:tcPr>
            <w:tcW w:w="1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(13,048)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(8,408)</w:t>
            </w:r>
          </w:p>
        </w:tc>
      </w:tr>
      <w:tr>
        <w:trPr>
          <w:trHeight w:val="25"/>
        </w:trPr>
        <w:tc>
          <w:tcPr>
            <w:tcW w:w="7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2"/>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Class A Common Stockholders - basic</w:t>
            </w:r>
          </w:p>
        </w:tc>
        <w:tc>
          <w:tcPr>
            <w:tcW w:w="1140" w:type="dxa"/>
            <w:vAlign w:val="bottom"/>
            <w:tcBorders>
              <w:bottom w:val="single" w:sz="8" w:color="CCEEFF"/>
            </w:tcBorders>
            <w:shd w:val="clear" w:color="auto" w:fill="CCEEFF"/>
          </w:tcPr>
          <w:p>
            <w:pPr>
              <w:jc w:val="right"/>
              <w:ind w:right="9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4,025</w:t>
            </w:r>
          </w:p>
        </w:tc>
        <w:tc>
          <w:tcPr>
            <w:tcW w:w="520" w:type="dxa"/>
            <w:vAlign w:val="bottom"/>
            <w:tcBorders>
              <w:bottom w:val="single" w:sz="8" w:color="CCEEFF"/>
            </w:tcBorders>
            <w:gridSpan w:val="2"/>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2,329</w:t>
            </w:r>
          </w:p>
        </w:tc>
      </w:tr>
      <w:tr>
        <w:trPr>
          <w:trHeight w:val="176"/>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Plus: adjustment to net income due to net effect of equity awards, exchangeable notes and Class B units</w:t>
            </w:r>
          </w:p>
        </w:tc>
        <w:tc>
          <w:tcPr>
            <w:tcW w:w="1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8,410</w:t>
            </w:r>
          </w:p>
        </w:tc>
      </w:tr>
      <w:tr>
        <w:trPr>
          <w:trHeight w:val="25"/>
        </w:trPr>
        <w:tc>
          <w:tcPr>
            <w:tcW w:w="7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Class A Common Stockholders after adjustment</w:t>
            </w:r>
          </w:p>
        </w:tc>
        <w:tc>
          <w:tcPr>
            <w:tcW w:w="1140" w:type="dxa"/>
            <w:vAlign w:val="bottom"/>
            <w:tcBorders>
              <w:bottom w:val="single" w:sz="8" w:color="CCEEFF"/>
            </w:tcBorders>
            <w:shd w:val="clear" w:color="auto" w:fill="CCEEFF"/>
          </w:tcPr>
          <w:p>
            <w:pPr>
              <w:jc w:val="right"/>
              <w:ind w:right="9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16,020</w:t>
            </w:r>
          </w:p>
        </w:tc>
        <w:tc>
          <w:tcPr>
            <w:tcW w:w="520" w:type="dxa"/>
            <w:vAlign w:val="bottom"/>
            <w:tcBorders>
              <w:bottom w:val="single" w:sz="8" w:color="CCEEFF"/>
            </w:tcBorders>
            <w:gridSpan w:val="2"/>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10,739</w:t>
            </w:r>
          </w:p>
        </w:tc>
      </w:tr>
      <w:tr>
        <w:trPr>
          <w:trHeight w:val="166"/>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used in computing net income per share - basic</w:t>
            </w:r>
          </w:p>
        </w:tc>
        <w:tc>
          <w:tcPr>
            <w:tcW w:w="1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20,566,970</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17,632,000</w:t>
            </w:r>
          </w:p>
        </w:tc>
      </w:tr>
      <w:tr>
        <w:trPr>
          <w:trHeight w:val="25"/>
        </w:trPr>
        <w:tc>
          <w:tcPr>
            <w:tcW w:w="7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1"/>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Plus: net effect of dilutive equity awards, exchangeable notes and Class B units - diluted</w:t>
            </w:r>
          </w:p>
        </w:tc>
        <w:tc>
          <w:tcPr>
            <w:tcW w:w="1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75,668,499</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77,104,000</w:t>
            </w:r>
          </w:p>
        </w:tc>
      </w:tr>
      <w:tr>
        <w:trPr>
          <w:trHeight w:val="166"/>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used in computing net income per share - diluted</w:t>
            </w:r>
          </w:p>
        </w:tc>
        <w:tc>
          <w:tcPr>
            <w:tcW w:w="1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96,235,469</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94,736,000</w:t>
            </w:r>
          </w:p>
        </w:tc>
      </w:tr>
      <w:tr>
        <w:trPr>
          <w:trHeight w:val="25"/>
        </w:trPr>
        <w:tc>
          <w:tcPr>
            <w:tcW w:w="7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share—basic</w:t>
            </w:r>
          </w:p>
        </w:tc>
        <w:tc>
          <w:tcPr>
            <w:tcW w:w="1140" w:type="dxa"/>
            <w:vAlign w:val="bottom"/>
            <w:tcBorders>
              <w:bottom w:val="single" w:sz="8" w:color="BFE4FF"/>
            </w:tcBorders>
            <w:shd w:val="clear" w:color="auto" w:fill="BFE4FF"/>
          </w:tcPr>
          <w:p>
            <w:pPr>
              <w:jc w:val="right"/>
              <w:ind w:right="9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520" w:type="dxa"/>
            <w:vAlign w:val="bottom"/>
            <w:tcBorders>
              <w:bottom w:val="single" w:sz="8" w:color="CCEEFF"/>
            </w:tcBorders>
            <w:gridSpan w:val="2"/>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w:t>
            </w:r>
          </w:p>
        </w:tc>
      </w:tr>
      <w:tr>
        <w:trPr>
          <w:trHeight w:val="166"/>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share—diluted</w:t>
            </w:r>
          </w:p>
        </w:tc>
        <w:tc>
          <w:tcPr>
            <w:tcW w:w="1140" w:type="dxa"/>
            <w:vAlign w:val="bottom"/>
            <w:tcBorders>
              <w:top w:val="single" w:sz="8" w:color="auto"/>
            </w:tcBorders>
          </w:tcPr>
          <w:p>
            <w:pPr>
              <w:jc w:val="right"/>
              <w:ind w:right="9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0.11</w:t>
            </w:r>
          </w:p>
        </w:tc>
      </w:tr>
      <w:tr>
        <w:trPr>
          <w:trHeight w:val="25"/>
        </w:trPr>
        <w:tc>
          <w:tcPr>
            <w:tcW w:w="7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ind w:firstLine="508"/>
        <w:spacing w:after="0" w:line="263" w:lineRule="auto"/>
        <w:rPr>
          <w:sz w:val="20"/>
          <w:szCs w:val="20"/>
          <w:color w:val="auto"/>
        </w:rPr>
      </w:pPr>
      <w:r>
        <w:rPr>
          <w:rFonts w:ascii="Times New Roman" w:cs="Times New Roman" w:eastAsia="Times New Roman" w:hAnsi="Times New Roman"/>
          <w:sz w:val="14"/>
          <w:szCs w:val="14"/>
          <w:color w:val="auto"/>
        </w:rPr>
        <w:t>Basic earnings per share for the three months ended March 31, 2024 was calculated by dividing net income attributable to Class A Common shareholders of $4,025 divided by 20,566,970 of weighted average Class A common shares outstanding at March 31, 2024. Diluted earnings per share for the three months ended March 31, 2024 was calculated by dividing net income adjusted for the net effect of dilutive equity awards and exchangeable notes of $16,020 divided by 96,235,469 of weighted average common shares after adjusting for the net effect of dilutive equity awards and exchangeable notes outstanding at March 31, 2024.</w:t>
      </w:r>
    </w:p>
    <w:p>
      <w:pPr>
        <w:spacing w:after="0" w:line="141" w:lineRule="exact"/>
        <w:rPr>
          <w:sz w:val="20"/>
          <w:szCs w:val="20"/>
          <w:color w:val="auto"/>
        </w:rPr>
      </w:pPr>
    </w:p>
    <w:p>
      <w:pPr>
        <w:ind w:firstLine="508"/>
        <w:spacing w:after="0" w:line="263" w:lineRule="auto"/>
        <w:rPr>
          <w:sz w:val="20"/>
          <w:szCs w:val="20"/>
          <w:color w:val="auto"/>
        </w:rPr>
      </w:pPr>
      <w:r>
        <w:rPr>
          <w:rFonts w:ascii="Times New Roman" w:cs="Times New Roman" w:eastAsia="Times New Roman" w:hAnsi="Times New Roman"/>
          <w:sz w:val="14"/>
          <w:szCs w:val="14"/>
          <w:color w:val="auto"/>
        </w:rPr>
        <w:t>Basic earnings per share for the three months ended March 31, 2023 was calculated by dividing net income attributable to Class A Common shareholders of $2,329 divided by 17,632,000 of weighted average Class A common shares outstanding at March 31, 2023. Diluted earnings per share for the three months ended March 31, 2023 was calculated by dividing net income adjusted for the net effect of dilutive equity awards of $10,739, divided by 94,736,000 of weighted average common shares after adjusting for the net effect of dilutive equity awards outstanding at March 31, 2023.</w:t>
      </w:r>
    </w:p>
    <w:p>
      <w:pPr>
        <w:spacing w:after="0" w:line="162" w:lineRule="exact"/>
        <w:rPr>
          <w:sz w:val="20"/>
          <w:szCs w:val="20"/>
          <w:color w:val="auto"/>
        </w:rPr>
      </w:pPr>
    </w:p>
    <w:p>
      <w:pPr>
        <w:jc w:val="both"/>
        <w:ind w:right="220" w:firstLine="508"/>
        <w:spacing w:after="0" w:line="269" w:lineRule="auto"/>
        <w:rPr>
          <w:sz w:val="20"/>
          <w:szCs w:val="20"/>
          <w:color w:val="auto"/>
        </w:rPr>
      </w:pPr>
      <w:r>
        <w:rPr>
          <w:rFonts w:ascii="Times New Roman" w:cs="Times New Roman" w:eastAsia="Times New Roman" w:hAnsi="Times New Roman"/>
          <w:sz w:val="14"/>
          <w:szCs w:val="14"/>
          <w:color w:val="auto"/>
        </w:rPr>
        <w:t>Securities that could potentially be dilutive are excluded from the computation of diluted earnings per share when the exercise price exceeds the average closing price of the Company’s common stock during the period, because their inclusion would result in an antidilutive effect on per share amounts. The Company applied the if-converted method for the Exchangeable Notes to calculate diluted earnings per share in accordance with ASU 2020-06.</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amounts were not included in the calculation of net earnings per diluted share because their effects were anti-dilutive:</w:t>
      </w:r>
    </w:p>
    <w:p>
      <w:pPr>
        <w:spacing w:after="0" w:line="23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2120" w:type="dxa"/>
            <w:vAlign w:val="bottom"/>
            <w:tcBorders>
              <w:top w:val="single" w:sz="8" w:color="auto"/>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Potentially dilutive securities:</w:t>
            </w:r>
          </w:p>
        </w:tc>
        <w:tc>
          <w:tcPr>
            <w:tcW w:w="13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r>
      <w:tr>
        <w:trPr>
          <w:trHeight w:val="32"/>
        </w:trPr>
        <w:tc>
          <w:tcPr>
            <w:tcW w:w="5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02"/>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22,415,400</w:t>
            </w:r>
          </w:p>
        </w:tc>
        <w:tc>
          <w:tcPr>
            <w:tcW w:w="1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22,415,400</w:t>
            </w:r>
          </w:p>
        </w:tc>
      </w:tr>
      <w:tr>
        <w:trPr>
          <w:trHeight w:val="19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Earnout consideration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1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7,500,000</w:t>
            </w:r>
          </w:p>
        </w:tc>
      </w:tr>
      <w:tr>
        <w:trPr>
          <w:trHeight w:val="32"/>
        </w:trPr>
        <w:tc>
          <w:tcPr>
            <w:tcW w:w="5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9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2,918,984</w:t>
            </w:r>
          </w:p>
        </w:tc>
        <w:tc>
          <w:tcPr>
            <w:tcW w:w="14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1,112,413</w:t>
            </w:r>
          </w:p>
        </w:tc>
      </w:tr>
      <w:tr>
        <w:trPr>
          <w:trHeight w:val="32"/>
        </w:trPr>
        <w:tc>
          <w:tcPr>
            <w:tcW w:w="58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75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00"/>
          </w:cols>
          <w:pgMar w:left="300" w:top="117"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COMMITMENTS AND CONTINGENCIES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Leases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Future minimum commitments under all non-cancelable operating leases are as follows:</w:t>
            </w:r>
          </w:p>
        </w:tc>
        <w:tc>
          <w:tcPr>
            <w:tcW w:w="15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06"/>
        </w:trPr>
        <w:tc>
          <w:tcPr>
            <w:tcW w:w="7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80" w:type="dxa"/>
            <w:vAlign w:val="bottom"/>
          </w:tcPr>
          <w:p>
            <w:pPr>
              <w:spacing w:after="0"/>
              <w:rPr>
                <w:sz w:val="9"/>
                <w:szCs w:val="9"/>
                <w:color w:val="auto"/>
              </w:rPr>
            </w:pPr>
          </w:p>
        </w:tc>
      </w:tr>
      <w:tr>
        <w:trPr>
          <w:trHeight w:val="202"/>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(excluding the three months ended March 31, 2024)</w:t>
            </w:r>
          </w:p>
        </w:tc>
        <w:tc>
          <w:tcPr>
            <w:tcW w:w="1540" w:type="dxa"/>
            <w:vAlign w:val="bottom"/>
            <w:tcBorders>
              <w:bottom w:val="single" w:sz="8" w:color="CCEEFF"/>
            </w:tcBorders>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w:t>
            </w:r>
          </w:p>
        </w:tc>
      </w:t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54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w:t>
            </w:r>
          </w:p>
        </w:tc>
      </w:tr>
      <w:tr>
        <w:trPr>
          <w:trHeight w:val="32"/>
        </w:trPr>
        <w:tc>
          <w:tcPr>
            <w:tcW w:w="7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02"/>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54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54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r>
      <w:tr>
        <w:trPr>
          <w:trHeight w:val="32"/>
        </w:trPr>
        <w:tc>
          <w:tcPr>
            <w:tcW w:w="7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02"/>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54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Later years</w:t>
            </w:r>
          </w:p>
        </w:tc>
        <w:tc>
          <w:tcPr>
            <w:tcW w:w="154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r>
      <w:tr>
        <w:trPr>
          <w:trHeight w:val="32"/>
        </w:trPr>
        <w:tc>
          <w:tcPr>
            <w:tcW w:w="78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9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54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8,684</w:t>
            </w:r>
          </w:p>
        </w:tc>
      </w:t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54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r>
      <w:tr>
        <w:trPr>
          <w:trHeight w:val="32"/>
        </w:trPr>
        <w:tc>
          <w:tcPr>
            <w:tcW w:w="78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540" w:type="dxa"/>
            <w:vAlign w:val="bottom"/>
            <w:tcBorders>
              <w:bottom w:val="single" w:sz="8" w:color="CCEEFF"/>
            </w:tcBorders>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201" w:lineRule="exact"/>
        <w:rPr>
          <w:sz w:val="20"/>
          <w:szCs w:val="20"/>
          <w:color w:val="auto"/>
        </w:rPr>
      </w:pPr>
    </w:p>
    <w:p>
      <w:pPr>
        <w:ind w:firstLine="508"/>
        <w:spacing w:after="0" w:line="259" w:lineRule="auto"/>
        <w:rPr>
          <w:sz w:val="20"/>
          <w:szCs w:val="20"/>
          <w:color w:val="auto"/>
        </w:rPr>
      </w:pPr>
      <w:r>
        <w:rPr>
          <w:rFonts w:ascii="Times New Roman" w:cs="Times New Roman" w:eastAsia="Times New Roman" w:hAnsi="Times New Roman"/>
          <w:sz w:val="14"/>
          <w:szCs w:val="14"/>
          <w:color w:val="auto"/>
        </w:rPr>
        <w:t>The Company is obligated to make certain payments under a tax receivable agreement to certain historical holders of units in Holdings. Although the actual timing and amount of any payments that may be made under the agreement will vary, the Company expects the cash obligation required will be significant. Any payments made under the tax receivable agreement will generally reduce the amount of overall cash flows that might have otherwise been available to the Company. To the extent that the Company is unable to make payments under the tax receivable agreement for any reason, the unpaid amounts generally will be deferred and will accrue interest until paid by the Company. The tax receivable agreement liability includes amounts to be paid assuming the Company will have sufficient taxable income over the term of the tax receivable agreement to utilize the related tax benefits. In determining the estimated timing of payments, the current year’s taxable income was used to extrapolate an estimate of future taxable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As of March 31, 2024, the Company had the following obligations expected to be paid pursuant to the tax receivable agreement</w:t>
            </w:r>
            <w:r>
              <w:rPr>
                <w:rFonts w:ascii="Times New Roman" w:cs="Times New Roman" w:eastAsia="Times New Roman" w:hAnsi="Times New Roman"/>
                <w:sz w:val="14"/>
                <w:szCs w:val="14"/>
                <w:color w:val="CC0099"/>
              </w:rPr>
              <w:t>:</w:t>
            </w: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2"/>
        </w:trPr>
        <w:tc>
          <w:tcPr>
            <w:tcW w:w="8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2"/>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(excluding the three months ended March 31, 2024)</w:t>
            </w: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r>
      <w:tr>
        <w:trPr>
          <w:trHeight w:val="190"/>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r>
      <w:tr>
        <w:trPr>
          <w:trHeight w:val="32"/>
        </w:trPr>
        <w:tc>
          <w:tcPr>
            <w:tcW w:w="8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2"/>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r>
      <w:tr>
        <w:trPr>
          <w:trHeight w:val="190"/>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r>
      <w:tr>
        <w:trPr>
          <w:trHeight w:val="32"/>
        </w:trPr>
        <w:tc>
          <w:tcPr>
            <w:tcW w:w="8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2"/>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9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r>
      <w:tr>
        <w:trPr>
          <w:trHeight w:val="190"/>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Later years</w:t>
            </w:r>
          </w:p>
        </w:tc>
        <w:tc>
          <w:tcPr>
            <w:tcW w:w="9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17,840</w:t>
            </w:r>
          </w:p>
        </w:tc>
      </w:tr>
      <w:tr>
        <w:trPr>
          <w:trHeight w:val="32"/>
        </w:trPr>
        <w:tc>
          <w:tcPr>
            <w:tcW w:w="8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2"/>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payments</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25,374</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firstLine="508"/>
        <w:spacing w:after="0" w:line="253" w:lineRule="auto"/>
        <w:rPr>
          <w:sz w:val="20"/>
          <w:szCs w:val="20"/>
          <w:color w:val="auto"/>
        </w:rPr>
      </w:pPr>
      <w:r>
        <w:rPr>
          <w:rFonts w:ascii="Times New Roman" w:cs="Times New Roman" w:eastAsia="Times New Roman" w:hAnsi="Times New Roman"/>
          <w:sz w:val="14"/>
          <w:szCs w:val="14"/>
          <w:color w:val="auto"/>
        </w:rPr>
        <w:t>In addition to the above, the Company's tax receivable agreement liability and future payments thereunder are expected to increase as we realize (or are deemed to realize) an increase in tax basis of Holdings’ assets resulting from any future purchases, redemptions or exchanges of Holdings' interests by holders. The Company currently expect to fund these future tax receivable agreement liability payments from some of the realized cash tax savings as a result of this increase in tax basis.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95" w:lineRule="exact"/>
        <w:rPr>
          <w:sz w:val="20"/>
          <w:szCs w:val="20"/>
          <w:color w:val="auto"/>
        </w:rPr>
      </w:pPr>
    </w:p>
    <w:p>
      <w:pPr>
        <w:ind w:right="400" w:firstLine="508"/>
        <w:spacing w:after="0" w:line="286" w:lineRule="auto"/>
        <w:rPr>
          <w:sz w:val="20"/>
          <w:szCs w:val="20"/>
          <w:color w:val="auto"/>
        </w:rPr>
      </w:pPr>
      <w:r>
        <w:rPr>
          <w:rFonts w:ascii="Times New Roman" w:cs="Times New Roman" w:eastAsia="Times New Roman" w:hAnsi="Times New Roman"/>
          <w:sz w:val="14"/>
          <w:szCs w:val="14"/>
          <w:color w:val="auto"/>
        </w:rPr>
        <w:t>The Company may be, from time to time, party to various disputes and claims arising from normal business activities. The Company accrues for amounts related to legal matters if it is probable that a liability has been incurred and the amount is reasonably estimable. Litigation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216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RELATED PARTY TRANSACTIONS</w:t>
      </w:r>
    </w:p>
    <w:p>
      <w:pPr>
        <w:spacing w:after="0" w:line="201" w:lineRule="exact"/>
        <w:rPr>
          <w:sz w:val="20"/>
          <w:szCs w:val="20"/>
          <w:color w:val="auto"/>
        </w:rPr>
      </w:pPr>
    </w:p>
    <w:p>
      <w:pPr>
        <w:ind w:right="20" w:firstLine="508"/>
        <w:spacing w:after="0" w:line="269" w:lineRule="auto"/>
        <w:rPr>
          <w:sz w:val="20"/>
          <w:szCs w:val="20"/>
          <w:color w:val="auto"/>
        </w:rPr>
      </w:pPr>
      <w:r>
        <w:rPr>
          <w:rFonts w:ascii="Times New Roman" w:cs="Times New Roman" w:eastAsia="Times New Roman" w:hAnsi="Times New Roman"/>
          <w:sz w:val="14"/>
          <w:szCs w:val="14"/>
          <w:color w:val="auto"/>
        </w:rPr>
        <w:t>As a result of the Business Combination, the Company entered into a tax receivable agreement with Holdings and holders of interests in Holdings. See Note 13. The Company is obligated to make certain payments under the tax receivable agreement to certain historical holders of units in Holdings. The Company made no payment related to the tax receivable agreement liability in the quarter ended March 31, 2024.</w:t>
      </w:r>
    </w:p>
    <w:p>
      <w:pPr>
        <w:spacing w:after="0" w:line="157" w:lineRule="exact"/>
        <w:rPr>
          <w:sz w:val="20"/>
          <w:szCs w:val="20"/>
          <w:color w:val="auto"/>
        </w:rPr>
      </w:pPr>
    </w:p>
    <w:p>
      <w:pPr>
        <w:ind w:right="100" w:firstLine="508"/>
        <w:spacing w:after="0" w:line="269" w:lineRule="auto"/>
        <w:rPr>
          <w:sz w:val="20"/>
          <w:szCs w:val="20"/>
          <w:color w:val="auto"/>
        </w:rPr>
      </w:pPr>
      <w:r>
        <w:rPr>
          <w:rFonts w:ascii="Times New Roman" w:cs="Times New Roman" w:eastAsia="Times New Roman" w:hAnsi="Times New Roman"/>
          <w:sz w:val="14"/>
          <w:szCs w:val="14"/>
          <w:color w:val="auto"/>
        </w:rPr>
        <w:t>Pursuant to the Holdings LLC agreement, the Company makes pro rata tax distributions to the holders of Holdings' units (i.e., non-controlling interest) in an amount sufficient to fund all or part of their tax obligations with respect to the taxable income of Holdings that is allocated to them. For the three months ended March 31, 2024, Holdings distributed a total of $13,422 of tax distributions to its members, of which $3,271 was paid to CompoSecure, Inc. (the parent company), resulting in a net tax distribution to all other members of $10,151.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SUBSEQUENT EVENT</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On May 6, 2024, the Company announced a special cash dividend of $0.30 per share to Class A shareholders. A corresponding distribution of $0.30 per share was also announced for Class B</w:t>
      </w:r>
    </w:p>
    <w:p>
      <w:pPr>
        <w:spacing w:after="0" w:line="2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unitholders of CompoSecure Holdings, L.L.C. Both the dividend and distribution will be payable on June 11, 2024, to Class A shareholders and Class B unitholders of record as of May 20, 2024, and will be funded by cash on the Company’s balance sheet. The total amount of cash disbursed to Class A shareholders and Class B unitholders is expected to be approximately $24.2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75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11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5" w:lineRule="exact"/>
        <w:rPr>
          <w:sz w:val="20"/>
          <w:szCs w:val="20"/>
          <w:color w:val="auto"/>
        </w:rPr>
      </w:pPr>
    </w:p>
    <w:p>
      <w:pPr>
        <w:ind w:right="120" w:firstLine="508"/>
        <w:spacing w:after="0" w:line="260" w:lineRule="auto"/>
        <w:rPr>
          <w:sz w:val="20"/>
          <w:szCs w:val="20"/>
          <w:color w:val="auto"/>
        </w:rPr>
      </w:pPr>
      <w:r>
        <w:rPr>
          <w:rFonts w:ascii="Times New Roman" w:cs="Times New Roman" w:eastAsia="Times New Roman" w:hAnsi="Times New Roman"/>
          <w:sz w:val="14"/>
          <w:szCs w:val="14"/>
          <w:color w:val="auto"/>
        </w:rPr>
        <w:t>The following discussion and analysis of our consolidated financial condition and results of operations should be read in conjunction with the Company's audited consolidated financial statements and related notes thereto included in the annual report on Form 10-K for the year ended December 31, 2023 filed with the SEC.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in this Quarterly Report on Form 10-Q.</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1" w:lineRule="exact"/>
        <w:rPr>
          <w:sz w:val="20"/>
          <w:szCs w:val="20"/>
          <w:color w:val="auto"/>
        </w:rPr>
      </w:pPr>
    </w:p>
    <w:p>
      <w:pPr>
        <w:ind w:right="100" w:firstLine="508"/>
        <w:spacing w:after="0" w:line="259" w:lineRule="auto"/>
        <w:rPr>
          <w:sz w:val="20"/>
          <w:szCs w:val="20"/>
          <w:color w:val="auto"/>
        </w:rPr>
      </w:pPr>
      <w:r>
        <w:rPr>
          <w:rFonts w:ascii="Times New Roman" w:cs="Times New Roman" w:eastAsia="Times New Roman" w:hAnsi="Times New Roman"/>
          <w:sz w:val="14"/>
          <w:szCs w:val="14"/>
          <w:color w:val="auto"/>
        </w:rPr>
        <w:t>The Company creates innovative, highly differentiated and customized financial payment card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with additional direct and indirect customers in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Conditions - Globally and in the Digital Asset Marketplace</w:t>
      </w:r>
    </w:p>
    <w:p>
      <w:pPr>
        <w:spacing w:after="0" w:line="190" w:lineRule="exact"/>
        <w:rPr>
          <w:sz w:val="20"/>
          <w:szCs w:val="20"/>
          <w:color w:val="auto"/>
        </w:rPr>
      </w:pPr>
    </w:p>
    <w:p>
      <w:pPr>
        <w:ind w:firstLine="508"/>
        <w:spacing w:after="0" w:line="245" w:lineRule="auto"/>
        <w:rPr>
          <w:sz w:val="20"/>
          <w:szCs w:val="20"/>
          <w:color w:val="auto"/>
        </w:rPr>
      </w:pPr>
      <w:r>
        <w:rPr>
          <w:rFonts w:ascii="Times New Roman" w:cs="Times New Roman" w:eastAsia="Times New Roman" w:hAnsi="Times New Roman"/>
          <w:sz w:val="14"/>
          <w:szCs w:val="14"/>
          <w:color w:val="auto"/>
        </w:rPr>
        <w:t>U.S. and international markets and, in particular, the rapidly evolving digital assets industry, are experiencing uncertain and volatile economic conditions, including Russian aggression in Ukraine, the ongoing conflict in Israel, Gaza and the surrounding areas, sustained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If these uncertain business, macroeconomic or political conditions continue or further decline, our business, financial condition and results of operations could be materially adversely affected.</w:t>
      </w:r>
    </w:p>
    <w:p>
      <w:pPr>
        <w:spacing w:after="0" w:line="173" w:lineRule="exact"/>
        <w:rPr>
          <w:sz w:val="20"/>
          <w:szCs w:val="20"/>
          <w:color w:val="auto"/>
        </w:rPr>
      </w:pPr>
    </w:p>
    <w:p>
      <w:pPr>
        <w:ind w:right="20" w:firstLine="508"/>
        <w:spacing w:after="0" w:line="263" w:lineRule="auto"/>
        <w:rPr>
          <w:sz w:val="20"/>
          <w:szCs w:val="20"/>
          <w:color w:val="auto"/>
        </w:rPr>
      </w:pPr>
      <w:r>
        <w:rPr>
          <w:rFonts w:ascii="Times New Roman" w:cs="Times New Roman" w:eastAsia="Times New Roman" w:hAnsi="Times New Roman"/>
          <w:sz w:val="14"/>
          <w:szCs w:val="14"/>
          <w:color w:val="auto"/>
        </w:rPr>
        <w:t>The Company’s Arculus platform offers a broad range of secure authentication and digital asset storage solutions and enables our consumer Arculus Cold Storage Wallet for digital assets. We believe consumers can achieve enhanced protection by controlling their private keys with a cold storage wallet, such as the Arculus Cold Storage Wallet. At the same time, this market cycle has created uncertainty in timing for our anticipated Arculus ramp up, as some of our partners and targets have been impacted. Therefore, we are taking a measured approach to better target the timing of our investments to support near-term and long-term opportunities.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Results of Operations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180" w:lineRule="exact"/>
        <w:rPr>
          <w:sz w:val="20"/>
          <w:szCs w:val="20"/>
          <w:color w:val="auto"/>
        </w:rPr>
      </w:pPr>
    </w:p>
    <w:p>
      <w:pPr>
        <w:ind w:right="80" w:firstLine="508"/>
        <w:spacing w:after="0" w:line="263" w:lineRule="auto"/>
        <w:rPr>
          <w:sz w:val="20"/>
          <w:szCs w:val="20"/>
          <w:color w:val="auto"/>
        </w:rPr>
      </w:pPr>
      <w:r>
        <w:rPr>
          <w:rFonts w:ascii="Times New Roman" w:cs="Times New Roman" w:eastAsia="Times New Roman" w:hAnsi="Times New Roman"/>
          <w:sz w:val="14"/>
          <w:szCs w:val="14"/>
          <w:color w:val="auto"/>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refers to pre-laminated, sub-assemblies consisting of a composite of material layers which are partially laminated to be used as a component in the multiple layers of a final payment card or other card construction). Net sales include the effect of discounts and allowances which consist primarily of volume-based rebates.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58" w:right="31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80" w:lineRule="exact"/>
        <w:rPr>
          <w:sz w:val="20"/>
          <w:szCs w:val="20"/>
          <w:color w:val="auto"/>
        </w:rPr>
      </w:pPr>
    </w:p>
    <w:p>
      <w:pPr>
        <w:ind w:firstLine="508"/>
        <w:spacing w:after="0"/>
        <w:rPr>
          <w:sz w:val="20"/>
          <w:szCs w:val="20"/>
          <w:color w:val="auto"/>
        </w:rPr>
      </w:pPr>
      <w:r>
        <w:rPr>
          <w:rFonts w:ascii="Times New Roman" w:cs="Times New Roman" w:eastAsia="Times New Roman" w:hAnsi="Times New Roman"/>
          <w:sz w:val="14"/>
          <w:szCs w:val="14"/>
          <w:color w:val="auto"/>
        </w:rPr>
        <w:t>The Company’s cost of sales includes the direct and indirect costs related to manufacturing products and providing related services. Product costs include the cost of raw materials and supplies, including various metals, EMV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gross profit represents its net sales less cost of sales, and its gross margin represents gross profit as a percentage of its net sales.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0" w:lineRule="exact"/>
        <w:rPr>
          <w:sz w:val="20"/>
          <w:szCs w:val="20"/>
          <w:color w:val="auto"/>
        </w:rPr>
      </w:pPr>
    </w:p>
    <w:p>
      <w:pPr>
        <w:ind w:right="200" w:firstLine="508"/>
        <w:spacing w:after="0" w:line="269" w:lineRule="auto"/>
        <w:rPr>
          <w:sz w:val="20"/>
          <w:szCs w:val="20"/>
          <w:color w:val="auto"/>
        </w:rPr>
      </w:pPr>
      <w:r>
        <w:rPr>
          <w:rFonts w:ascii="Times New Roman" w:cs="Times New Roman" w:eastAsia="Times New Roman" w:hAnsi="Times New Roman"/>
          <w:sz w:val="14"/>
          <w:szCs w:val="14"/>
          <w:color w:val="auto"/>
        </w:rPr>
        <w:t>The Company’s operating expenses primarily comprised selling, general, and administrative expenses, which generally consist of personnel-related expenses for its corporate, executive, finance, information technology, and other administrative functions, and expenses for outside professional services, including legal, audit and accounting services, as well as expenses for facilities, depreciation, amortization, travel, sales and marketing.</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 and Operating Margin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Income from operations consists of the Company’s gross profit less its operating expenses. Operating margin is income from the Company’s operations as a percentage of its net sales.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expense primarily consists of changes in fair value of warrant liability, earnout consideration liability and interest expense net of any interest income.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income consists of the Company’s income from operations, less other expenses and income tax provision or benefit.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the Company’s Operating Results</w:t>
      </w:r>
    </w:p>
    <w:p>
      <w:pPr>
        <w:spacing w:after="0" w:line="190" w:lineRule="exact"/>
        <w:rPr>
          <w:sz w:val="20"/>
          <w:szCs w:val="20"/>
          <w:color w:val="auto"/>
        </w:rPr>
      </w:pPr>
    </w:p>
    <w:p>
      <w:pPr>
        <w:jc w:val="both"/>
        <w:ind w:right="360" w:firstLine="508"/>
        <w:spacing w:after="0" w:line="253" w:lineRule="auto"/>
        <w:rPr>
          <w:sz w:val="20"/>
          <w:szCs w:val="20"/>
          <w:color w:val="auto"/>
        </w:rPr>
      </w:pPr>
      <w:r>
        <w:rPr>
          <w:rFonts w:ascii="Times New Roman" w:cs="Times New Roman" w:eastAsia="Times New Roman" w:hAnsi="Times New Roman"/>
          <w:sz w:val="14"/>
          <w:szCs w:val="14"/>
          <w:color w:val="auto"/>
        </w:rPr>
        <w:t>We believe that our performance and future success depend on a number of factors that present significant opportunities for us but also pose risks and challenges. Please see the factors discussed in this Quarterly Report on Form 10-Q, including those discussed in the sections entitled “Risk Factors” and “Cautionary Note Regarding Forward-Looking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94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6"/>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28"/>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2024 vs three months ended March 31, 2023</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5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following table presents the Company’s results of operations for the periods indicated:</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96"/>
        </w:trPr>
        <w:tc>
          <w:tcPr>
            <w:tcW w:w="4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Pr>
          <w:p>
            <w:pPr>
              <w:spacing w:after="0"/>
              <w:rPr>
                <w:sz w:val="24"/>
                <w:szCs w:val="24"/>
                <w:color w:val="auto"/>
              </w:rPr>
            </w:pPr>
          </w:p>
        </w:tc>
      </w:tr>
      <w:tr>
        <w:trPr>
          <w:trHeight w:val="32"/>
        </w:trPr>
        <w:tc>
          <w:tcPr>
            <w:tcW w:w="4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1"/>
        </w:trPr>
        <w:tc>
          <w:tcPr>
            <w:tcW w:w="4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2"/>
        </w:trPr>
        <w:tc>
          <w:tcPr>
            <w:tcW w:w="4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1"/>
        </w:trPr>
        <w:tc>
          <w:tcPr>
            <w:tcW w:w="4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2"/>
        </w:trPr>
        <w:tc>
          <w:tcPr>
            <w:tcW w:w="58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104,010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95,316</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8,694</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r>
      <w:tr>
        <w:trPr>
          <w:trHeight w:val="190"/>
        </w:trPr>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Cost of sales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48,797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41,962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6,835</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r>
      <w:tr>
        <w:trPr>
          <w:trHeight w:val="32"/>
        </w:trPr>
        <w:tc>
          <w:tcPr>
            <w:tcW w:w="58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53,354</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19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2"/>
        </w:trPr>
        <w:tc>
          <w:tcPr>
            <w:tcW w:w="58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2"/>
        </w:trPr>
        <w:tc>
          <w:tcPr>
            <w:tcW w:w="58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23,944</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31,136</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29,410</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r>
      <w:tr>
        <w:trPr>
          <w:trHeight w:val="32"/>
        </w:trPr>
        <w:tc>
          <w:tcPr>
            <w:tcW w:w="58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2"/>
        </w:trPr>
        <w:tc>
          <w:tcPr>
            <w:tcW w:w="5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(expense), net</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(19,936)</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r>
      <w:tr>
        <w:trPr>
          <w:trHeight w:val="181"/>
        </w:trPr>
        <w:tc>
          <w:tcPr>
            <w:tcW w:w="5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16,237</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9,474</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6,763</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w:t>
            </w:r>
          </w:p>
        </w:tc>
      </w:tr>
      <w:tr>
        <w:trPr>
          <w:trHeight w:val="32"/>
        </w:trPr>
        <w:tc>
          <w:tcPr>
            <w:tcW w:w="58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2"/>
        </w:trPr>
        <w:tc>
          <w:tcPr>
            <w:tcW w:w="5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tax benefit</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r>
      <w:tr>
        <w:trPr>
          <w:trHeight w:val="181"/>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17,073</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10,737</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6,336</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w:t>
            </w:r>
          </w:p>
        </w:tc>
      </w:tr>
      <w:tr>
        <w:trPr>
          <w:trHeight w:val="32"/>
        </w:trPr>
        <w:tc>
          <w:tcPr>
            <w:tcW w:w="58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2"/>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redeemable non-controlling interests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8,408</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r>
      <w:tr>
        <w:trPr>
          <w:trHeight w:val="20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CompoSecure, Inc</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73%</w:t>
            </w:r>
          </w:p>
        </w:tc>
      </w:tr>
      <w:tr>
        <w:trPr>
          <w:trHeight w:val="20"/>
        </w:trPr>
        <w:tc>
          <w:tcPr>
            <w:tcW w:w="4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36195</wp:posOffset>
            </wp:positionV>
            <wp:extent cx="232473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24735" cy="698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76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3"/>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margin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r>
    </w:tbl>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96"/>
        </w:trPr>
        <w:tc>
          <w:tcPr>
            <w:tcW w:w="5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tcPr>
          <w:p>
            <w:pPr>
              <w:spacing w:after="0"/>
              <w:rPr>
                <w:sz w:val="24"/>
                <w:szCs w:val="24"/>
                <w:color w:val="auto"/>
              </w:rPr>
            </w:pPr>
          </w:p>
        </w:tc>
      </w:tr>
      <w:tr>
        <w:trPr>
          <w:trHeight w:val="32"/>
        </w:trPr>
        <w:tc>
          <w:tcPr>
            <w:tcW w:w="5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1"/>
        </w:trPr>
        <w:tc>
          <w:tcPr>
            <w:tcW w:w="5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2"/>
        </w:trPr>
        <w:tc>
          <w:tcPr>
            <w:tcW w:w="5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1"/>
        </w:trPr>
        <w:tc>
          <w:tcPr>
            <w:tcW w:w="5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tcPr>
          <w:p>
            <w:pPr>
              <w:spacing w:after="0"/>
              <w:rPr>
                <w:sz w:val="15"/>
                <w:szCs w:val="15"/>
                <w:color w:val="auto"/>
              </w:rPr>
            </w:pPr>
          </w:p>
        </w:tc>
      </w:tr>
      <w:tr>
        <w:trPr>
          <w:trHeight w:val="32"/>
        </w:trPr>
        <w:tc>
          <w:tcPr>
            <w:tcW w:w="5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by region</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190"/>
        </w:trPr>
        <w:tc>
          <w:tcPr>
            <w:tcW w:w="5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Domestic</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92,790</w:t>
            </w:r>
          </w:p>
        </w:tc>
        <w:tc>
          <w:tcPr>
            <w:tcW w:w="80" w:type="dxa"/>
            <w:vAlign w:val="bottom"/>
          </w:tcPr>
          <w:p>
            <w:pPr>
              <w:spacing w:after="0"/>
              <w:rPr>
                <w:sz w:val="16"/>
                <w:szCs w:val="16"/>
                <w:color w:val="auto"/>
              </w:rPr>
            </w:pP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73,667</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19,123</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32"/>
        </w:trPr>
        <w:tc>
          <w:tcPr>
            <w:tcW w:w="5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2"/>
        </w:trPr>
        <w:tc>
          <w:tcPr>
            <w:tcW w:w="5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w:t>
            </w:r>
          </w:p>
        </w:tc>
        <w:tc>
          <w:tcPr>
            <w:tcW w:w="8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11,220</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7"/>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104,010</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95,316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8,694</w:t>
            </w:r>
          </w:p>
        </w:tc>
        <w:tc>
          <w:tcPr>
            <w:tcW w:w="8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20"/>
        </w:trPr>
        <w:tc>
          <w:tcPr>
            <w:tcW w:w="5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00" w:firstLine="508"/>
        <w:spacing w:after="0" w:line="263" w:lineRule="auto"/>
        <w:rPr>
          <w:sz w:val="20"/>
          <w:szCs w:val="20"/>
          <w:color w:val="auto"/>
        </w:rPr>
      </w:pPr>
      <w:r>
        <w:rPr>
          <w:rFonts w:ascii="Times New Roman" w:cs="Times New Roman" w:eastAsia="Times New Roman" w:hAnsi="Times New Roman"/>
          <w:sz w:val="14"/>
          <w:szCs w:val="14"/>
          <w:color w:val="auto"/>
        </w:rPr>
        <w:t>The Company’s net sales for the quarter ended March 31, 2024 increased $8.7 million, or 9%, to $104.0 million compared to $95.3 million for the quarter ended March 31, 2023. The increase was primarily driven by continued</w:t>
      </w:r>
    </w:p>
    <w:p>
      <w:pPr>
        <w:spacing w:after="0"/>
        <w:rPr>
          <w:sz w:val="20"/>
          <w:szCs w:val="20"/>
          <w:color w:val="auto"/>
        </w:rPr>
      </w:pPr>
      <w:r>
        <w:rPr>
          <w:rFonts w:ascii="Times New Roman" w:cs="Times New Roman" w:eastAsia="Times New Roman" w:hAnsi="Times New Roman"/>
          <w:sz w:val="14"/>
          <w:szCs w:val="14"/>
          <w:color w:val="auto"/>
        </w:rPr>
        <w:t>domestic growth in the Company’s premium payment card business, which was up 26%. This was offset by lower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 sales attributable to the timing of sales. Timing of international sales is more variable due to current global economic uncertainty, customer mix and a smaller sales base.</w:t>
      </w:r>
    </w:p>
    <w:p>
      <w:pPr>
        <w:spacing w:after="0" w:line="182" w:lineRule="exact"/>
        <w:rPr>
          <w:sz w:val="20"/>
          <w:szCs w:val="20"/>
          <w:color w:val="auto"/>
        </w:rPr>
      </w:pPr>
    </w:p>
    <w:p>
      <w:pPr>
        <w:ind w:right="500"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Domestic</w:t>
      </w:r>
      <w:r>
        <w:rPr>
          <w:rFonts w:ascii="Times New Roman" w:cs="Times New Roman" w:eastAsia="Times New Roman" w:hAnsi="Times New Roman"/>
          <w:sz w:val="14"/>
          <w:szCs w:val="14"/>
          <w:color w:val="auto"/>
        </w:rPr>
        <w:t>: The Company’s domestic net sales for the quarter ended March 31, 2024 increased $19.1 million, or 26%, to $92.8 million compared to $73.7 million for the quarter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March 31, 2023. This was driven by increased sales to a major customer in the current year.</w:t>
      </w:r>
    </w:p>
    <w:p>
      <w:pPr>
        <w:spacing w:after="0" w:line="131" w:lineRule="exact"/>
        <w:rPr>
          <w:sz w:val="20"/>
          <w:szCs w:val="20"/>
          <w:color w:val="auto"/>
        </w:rPr>
      </w:pPr>
    </w:p>
    <w:p>
      <w:pPr>
        <w:ind w:right="60" w:firstLine="508"/>
        <w:spacing w:after="0" w:line="273" w:lineRule="auto"/>
        <w:rPr>
          <w:sz w:val="20"/>
          <w:szCs w:val="20"/>
          <w:color w:val="auto"/>
        </w:rPr>
      </w:pPr>
      <w:r>
        <w:rPr>
          <w:rFonts w:ascii="Times New Roman" w:cs="Times New Roman" w:eastAsia="Times New Roman" w:hAnsi="Times New Roman"/>
          <w:sz w:val="14"/>
          <w:szCs w:val="14"/>
          <w:i w:val="1"/>
          <w:iCs w:val="1"/>
          <w:color w:val="auto"/>
        </w:rPr>
        <w:t>International</w:t>
      </w:r>
      <w:r>
        <w:rPr>
          <w:rFonts w:ascii="Times New Roman" w:cs="Times New Roman" w:eastAsia="Times New Roman" w:hAnsi="Times New Roman"/>
          <w:sz w:val="14"/>
          <w:szCs w:val="14"/>
          <w:color w:val="auto"/>
        </w:rPr>
        <w:t>: The Company’s international net sales for the quarter ended March 31, 2024 decreased $10.4 million, or 48%, to $11.2 million compared to $21.6 million for the quarter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March 31, 2023. International sales decreased primarily due to ongoing global economic uncertainty and international markets being a more variable market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due to customer mix and a smaller sales base. International net sales were approximately 11% and 23% of the Company's total net sales for the quarter ended March 31, 2024 and 2023,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90" w:lineRule="exact"/>
        <w:rPr>
          <w:sz w:val="20"/>
          <w:szCs w:val="20"/>
          <w:color w:val="auto"/>
        </w:rPr>
      </w:pPr>
    </w:p>
    <w:p>
      <w:pPr>
        <w:ind w:right="40" w:firstLine="508"/>
        <w:spacing w:after="0" w:line="253" w:lineRule="auto"/>
        <w:rPr>
          <w:sz w:val="20"/>
          <w:szCs w:val="20"/>
          <w:color w:val="auto"/>
        </w:rPr>
      </w:pPr>
      <w:r>
        <w:rPr>
          <w:rFonts w:ascii="Times New Roman" w:cs="Times New Roman" w:eastAsia="Times New Roman" w:hAnsi="Times New Roman"/>
          <w:sz w:val="14"/>
          <w:szCs w:val="14"/>
          <w:color w:val="auto"/>
        </w:rPr>
        <w:t>The Company’s gross profit for the quarter ended March 31, 2024 increased $1.9 million, or 3%, to $55.2 million compared to $53.4 million for the quarter ended March 31, 2023. The gross profit margin percentage decreased from 56.0% to 53.1%. The decrease was primarily due to product mix and the impact of inflationary pressure on wages and materials during the quarter ended March 31, 2024.</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99" w:lineRule="exact"/>
        <w:rPr>
          <w:sz w:val="20"/>
          <w:szCs w:val="20"/>
          <w:color w:val="auto"/>
        </w:rPr>
      </w:pPr>
    </w:p>
    <w:p>
      <w:pPr>
        <w:ind w:right="100" w:firstLine="508"/>
        <w:spacing w:after="0" w:line="271" w:lineRule="auto"/>
        <w:rPr>
          <w:sz w:val="20"/>
          <w:szCs w:val="20"/>
          <w:color w:val="auto"/>
        </w:rPr>
      </w:pPr>
      <w:r>
        <w:rPr>
          <w:rFonts w:ascii="Times New Roman" w:cs="Times New Roman" w:eastAsia="Times New Roman" w:hAnsi="Times New Roman"/>
          <w:sz w:val="14"/>
          <w:szCs w:val="14"/>
          <w:color w:val="auto"/>
        </w:rPr>
        <w:t xml:space="preserve">The Company’s operating expenses increased </w:t>
      </w:r>
      <w:r>
        <w:rPr>
          <w:rFonts w:ascii="Times New Roman" w:cs="Times New Roman" w:eastAsia="Times New Roman" w:hAnsi="Times New Roman"/>
          <w:sz w:val="15"/>
          <w:szCs w:val="15"/>
          <w:color w:val="auto"/>
        </w:rPr>
        <w:t>1% to</w:t>
      </w:r>
      <w:r>
        <w:rPr>
          <w:rFonts w:ascii="Times New Roman" w:cs="Times New Roman" w:eastAsia="Times New Roman" w:hAnsi="Times New Roman"/>
          <w:sz w:val="14"/>
          <w:szCs w:val="14"/>
          <w:color w:val="auto"/>
        </w:rPr>
        <w:t xml:space="preserve"> $24.1 million for the quarter ended March 31, 2024 when compared to the quarter ended March 31, 2023. The consistency in operating expenses resulted from maintaining expense levels period to period.</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 and Operating Margin</w:t>
      </w:r>
    </w:p>
    <w:p>
      <w:pPr>
        <w:spacing w:after="0" w:line="180" w:lineRule="exact"/>
        <w:rPr>
          <w:sz w:val="20"/>
          <w:szCs w:val="20"/>
          <w:color w:val="auto"/>
        </w:rPr>
      </w:pPr>
    </w:p>
    <w:p>
      <w:pPr>
        <w:ind w:right="20" w:firstLine="508"/>
        <w:spacing w:after="0" w:line="269" w:lineRule="auto"/>
        <w:rPr>
          <w:sz w:val="20"/>
          <w:szCs w:val="20"/>
          <w:color w:val="auto"/>
        </w:rPr>
      </w:pPr>
      <w:r>
        <w:rPr>
          <w:rFonts w:ascii="Times New Roman" w:cs="Times New Roman" w:eastAsia="Times New Roman" w:hAnsi="Times New Roman"/>
          <w:sz w:val="14"/>
          <w:szCs w:val="14"/>
          <w:color w:val="auto"/>
        </w:rPr>
        <w:t>Income from operations for the quarter ended March 31, 2024 increased $1.7 million, or 6% to $31.1 million compared $29.4 million for the quarter ended March 31, 2023. The increase was primarily attributable to an increase in net sales. Operating margin for the quarter ended March 31, 2024 decreased by 1% to 30% compared to 31% for the quarter ended March 31, 2023. The decrease in operating margin is attributable to the decrease in gross margin discussed above.</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(Expenses)</w:t>
      </w:r>
    </w:p>
    <w:p>
      <w:pPr>
        <w:spacing w:after="0" w:line="180" w:lineRule="exact"/>
        <w:rPr>
          <w:sz w:val="20"/>
          <w:szCs w:val="20"/>
          <w:color w:val="auto"/>
        </w:rPr>
      </w:pPr>
    </w:p>
    <w:p>
      <w:pPr>
        <w:ind w:firstLine="508"/>
        <w:spacing w:after="0" w:line="263" w:lineRule="auto"/>
        <w:rPr>
          <w:sz w:val="20"/>
          <w:szCs w:val="20"/>
          <w:color w:val="auto"/>
        </w:rPr>
      </w:pPr>
      <w:r>
        <w:rPr>
          <w:rFonts w:ascii="Times New Roman" w:cs="Times New Roman" w:eastAsia="Times New Roman" w:hAnsi="Times New Roman"/>
          <w:sz w:val="14"/>
          <w:szCs w:val="14"/>
          <w:color w:val="auto"/>
        </w:rPr>
        <w:t>Other expense for the quarter ended March 31, 2024 decreased $5.0 million, or 25.3%, to $14.9 million compared to $19.9 million for the quarter ended March 31, 2023. The overall decrease in other expenses is primarily due to changes in the fair value of earnout consideration liability and warrant liability of $3.9 million and changes in a derivative liability related to a make-whole provision as discussed in Note 5 in the unaudited financial statements of $0.4 million. The balance of the decrease was due to a $0.8 million decrease in interest expense related to payments of debt on the outstanding term loan.</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Tax Benefit</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income tax benefit for the quarter ended March 31, 2024 was $0.8 million compared to $1.3 million for the quarter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7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Use of Non-GAAP Financial Measures</w:t>
      </w:r>
    </w:p>
    <w:p>
      <w:pPr>
        <w:spacing w:after="0" w:line="180" w:lineRule="exact"/>
        <w:rPr>
          <w:sz w:val="20"/>
          <w:szCs w:val="20"/>
          <w:color w:val="auto"/>
        </w:rPr>
      </w:pPr>
    </w:p>
    <w:p>
      <w:pPr>
        <w:ind w:firstLine="508"/>
        <w:spacing w:after="0" w:line="256" w:lineRule="auto"/>
        <w:rPr>
          <w:sz w:val="20"/>
          <w:szCs w:val="20"/>
          <w:color w:val="auto"/>
        </w:rPr>
      </w:pPr>
      <w:r>
        <w:rPr>
          <w:rFonts w:ascii="Times New Roman" w:cs="Times New Roman" w:eastAsia="Times New Roman" w:hAnsi="Times New Roman"/>
          <w:sz w:val="14"/>
          <w:szCs w:val="14"/>
          <w:color w:val="auto"/>
        </w:rPr>
        <w:t>This Form 10-Q includes certain non-GAAP financial measures that are not prepared in accordance with accounting principles generally accepted in the United States (“GAAP”) and that may be different from non-GAAP financial measures used by other companies. The Company believes EBITDA, Adjusted EBITDA and non-GAAP earnings per share are useful to investors in evaluating the Company’s financial performance. The Company uses these measures internally to establish forecasts, budgets and operational goals to manage and monitor its business, as well as evaluate its underlying historical performance and to measure incentive compensation, as we believe that these non-GAAP financial measures depict the true performance of the business by encompassing only relevant and controllable events, enabling the Company to evaluate and plan more effectively for the future. In addition, the Company’s debt agreements contain covenants that use a variation of these measures for purposes of determining debt covenant compliance. The Company believes that investors should have access to the same set of tools that its management uses in analyzing operating results. EBITDA, Adjusted EBITDA and non-GAAP earnings per share should not be considered as measures of financial performance under U.S. GAAP, and the items excluded from EBITDA, Adjusted EBITDA and non-GAAP earnings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and may be different from similarly titled non-GAAP measures used by other companies.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unaudited table presents the reconciliation of net income to EBITDA and Adjusted EBITDA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bottom w:val="single" w:sz="8" w:color="auto"/>
            </w:tcBorders>
            <w:shd w:val="clear" w:color="auto" w:fill="CCEEFF"/>
          </w:tcPr>
          <w:p>
            <w:pPr>
              <w:spacing w:after="0"/>
              <w:rPr>
                <w:sz w:val="18"/>
                <w:szCs w:val="18"/>
                <w:color w:val="auto"/>
              </w:rPr>
            </w:pPr>
          </w:p>
        </w:tc>
      </w:tr>
      <w:tr>
        <w:trPr>
          <w:trHeight w:val="189"/>
        </w:trPr>
        <w:tc>
          <w:tcPr>
            <w:tcW w:w="58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5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1"/>
        </w:trPr>
        <w:tc>
          <w:tcPr>
            <w:tcW w:w="5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80" w:type="dxa"/>
            <w:vAlign w:val="bottom"/>
            <w:gridSpan w:val="3"/>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5"/>
                <w:szCs w:val="15"/>
                <w:color w:val="auto"/>
              </w:rPr>
            </w:pPr>
          </w:p>
        </w:tc>
      </w:tr>
      <w:tr>
        <w:trPr>
          <w:trHeight w:val="32"/>
        </w:trPr>
        <w:tc>
          <w:tcPr>
            <w:tcW w:w="5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80" w:type="dxa"/>
            <w:vAlign w:val="bottom"/>
            <w:tcBorders>
              <w:bottom w:val="single" w:sz="8" w:color="CCEEFF"/>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17,073</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10,737</w:t>
            </w: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2"/>
        </w:trPr>
        <w:tc>
          <w:tcPr>
            <w:tcW w:w="5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 (1)</w:t>
            </w:r>
          </w:p>
        </w:tc>
        <w:tc>
          <w:tcPr>
            <w:tcW w:w="1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6,496</w:t>
            </w:r>
          </w:p>
        </w:tc>
      </w:tr>
      <w:tr>
        <w:trPr>
          <w:trHeight w:val="32"/>
        </w:trPr>
        <w:tc>
          <w:tcPr>
            <w:tcW w:w="5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2"/>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1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r>
      <w:tr>
        <w:trPr>
          <w:trHeight w:val="181"/>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1280" w:type="dxa"/>
            <w:vAlign w:val="bottom"/>
            <w:tcBorders>
              <w:top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24,204</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18,010</w:t>
            </w:r>
          </w:p>
        </w:tc>
      </w:tr>
      <w:tr>
        <w:trPr>
          <w:trHeight w:val="32"/>
        </w:trPr>
        <w:tc>
          <w:tcPr>
            <w:tcW w:w="5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w:t>
            </w: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Mark-to-market adjustments, net (2)</w:t>
            </w:r>
          </w:p>
        </w:tc>
        <w:tc>
          <w:tcPr>
            <w:tcW w:w="1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13,440</w:t>
            </w:r>
          </w:p>
        </w:tc>
      </w:tr>
      <w:tr>
        <w:trPr>
          <w:trHeight w:val="32"/>
        </w:trPr>
        <w:tc>
          <w:tcPr>
            <w:tcW w:w="5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2"/>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280" w:type="dxa"/>
            <w:vAlign w:val="bottom"/>
            <w:tcBorders>
              <w:bottom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i w:val="1"/>
          <w:iCs w:val="1"/>
          <w:color w:val="auto"/>
        </w:rPr>
        <w:t>Includes amortization of deferred financing cost for the three months ended March 31, 2024 and 2023, respectively.</w:t>
      </w:r>
    </w:p>
    <w:p>
      <w:pPr>
        <w:spacing w:after="0" w:line="24" w:lineRule="exact"/>
        <w:rPr>
          <w:rFonts w:ascii="Times New Roman" w:cs="Times New Roman" w:eastAsia="Times New Roman" w:hAnsi="Times New Roman"/>
          <w:sz w:val="14"/>
          <w:szCs w:val="14"/>
          <w:b w:val="1"/>
          <w:bCs w:val="1"/>
          <w:i w:val="1"/>
          <w:iCs w:val="1"/>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i w:val="1"/>
          <w:iCs w:val="1"/>
          <w:color w:val="auto"/>
        </w:rPr>
        <w:t>Includes the changes in fair value of warrant liability, derivative liabilities and earnout consideration liability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927"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4"/>
          <w:szCs w:val="14"/>
          <w:color w:val="auto"/>
        </w:rPr>
        <w:t>The following unaudited table presents the non-GAAP earnings per share and reconciliation of GAAP net income to non-GAAP adjusted net income for the periods indicated:</w:t>
      </w:r>
    </w:p>
    <w:p>
      <w:pPr>
        <w:spacing w:after="0" w:line="23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4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040" w:type="dxa"/>
            <w:vAlign w:val="bottom"/>
          </w:tcPr>
          <w:p>
            <w:pPr>
              <w:spacing w:after="0"/>
              <w:rPr>
                <w:sz w:val="16"/>
                <w:szCs w:val="16"/>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7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10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17,073</w:t>
            </w:r>
          </w:p>
        </w:tc>
        <w:tc>
          <w:tcPr>
            <w:tcW w:w="100" w:type="dxa"/>
            <w:vAlign w:val="bottom"/>
          </w:tcPr>
          <w:p>
            <w:pPr>
              <w:spacing w:after="0"/>
              <w:rPr>
                <w:sz w:val="16"/>
                <w:szCs w:val="16"/>
                <w:color w:val="auto"/>
              </w:rPr>
            </w:pPr>
          </w:p>
        </w:tc>
        <w:tc>
          <w:tcPr>
            <w:tcW w:w="118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10,737</w:t>
            </w:r>
          </w:p>
        </w:tc>
        <w:tc>
          <w:tcPr>
            <w:tcW w:w="0" w:type="dxa"/>
            <w:vAlign w:val="bottom"/>
          </w:tcPr>
          <w:p>
            <w:pPr>
              <w:spacing w:after="0"/>
              <w:rPr>
                <w:sz w:val="1"/>
                <w:szCs w:val="1"/>
                <w:color w:val="auto"/>
              </w:rPr>
            </w:pPr>
          </w:p>
        </w:tc>
      </w:tr>
      <w:tr>
        <w:trPr>
          <w:trHeight w:val="32"/>
        </w:trPr>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benefit for income taxes</w:t>
            </w:r>
          </w:p>
        </w:tc>
        <w:tc>
          <w:tcPr>
            <w:tcW w:w="1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18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0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16,237</w:t>
            </w: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9,474</w:t>
            </w:r>
          </w:p>
        </w:tc>
        <w:tc>
          <w:tcPr>
            <w:tcW w:w="0" w:type="dxa"/>
            <w:vAlign w:val="bottom"/>
          </w:tcPr>
          <w:p>
            <w:pPr>
              <w:spacing w:after="0"/>
              <w:rPr>
                <w:sz w:val="1"/>
                <w:szCs w:val="1"/>
                <w:color w:val="auto"/>
              </w:rPr>
            </w:pPr>
          </w:p>
        </w:tc>
      </w:tr>
      <w:tr>
        <w:trPr>
          <w:trHeight w:val="32"/>
        </w:trPr>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(1)</w:t>
            </w:r>
          </w:p>
        </w:tc>
        <w:tc>
          <w:tcPr>
            <w:tcW w:w="1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0" w:type="dxa"/>
            <w:vAlign w:val="bottom"/>
          </w:tcPr>
          <w:p>
            <w:pPr>
              <w:spacing w:after="0"/>
              <w:rPr>
                <w:sz w:val="1"/>
                <w:szCs w:val="1"/>
                <w:color w:val="auto"/>
              </w:rPr>
            </w:pPr>
          </w:p>
        </w:tc>
      </w:tr>
      <w:tr>
        <w:trPr>
          <w:trHeight w:val="18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 before adjustments</w:t>
            </w:r>
          </w:p>
        </w:tc>
        <w:tc>
          <w:tcPr>
            <w:tcW w:w="10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9,832</w:t>
            </w: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0" w:type="dxa"/>
            <w:vAlign w:val="bottom"/>
          </w:tcPr>
          <w:p>
            <w:pPr>
              <w:spacing w:after="0"/>
              <w:rPr>
                <w:sz w:val="1"/>
                <w:szCs w:val="1"/>
                <w:color w:val="auto"/>
              </w:rPr>
            </w:pPr>
          </w:p>
        </w:tc>
      </w:tr>
      <w:tr>
        <w:trPr>
          <w:trHeight w:val="32"/>
        </w:trPr>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mark-to-market adjustments (2)</w:t>
            </w:r>
          </w:p>
        </w:tc>
        <w:tc>
          <w:tcPr>
            <w:tcW w:w="10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8,856</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12,732</w:t>
            </w:r>
          </w:p>
        </w:tc>
        <w:tc>
          <w:tcPr>
            <w:tcW w:w="0" w:type="dxa"/>
            <w:vAlign w:val="bottom"/>
          </w:tcPr>
          <w:p>
            <w:pPr>
              <w:spacing w:after="0"/>
              <w:rPr>
                <w:sz w:val="1"/>
                <w:szCs w:val="1"/>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stock-based compensation</w:t>
            </w:r>
          </w:p>
        </w:tc>
        <w:tc>
          <w:tcPr>
            <w:tcW w:w="10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4,022</w:t>
            </w:r>
          </w:p>
        </w:tc>
        <w:tc>
          <w:tcPr>
            <w:tcW w:w="0" w:type="dxa"/>
            <w:vAlign w:val="bottom"/>
          </w:tcPr>
          <w:p>
            <w:pPr>
              <w:spacing w:after="0"/>
              <w:rPr>
                <w:sz w:val="1"/>
                <w:szCs w:val="1"/>
                <w:color w:val="auto"/>
              </w:rPr>
            </w:pPr>
          </w:p>
        </w:tc>
      </w:tr>
      <w:tr>
        <w:trPr>
          <w:trHeight w:val="32"/>
        </w:trPr>
        <w:tc>
          <w:tcPr>
            <w:tcW w:w="7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23,085</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20,647</w:t>
            </w:r>
          </w:p>
        </w:tc>
        <w:tc>
          <w:tcPr>
            <w:tcW w:w="0" w:type="dxa"/>
            <w:vAlign w:val="bottom"/>
          </w:tcPr>
          <w:p>
            <w:pPr>
              <w:spacing w:after="0"/>
              <w:rPr>
                <w:sz w:val="1"/>
                <w:szCs w:val="1"/>
                <w:color w:val="auto"/>
              </w:rPr>
            </w:pPr>
          </w:p>
        </w:tc>
      </w:tr>
      <w:tr>
        <w:trPr>
          <w:trHeight w:val="166"/>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outstanding used in</w:t>
            </w:r>
          </w:p>
        </w:tc>
        <w:tc>
          <w:tcPr>
            <w:tcW w:w="10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computing net income per share, basic:</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and Class B common shares (3)</w:t>
            </w:r>
          </w:p>
        </w:tc>
        <w:tc>
          <w:tcPr>
            <w:tcW w:w="1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80,525</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77,591</w:t>
            </w:r>
          </w:p>
        </w:tc>
        <w:tc>
          <w:tcPr>
            <w:tcW w:w="0" w:type="dxa"/>
            <w:vAlign w:val="bottom"/>
          </w:tcPr>
          <w:p>
            <w:pPr>
              <w:spacing w:after="0"/>
              <w:rPr>
                <w:sz w:val="1"/>
                <w:szCs w:val="1"/>
                <w:color w:val="auto"/>
              </w:rPr>
            </w:pPr>
          </w:p>
        </w:tc>
      </w:tr>
      <w:tr>
        <w:trPr>
          <w:trHeight w:val="166"/>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outstanding used in</w:t>
            </w:r>
          </w:p>
        </w:tc>
        <w:tc>
          <w:tcPr>
            <w:tcW w:w="10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computing net income per share, diluted:</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 (Public and Private) (4)</w:t>
            </w:r>
          </w:p>
        </w:tc>
        <w:tc>
          <w:tcPr>
            <w:tcW w:w="10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8,094</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8,094</w:t>
            </w:r>
          </w:p>
        </w:tc>
        <w:tc>
          <w:tcPr>
            <w:tcW w:w="0" w:type="dxa"/>
            <w:vAlign w:val="bottom"/>
          </w:tcPr>
          <w:p>
            <w:pPr>
              <w:spacing w:after="0"/>
              <w:rPr>
                <w:sz w:val="1"/>
                <w:szCs w:val="1"/>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0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0" w:type="dxa"/>
            <w:vAlign w:val="bottom"/>
          </w:tcPr>
          <w:p>
            <w:pPr>
              <w:spacing w:after="0"/>
              <w:rPr>
                <w:sz w:val="1"/>
                <w:szCs w:val="1"/>
                <w:color w:val="auto"/>
              </w:rPr>
            </w:pPr>
          </w:p>
        </w:tc>
      </w:tr>
      <w:tr>
        <w:trPr>
          <w:trHeight w:val="32"/>
        </w:trPr>
        <w:tc>
          <w:tcPr>
            <w:tcW w:w="7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Shares outstanding used in</w:t>
            </w:r>
          </w:p>
        </w:tc>
        <w:tc>
          <w:tcPr>
            <w:tcW w:w="10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91,329</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89,830</w:t>
            </w:r>
          </w:p>
        </w:tc>
        <w:tc>
          <w:tcPr>
            <w:tcW w:w="0" w:type="dxa"/>
            <w:vAlign w:val="bottom"/>
          </w:tcPr>
          <w:p>
            <w:pPr>
              <w:spacing w:after="0"/>
              <w:rPr>
                <w:sz w:val="1"/>
                <w:szCs w:val="1"/>
                <w:color w:val="auto"/>
              </w:rPr>
            </w:pPr>
          </w:p>
        </w:tc>
      </w:tr>
      <w:tr>
        <w:trPr>
          <w:trHeight w:val="205"/>
        </w:trPr>
        <w:tc>
          <w:tcPr>
            <w:tcW w:w="7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computing net income per share - diluted</w:t>
            </w:r>
          </w:p>
        </w:tc>
        <w:tc>
          <w:tcPr>
            <w:tcW w:w="10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per share -basic</w:t>
            </w: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 per share -diluted</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6"/>
                <w:szCs w:val="16"/>
                <w:color w:val="auto"/>
              </w:rPr>
            </w:pPr>
          </w:p>
        </w:tc>
        <w:tc>
          <w:tcPr>
            <w:tcW w:w="118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140" w:hanging="135"/>
        <w:spacing w:after="0"/>
        <w:tabs>
          <w:tab w:leader="none" w:pos="140"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Calculated using the Company's blended tax rate.</w:t>
      </w:r>
    </w:p>
    <w:p>
      <w:pPr>
        <w:spacing w:after="0" w:line="14" w:lineRule="exact"/>
        <w:rPr>
          <w:rFonts w:ascii="Times New Roman" w:cs="Times New Roman" w:eastAsia="Times New Roman" w:hAnsi="Times New Roman"/>
          <w:sz w:val="13"/>
          <w:szCs w:val="13"/>
          <w:i w:val="1"/>
          <w:iCs w:val="1"/>
          <w:color w:val="auto"/>
        </w:rPr>
      </w:pPr>
    </w:p>
    <w:p>
      <w:pPr>
        <w:ind w:left="140" w:hanging="135"/>
        <w:spacing w:after="0" w:line="237" w:lineRule="auto"/>
        <w:tabs>
          <w:tab w:leader="none" w:pos="140"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the changes in fair value of warrant liability and earnout consideration liability.</w:t>
      </w:r>
    </w:p>
    <w:p>
      <w:pPr>
        <w:ind w:left="140" w:hanging="135"/>
        <w:spacing w:after="0"/>
        <w:tabs>
          <w:tab w:leader="none" w:pos="140"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Assumes both Class A shares and Class B shares participate in earnings and are outstanding at the end of the period.</w:t>
      </w:r>
    </w:p>
    <w:p>
      <w:pPr>
        <w:spacing w:after="0" w:line="1" w:lineRule="exact"/>
        <w:rPr>
          <w:rFonts w:ascii="Times New Roman" w:cs="Times New Roman" w:eastAsia="Times New Roman" w:hAnsi="Times New Roman"/>
          <w:sz w:val="13"/>
          <w:szCs w:val="13"/>
          <w:i w:val="1"/>
          <w:iCs w:val="1"/>
          <w:color w:val="auto"/>
        </w:rPr>
      </w:pPr>
    </w:p>
    <w:p>
      <w:pPr>
        <w:ind w:left="140" w:hanging="135"/>
        <w:spacing w:after="0"/>
        <w:tabs>
          <w:tab w:leader="none" w:pos="140"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Assumes treasury stock method, valuation at assumed fair market value of $18.00.</w:t>
      </w:r>
    </w:p>
    <w:p>
      <w:pPr>
        <w:spacing w:after="0" w:line="6" w:lineRule="exact"/>
        <w:rPr>
          <w:rFonts w:ascii="Times New Roman" w:cs="Times New Roman" w:eastAsia="Times New Roman" w:hAnsi="Times New Roman"/>
          <w:sz w:val="13"/>
          <w:szCs w:val="13"/>
          <w:i w:val="1"/>
          <w:iCs w:val="1"/>
          <w:color w:val="auto"/>
        </w:rPr>
      </w:pPr>
    </w:p>
    <w:p>
      <w:pPr>
        <w:ind w:left="140" w:hanging="135"/>
        <w:spacing w:after="0"/>
        <w:tabs>
          <w:tab w:leader="none" w:pos="140"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Company did not include the effect of Exchangeable Notes in its total shares outstanding used in diluted adjusted net income per share.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Critical accounting policies are detailed in the Company’s Annual Report on Form 10-K for the year ended December 31,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180"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Reference is made to Note 2 of Notes to Financial Statements - unaudited in Item 1, “Financial Statements,” for information concerning recent accounting pronouncements since the filing of the Company’s Annual Report on Form 10-K for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0" w:lineRule="exact"/>
        <w:rPr>
          <w:sz w:val="20"/>
          <w:szCs w:val="20"/>
          <w:color w:val="auto"/>
        </w:rPr>
      </w:pPr>
    </w:p>
    <w:p>
      <w:pPr>
        <w:ind w:right="240" w:firstLine="508"/>
        <w:spacing w:after="0" w:line="286" w:lineRule="auto"/>
        <w:rPr>
          <w:sz w:val="20"/>
          <w:szCs w:val="20"/>
          <w:color w:val="auto"/>
        </w:rPr>
      </w:pPr>
      <w:r>
        <w:rPr>
          <w:rFonts w:ascii="Times New Roman" w:cs="Times New Roman" w:eastAsia="Times New Roman" w:hAnsi="Times New Roman"/>
          <w:sz w:val="14"/>
          <w:szCs w:val="14"/>
          <w:color w:val="auto"/>
        </w:rPr>
        <w:t>The Company’s primary sources of liquidity are its existing cash and cash equivalents balances, cash flows from operations and borrowings on its term loan, revolving credit facility and Exchangeable Notes. The Company’s primary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00"/>
          </w:cols>
          <w:pgMar w:left="300" w:top="950"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cash requirements include operating expenses, debt service payments (principal and interest), and capital expenditures (including property and equipment).</w:t>
      </w:r>
    </w:p>
    <w:p>
      <w:pPr>
        <w:spacing w:after="0" w:line="178" w:lineRule="exact"/>
        <w:rPr>
          <w:sz w:val="20"/>
          <w:szCs w:val="20"/>
          <w:color w:val="auto"/>
        </w:rPr>
      </w:pPr>
    </w:p>
    <w:p>
      <w:pPr>
        <w:ind w:right="120" w:firstLine="508"/>
        <w:spacing w:after="0" w:line="286" w:lineRule="auto"/>
        <w:rPr>
          <w:sz w:val="20"/>
          <w:szCs w:val="20"/>
          <w:color w:val="auto"/>
        </w:rPr>
      </w:pPr>
      <w:r>
        <w:rPr>
          <w:rFonts w:ascii="Times New Roman" w:cs="Times New Roman" w:eastAsia="Times New Roman" w:hAnsi="Times New Roman"/>
          <w:sz w:val="14"/>
          <w:szCs w:val="14"/>
          <w:color w:val="auto"/>
        </w:rPr>
        <w:t>As of March 31, 2024, the Company had cash and cash equivalents of $55.1 million and debt principal outstanding of $335.6 million. As of December 31, 2023, the Company had cash and cash equivalents of $41.2 million and total debt principal outstanding of $340.3 million.</w:t>
      </w:r>
    </w:p>
    <w:p>
      <w:pPr>
        <w:spacing w:after="0" w:line="124" w:lineRule="exact"/>
        <w:rPr>
          <w:sz w:val="20"/>
          <w:szCs w:val="20"/>
          <w:color w:val="auto"/>
        </w:rPr>
      </w:pPr>
    </w:p>
    <w:p>
      <w:pPr>
        <w:ind w:firstLine="508"/>
        <w:spacing w:after="0" w:line="258" w:lineRule="auto"/>
        <w:rPr>
          <w:sz w:val="20"/>
          <w:szCs w:val="20"/>
          <w:color w:val="auto"/>
        </w:rPr>
      </w:pPr>
      <w:r>
        <w:rPr>
          <w:rFonts w:ascii="Times New Roman" w:cs="Times New Roman" w:eastAsia="Times New Roman" w:hAnsi="Times New Roman"/>
          <w:sz w:val="14"/>
          <w:szCs w:val="14"/>
          <w:color w:val="auto"/>
        </w:rPr>
        <w:t>The Company believes that cash flows from its operations and available cash and cash equivalents are sufficient to meet its liquidity needs, including the repayment of its outstanding debt, for at least the next 12 months from the date of filing of this Form 10-Q. The Company anticipates that to the extent that it requires additional liquidity, it will be funded through borrowings on its revolving credit facility, the incurrence of other indebtedness, or a combination thereof and offering of its shares in capital markets. The Company cannot be assured that it will be able to obtain this additional liquidity on reasonable terms, or at all. Additionally, the Company’s liquidity and its ability to meet its obligations and fund its capital requirements are also dependent on its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the Company may incur additional debt to finance such acquisitions.</w:t>
      </w:r>
    </w:p>
    <w:p>
      <w:pPr>
        <w:spacing w:after="0" w:line="164" w:lineRule="exact"/>
        <w:rPr>
          <w:sz w:val="20"/>
          <w:szCs w:val="20"/>
          <w:color w:val="auto"/>
        </w:rPr>
      </w:pPr>
    </w:p>
    <w:p>
      <w:pPr>
        <w:ind w:right="20" w:firstLine="508"/>
        <w:spacing w:after="0" w:line="263" w:lineRule="auto"/>
        <w:rPr>
          <w:sz w:val="20"/>
          <w:szCs w:val="20"/>
          <w:color w:val="auto"/>
        </w:rPr>
      </w:pPr>
      <w:r>
        <w:rPr>
          <w:rFonts w:ascii="Times New Roman" w:cs="Times New Roman" w:eastAsia="Times New Roman" w:hAnsi="Times New Roman"/>
          <w:sz w:val="14"/>
          <w:szCs w:val="14"/>
          <w:color w:val="auto"/>
        </w:rPr>
        <w:t>At March 31, 2024, there was $205.6 million of total debt outstanding under the Company’s existing credit facilities (the “2021 Credit Facility”). The 2021 Credit Facility comprised a term loan of $250.0 million as well as a $60.0 million revolving loan facility, of which $60.0 million was available for borrowing as of March 31, 2024. Additional amounts may be available for borrowing during the term of the revolving loan, up to the remaining full $60.0 million, as long as the Company maintains a net leverage ratio as stipulated in the credit facility agreement. As of March 31, 2024, the Company’s net leverage ratio met the requirement for the available borrowing as defined in the terms of the credit facility agreement. The 2021 Credit Facility will mature on December 16, 2025.</w:t>
      </w:r>
    </w:p>
    <w:p>
      <w:pPr>
        <w:spacing w:after="0" w:line="56" w:lineRule="exact"/>
        <w:rPr>
          <w:sz w:val="20"/>
          <w:szCs w:val="20"/>
          <w:color w:val="auto"/>
        </w:rPr>
      </w:pPr>
    </w:p>
    <w:p>
      <w:pPr>
        <w:ind w:right="80" w:firstLine="508"/>
        <w:spacing w:after="0" w:line="258" w:lineRule="auto"/>
        <w:rPr>
          <w:sz w:val="20"/>
          <w:szCs w:val="20"/>
          <w:color w:val="auto"/>
        </w:rPr>
      </w:pPr>
      <w:r>
        <w:rPr>
          <w:rFonts w:ascii="Times New Roman" w:cs="Times New Roman" w:eastAsia="Times New Roman" w:hAnsi="Times New Roman"/>
          <w:sz w:val="14"/>
          <w:szCs w:val="14"/>
          <w:color w:val="auto"/>
        </w:rPr>
        <w:t>On February 28, 2023, the Company amended the 2021 Credit Facility to, among other things, to transition from bearing interest based on LIBOR to SOFR or the Alternate Base Rate (as defined in the 2021 Credit Facility), at the election of the Company, plus an applicable margin, and to reflect the waiver of a technical default under the 2021 Credit Facility, related to the delayed delivery of a pledge of its interests in Holdings by the parent company (i.e., CompoSecure, Inc.). Holdings had already pledged all of its assets in favor of the lenders as per the terms of the debt agreement. After the amendment on February 28, 2023, the interest rate spreads and fees under the 2021 Credit Facility are based on a quoted SOFR plus a SOFR adjustment of 0.10% and an applicable margin ranging from 1.75% to 2.75% for the revolving and term loan Term Benchmark and RFR Spread debt (as each term is defined in the 2021 Credit Facility). The Company must also pay an annual commitment fee of 0.35% on the unused portion of the $60.0 million revolving loan commitment. As of March 31, 2024, the effective interest rate on the Company’s 2021 Credit Facility was 7.80%.</w:t>
      </w:r>
    </w:p>
    <w:p>
      <w:pPr>
        <w:spacing w:after="0" w:line="143" w:lineRule="exact"/>
        <w:rPr>
          <w:sz w:val="20"/>
          <w:szCs w:val="20"/>
          <w:color w:val="auto"/>
        </w:rPr>
      </w:pPr>
    </w:p>
    <w:p>
      <w:pPr>
        <w:ind w:right="440" w:firstLine="508"/>
        <w:spacing w:after="0" w:line="269" w:lineRule="auto"/>
        <w:rPr>
          <w:sz w:val="20"/>
          <w:szCs w:val="20"/>
          <w:color w:val="auto"/>
        </w:rPr>
      </w:pPr>
      <w:r>
        <w:rPr>
          <w:rFonts w:ascii="Times New Roman" w:cs="Times New Roman" w:eastAsia="Times New Roman" w:hAnsi="Times New Roman"/>
          <w:sz w:val="14"/>
          <w:szCs w:val="14"/>
          <w:color w:val="auto"/>
        </w:rPr>
        <w:t>The Company further amended its 2021 Credit Facility in May 2023 and accounted for the amendment as a modification. Pursuant to the amendment, approximately $0.3 million of additional costs incurred in connection with the modification were capitalized as debt issuance costs. In connection with the amendment, two of the lenders in the original credit facility did not continue their participation in the credit facility. Accordingly, the debt issuance cost related to these two lenders were written off by the Company.</w:t>
      </w:r>
    </w:p>
    <w:p>
      <w:pPr>
        <w:spacing w:after="0" w:line="157" w:lineRule="exact"/>
        <w:rPr>
          <w:sz w:val="20"/>
          <w:szCs w:val="20"/>
          <w:color w:val="auto"/>
        </w:rPr>
      </w:pPr>
    </w:p>
    <w:p>
      <w:pPr>
        <w:ind w:right="60" w:firstLine="508"/>
        <w:spacing w:after="0" w:line="260" w:lineRule="auto"/>
        <w:rPr>
          <w:sz w:val="20"/>
          <w:szCs w:val="20"/>
          <w:color w:val="auto"/>
        </w:rPr>
      </w:pPr>
      <w:r>
        <w:rPr>
          <w:rFonts w:ascii="Times New Roman" w:cs="Times New Roman" w:eastAsia="Times New Roman" w:hAnsi="Times New Roman"/>
          <w:sz w:val="14"/>
          <w:szCs w:val="14"/>
          <w:color w:val="auto"/>
        </w:rPr>
        <w:t>The 2021 Credit Facility contains customary covenants, including among other things, certain restrictions or limitations on indebtedness, issuance of liens, investments, asset sales, certain mergers or consolidations, sales, transfers, leases or dispositions of substantially all of the Company’s assets, and affiliate transactions. The Company may also be required to make repayments on the 2021 Credit Facility in advance of the maturity date based on a calculation of excess cash flows, as defined in the agreement, with any required payments to be made after the issuance of the Company’s annual financial statements. The Company was in compliance with all covenants as of March 31, 2024. See Note 5 in Notes to Consolidated Financial Statements in this Quarterly Report on Form 10-Q.</w:t>
      </w:r>
    </w:p>
    <w:p>
      <w:pPr>
        <w:spacing w:after="0" w:line="165" w:lineRule="exact"/>
        <w:rPr>
          <w:sz w:val="20"/>
          <w:szCs w:val="20"/>
          <w:color w:val="auto"/>
        </w:rPr>
      </w:pPr>
    </w:p>
    <w:p>
      <w:pPr>
        <w:ind w:right="200" w:firstLine="508"/>
        <w:spacing w:after="0" w:line="269" w:lineRule="auto"/>
        <w:rPr>
          <w:sz w:val="20"/>
          <w:szCs w:val="20"/>
          <w:color w:val="auto"/>
        </w:rPr>
      </w:pPr>
      <w:r>
        <w:rPr>
          <w:rFonts w:ascii="Times New Roman" w:cs="Times New Roman" w:eastAsia="Times New Roman" w:hAnsi="Times New Roman"/>
          <w:sz w:val="14"/>
          <w:szCs w:val="14"/>
          <w:color w:val="auto"/>
        </w:rPr>
        <w:t>On April 19, 2021, concurrently with the execution of the Merger Agreement, the Company and its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929" w:right="339" w:bottom="1440" w:gutter="0" w:footer="0" w:header="0"/>
        </w:sectPr>
      </w:pPr>
    </w:p>
    <w:bookmarkStart w:id="33" w:name="page34"/>
    <w:bookmarkEnd w:id="33"/>
    <w:p>
      <w:pPr>
        <w:ind w:right="40"/>
        <w:spacing w:after="0" w:line="260" w:lineRule="auto"/>
        <w:rPr>
          <w:sz w:val="20"/>
          <w:szCs w:val="20"/>
          <w:color w:val="auto"/>
        </w:rPr>
      </w:pPr>
      <w:r>
        <w:rPr>
          <w:rFonts w:ascii="Times New Roman" w:cs="Times New Roman" w:eastAsia="Times New Roman" w:hAnsi="Times New Roman"/>
          <w:sz w:val="14"/>
          <w:szCs w:val="14"/>
          <w:color w:val="auto"/>
        </w:rPr>
        <w:t>subsidiary, Holdings, in an aggregate principal amount of up to $130.0 million that are exchangeable into shares of Class A common stock at a conversion price of $11.50 per share, subject to the terms and conditions of an Indenture entered by the Company and its subsidiary, Holdings and the trustee under the Indenture. The Exchangeable Notes will bear interest at a rate of 7% per year, payable semiannually in arrears. The Exchangeable Notes will mature in five years on December 27, 2026, and be convertible into shares of Class A common stock at a conversion price of $11.50 per share. The Company will settle any exchange of the Exchangeable Notes in shares of Class A common stock, with cash payable in lieu of any fractional shares. Additional interest may be payable as set forth in the Indenture. See Note 5 in Notes to Consolidated Financial Statements in this Quarterly Report on Form 10-Q.</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Operations</w:t>
      </w:r>
    </w:p>
    <w:p>
      <w:pPr>
        <w:spacing w:after="0" w:line="180" w:lineRule="exact"/>
        <w:rPr>
          <w:sz w:val="20"/>
          <w:szCs w:val="20"/>
          <w:color w:val="auto"/>
        </w:rPr>
      </w:pPr>
    </w:p>
    <w:p>
      <w:pPr>
        <w:ind w:right="40" w:firstLine="508"/>
        <w:spacing w:after="0" w:line="263" w:lineRule="auto"/>
        <w:rPr>
          <w:sz w:val="20"/>
          <w:szCs w:val="20"/>
          <w:color w:val="auto"/>
        </w:rPr>
      </w:pPr>
      <w:r>
        <w:rPr>
          <w:rFonts w:ascii="Times New Roman" w:cs="Times New Roman" w:eastAsia="Times New Roman" w:hAnsi="Times New Roman"/>
          <w:sz w:val="14"/>
          <w:szCs w:val="14"/>
          <w:color w:val="auto"/>
        </w:rPr>
        <w:t>Cash provided by the Company’s operating activities for the three months ended March 31, 2024 was $33.8 million compared to cash provided by operating activities of $24.9 million during the three months ended March 31, 2023. The increase in cash provided by operating activities of $8.9 million was primarily attributable to net income of $17.1 million, the favorable mark to market fair value net changes of $9.2 million, equity compensation expense of $4.4 million, depreciation and amortization expense of $2.2 million, changes in working capital of $2.4 million, and amortization of deferred financing costs of $0.3 million. This was partially offset by deferred tax benefit of $1.9 million.</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180" w:lineRule="exact"/>
        <w:rPr>
          <w:sz w:val="20"/>
          <w:szCs w:val="20"/>
          <w:color w:val="auto"/>
        </w:rPr>
      </w:pPr>
    </w:p>
    <w:p>
      <w:pPr>
        <w:ind w:right="180" w:firstLine="508"/>
        <w:spacing w:after="0" w:line="286" w:lineRule="auto"/>
        <w:rPr>
          <w:sz w:val="20"/>
          <w:szCs w:val="20"/>
          <w:color w:val="auto"/>
        </w:rPr>
      </w:pPr>
      <w:r>
        <w:rPr>
          <w:rFonts w:ascii="Times New Roman" w:cs="Times New Roman" w:eastAsia="Times New Roman" w:hAnsi="Times New Roman"/>
          <w:sz w:val="14"/>
          <w:szCs w:val="14"/>
          <w:color w:val="auto"/>
        </w:rPr>
        <w:t>Cash used in the Company’s investing activities for the three months ended March 31, 2024 was $1.6 million, primarily relating to capital expenditures, compared to cash used in investing activities for the three months ended March 31, 2023 of $3.7 million.</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Cash used in the Company’s financing activities for the three months ended March 31, 2024 was $18.2 million compared to cash used in the Company's financing activities for the three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months ended March 31, 2023 of $12.3 million. Cash used in financing activities for the three months ended March 31, 2024 primarily related to distributions to non-controlling interest holders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 million, repayment of scheduled principal payments of term loan of $4.7 million, and payments for taxes related to net share settlement of equity awards of $3.5 million. This was partially offset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proceeds of $0.1 million pursuant to the exercise of equity awards and issuance of shares for ESPP transactions. Cash used in financing activities for the three months ended March 31, 2023,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primarily related to payment of distributions to non-controlling interest, repayment of scheduled term loan principal payments, payments for taxes related to net share settlement of equity awards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from employee stock purchase plan and exercise of equity awards.</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201" w:lineRule="exact"/>
        <w:rPr>
          <w:sz w:val="20"/>
          <w:szCs w:val="20"/>
          <w:color w:val="auto"/>
        </w:rPr>
      </w:pPr>
    </w:p>
    <w:p>
      <w:pPr>
        <w:ind w:right="20" w:firstLine="508"/>
        <w:spacing w:after="0" w:line="269" w:lineRule="auto"/>
        <w:rPr>
          <w:sz w:val="20"/>
          <w:szCs w:val="20"/>
          <w:color w:val="auto"/>
        </w:rPr>
      </w:pPr>
      <w:r>
        <w:rPr>
          <w:rFonts w:ascii="Times New Roman" w:cs="Times New Roman" w:eastAsia="Times New Roman" w:hAnsi="Times New Roman"/>
          <w:sz w:val="14"/>
          <w:szCs w:val="14"/>
          <w:color w:val="auto"/>
        </w:rPr>
        <w:t>A summary of our minimum contractual obligations related to our material outstanding contractual commitments is included in Notes 7, 8 and 16 of our Annual report on Form 10-K for the year ended December 31, 2023 as filed with the SEC. Our long-term contractual obligations include commitments and estimated purchase obligations entered into in the normal course of business. As of March 31, 2024, the Company had inventory-related purchase commitments totaling approximately $31.0 million.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w:t>
      </w:r>
    </w:p>
    <w:p>
      <w:pPr>
        <w:spacing w:after="0" w:line="180" w:lineRule="exact"/>
        <w:rPr>
          <w:sz w:val="20"/>
          <w:szCs w:val="20"/>
          <w:color w:val="auto"/>
        </w:rPr>
      </w:pPr>
    </w:p>
    <w:p>
      <w:pPr>
        <w:ind w:right="520" w:firstLine="508"/>
        <w:spacing w:after="0" w:line="286" w:lineRule="auto"/>
        <w:rPr>
          <w:sz w:val="20"/>
          <w:szCs w:val="20"/>
          <w:color w:val="auto"/>
        </w:rPr>
      </w:pPr>
      <w:r>
        <w:rPr>
          <w:rFonts w:ascii="Times New Roman" w:cs="Times New Roman" w:eastAsia="Times New Roman" w:hAnsi="Times New Roman"/>
          <w:sz w:val="14"/>
          <w:szCs w:val="14"/>
          <w:color w:val="auto"/>
        </w:rPr>
        <w:t>The Company is a party to the 2021 Credit Facility with various banks and has issued Exchangeable Notes to certain holders. For a more complete description of the Company's debt obligations, see Note 5 of Notes to Consolidated Financial Statements in the Consolidated Financial Statements of the Company in this Quarterly Report on Form 10-Q.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Disclosures About Market Risk</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4" w:name="page35"/>
    <w:bookmarkEnd w:id="34"/>
    <w:p>
      <w:pPr>
        <w:jc w:val="both"/>
        <w:ind w:right="20" w:firstLine="508"/>
        <w:spacing w:after="0" w:line="269" w:lineRule="auto"/>
        <w:rPr>
          <w:sz w:val="20"/>
          <w:szCs w:val="20"/>
          <w:color w:val="auto"/>
        </w:rPr>
      </w:pPr>
      <w:r>
        <w:rPr>
          <w:rFonts w:ascii="Times New Roman" w:cs="Times New Roman" w:eastAsia="Times New Roman" w:hAnsi="Times New Roman"/>
          <w:sz w:val="14"/>
          <w:szCs w:val="14"/>
          <w:color w:val="auto"/>
        </w:rPr>
        <w:t>In addition to existing cash balances and cash provided by operating activities, the Company uses variable rate debt to finance its operations. The Company is exposed to interest rate risk on these debt obligations and a related interest rate swap agreement. As of March 31, 2024, CompoSecure had $205.6 million in debt outstanding under the 2021 Credit Facility, all of which was variable rate debt, and $130.0 million in long-term debt principal outstanding from the issuance of Exchangeable Notes.</w:t>
      </w:r>
    </w:p>
    <w:p>
      <w:pPr>
        <w:spacing w:after="0" w:line="136" w:lineRule="exact"/>
        <w:rPr>
          <w:sz w:val="20"/>
          <w:szCs w:val="20"/>
          <w:color w:val="auto"/>
        </w:rPr>
      </w:pPr>
    </w:p>
    <w:p>
      <w:pPr>
        <w:ind w:right="340" w:firstLine="508"/>
        <w:spacing w:after="0" w:line="269" w:lineRule="auto"/>
        <w:rPr>
          <w:sz w:val="20"/>
          <w:szCs w:val="20"/>
          <w:color w:val="auto"/>
        </w:rPr>
      </w:pPr>
      <w:r>
        <w:rPr>
          <w:rFonts w:ascii="Times New Roman" w:cs="Times New Roman" w:eastAsia="Times New Roman" w:hAnsi="Times New Roman"/>
          <w:sz w:val="14"/>
          <w:szCs w:val="14"/>
          <w:color w:val="auto"/>
        </w:rPr>
        <w:t>The Company performed a sensitivity analysis based on the principal amount of debt outstanding as of March 31, 2024, as well as the effect of its interest rate swap agreement. In this sensitivity analysis, the change in interest rates is assumed to be applicable for an entire year. An increase or decrease of 100 basis points in the applicable interest rate would cause an increase or decrease in interest expense of approximately $4.0 million on an annual basis.</w:t>
      </w:r>
    </w:p>
    <w:p>
      <w:pPr>
        <w:spacing w:after="0" w:line="136" w:lineRule="exact"/>
        <w:rPr>
          <w:sz w:val="20"/>
          <w:szCs w:val="20"/>
          <w:color w:val="auto"/>
        </w:rPr>
      </w:pPr>
    </w:p>
    <w:p>
      <w:pPr>
        <w:ind w:right="80" w:firstLine="508"/>
        <w:spacing w:after="0" w:line="286" w:lineRule="auto"/>
        <w:rPr>
          <w:sz w:val="20"/>
          <w:szCs w:val="20"/>
          <w:color w:val="auto"/>
        </w:rPr>
      </w:pPr>
      <w:r>
        <w:rPr>
          <w:rFonts w:ascii="Times New Roman" w:cs="Times New Roman" w:eastAsia="Times New Roman" w:hAnsi="Times New Roman"/>
          <w:sz w:val="14"/>
          <w:szCs w:val="14"/>
          <w:color w:val="auto"/>
        </w:rPr>
        <w:t>On January 11, 2022, CompoSecure entered into an interest rate swap agreement to hedge forecasted interest rate payments on its variable rate debt. As of March 31, 2024, the Company had the following interest rate swap agreements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30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220" w:type="dxa"/>
            <w:vAlign w:val="bottom"/>
          </w:tcPr>
          <w:p>
            <w:pPr>
              <w:spacing w:after="0"/>
              <w:rPr>
                <w:sz w:val="16"/>
                <w:szCs w:val="16"/>
                <w:color w:val="auto"/>
              </w:rPr>
            </w:pPr>
          </w:p>
        </w:tc>
        <w:tc>
          <w:tcPr>
            <w:tcW w:w="2220" w:type="dxa"/>
            <w:vAlign w:val="bottom"/>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3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Fixed Rate</w:t>
            </w:r>
          </w:p>
        </w:tc>
      </w:tr>
      <w:tr>
        <w:trPr>
          <w:trHeight w:val="32"/>
        </w:trPr>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1"/>
        </w:trPr>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 in thousands)</w:t>
            </w:r>
          </w:p>
        </w:tc>
        <w:tc>
          <w:tcPr>
            <w:tcW w:w="1380" w:type="dxa"/>
            <w:vAlign w:val="bottom"/>
          </w:tcPr>
          <w:p>
            <w:pPr>
              <w:spacing w:after="0"/>
              <w:rPr>
                <w:sz w:val="15"/>
                <w:szCs w:val="15"/>
                <w:color w:val="auto"/>
              </w:rPr>
            </w:pPr>
          </w:p>
        </w:tc>
      </w:tr>
      <w:tr>
        <w:trPr>
          <w:trHeight w:val="32"/>
        </w:trPr>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2"/>
        </w:trPr>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5,</w:t>
            </w:r>
          </w:p>
        </w:tc>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2022 through December 5,</w:t>
            </w:r>
          </w:p>
        </w:tc>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Borders>
              <w:bottom w:val="single" w:sz="8" w:color="CCEEFF"/>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125,000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r>
      <w:tr>
        <w:trPr>
          <w:trHeight w:val="190"/>
        </w:trPr>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w:t>
            </w:r>
          </w:p>
        </w:tc>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5, 2023 through December</w:t>
            </w: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22, 2025</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125,000</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1.90 %</w:t>
            </w:r>
          </w:p>
        </w:tc>
      </w:tr>
    </w:tbl>
    <w:p>
      <w:pPr>
        <w:spacing w:after="0" w:line="261" w:lineRule="exact"/>
        <w:rPr>
          <w:sz w:val="20"/>
          <w:szCs w:val="20"/>
          <w:color w:val="auto"/>
        </w:rPr>
      </w:pPr>
    </w:p>
    <w:p>
      <w:pPr>
        <w:ind w:right="80" w:firstLine="508"/>
        <w:spacing w:after="0" w:line="269" w:lineRule="auto"/>
        <w:rPr>
          <w:sz w:val="20"/>
          <w:szCs w:val="20"/>
          <w:color w:val="auto"/>
        </w:rPr>
      </w:pPr>
      <w:r>
        <w:rPr>
          <w:rFonts w:ascii="Times New Roman" w:cs="Times New Roman" w:eastAsia="Times New Roman" w:hAnsi="Times New Roman"/>
          <w:sz w:val="14"/>
          <w:szCs w:val="14"/>
          <w:color w:val="auto"/>
        </w:rPr>
        <w:t>Under the terms of the interest rate swap agreement, the Company receives payments based on the greater of 1-month SOFR rate, as amended in February 2023, or a minimum of 1.00%. On February 28, 2023, the Company amended the 2021 Credit Facility to, among other things, transition from bearing interest based on LIBOR to SOFR or the Alternate Base Rate (as defined in the 2021 Credit Facility), at the election of the Company, plus an applicable margin. The existing swap converted to SOFR from LIBOR at the same time as the 2021 Credit Facility.</w:t>
      </w:r>
    </w:p>
    <w:p>
      <w:pPr>
        <w:spacing w:after="0" w:line="136" w:lineRule="exact"/>
        <w:rPr>
          <w:sz w:val="20"/>
          <w:szCs w:val="20"/>
          <w:color w:val="auto"/>
        </w:rPr>
      </w:pPr>
    </w:p>
    <w:p>
      <w:pPr>
        <w:ind w:firstLine="508"/>
        <w:spacing w:after="0" w:line="263" w:lineRule="auto"/>
        <w:rPr>
          <w:sz w:val="20"/>
          <w:szCs w:val="20"/>
          <w:color w:val="auto"/>
        </w:rPr>
      </w:pPr>
      <w:r>
        <w:rPr>
          <w:rFonts w:ascii="Times New Roman" w:cs="Times New Roman" w:eastAsia="Times New Roman" w:hAnsi="Times New Roman"/>
          <w:sz w:val="14"/>
          <w:szCs w:val="14"/>
          <w:color w:val="auto"/>
        </w:rPr>
        <w:t>The Company has designated the interest rate swap as a cash flow hedge for accounting purposes that was determined to be effective. The Company determined the fair value of the interest rate swap to be zero at the inception of the agreement and $5.7 million at March 31, 2024.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is recognized at each reporting period in the Company’s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We designed our disclosure controls and procedures, as such term is defined in Rules 13a-15(e) and 15d-15(e) under the Exchange Act to provide reasonable assurance that information required to be disclosed by us in reports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disclosures.</w:t>
      </w:r>
    </w:p>
    <w:p>
      <w:pPr>
        <w:spacing w:after="0" w:line="15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color w:val="auto"/>
        </w:rPr>
        <w:t>Under the supervision of and with the participation of our management, including our principal executive officer and principal financial officer, we conducted an evaluation of our disclosure controls and procedures as of March 31, 2024. Based on this evaluation, our principal executive officer and our principal financial officer concluded that our disclosure controls and procedures as of March 31, 2024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6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4"/>
          <w:szCs w:val="14"/>
          <w:color w:val="auto"/>
        </w:rPr>
        <w:t>A control system, no matter how well designed and operated, cannot provide absolute assurance that the objectives of the control system are met, and no evaluation of controls can provide absolute assurance that all control issues and instances of</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5" w:name="page36"/>
    <w:bookmarkEnd w:id="35"/>
    <w:p>
      <w:pPr>
        <w:spacing w:after="0" w:line="286" w:lineRule="auto"/>
        <w:rPr>
          <w:sz w:val="20"/>
          <w:szCs w:val="20"/>
          <w:color w:val="auto"/>
        </w:rPr>
      </w:pPr>
      <w:r>
        <w:rPr>
          <w:rFonts w:ascii="Times New Roman" w:cs="Times New Roman" w:eastAsia="Times New Roman" w:hAnsi="Times New Roman"/>
          <w:sz w:val="14"/>
          <w:szCs w:val="14"/>
          <w:color w:val="auto"/>
        </w:rPr>
        <w:t>fraud, if any, within a company have been detected. We do not expect that our disclosure controls and procedures or our internal control over financial reporting are able to prevent with certainty all errors and all fraud.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00"/>
          </w:cols>
          <w:pgMar w:left="300" w:top="760" w:right="49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4"/>
          <w:szCs w:val="14"/>
          <w:color w:val="auto"/>
        </w:rPr>
        <w:t>As of May 01, 2024, the Company was not a party to, nor were any of its properties the subject of, any material pending legal proceedings, other than ordinary routine claims incidental to the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Risk Factors</w:t>
      </w:r>
    </w:p>
    <w:p>
      <w:pPr>
        <w:spacing w:after="0" w:line="19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i w:val="1"/>
          <w:iCs w:val="1"/>
          <w:color w:val="auto"/>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77"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17"/>
          <w:szCs w:val="17"/>
          <w:color w:val="auto"/>
        </w:rPr>
      </w:pPr>
      <w:r>
        <w:rPr>
          <w:rFonts w:ascii="Times New Roman" w:cs="Times New Roman" w:eastAsia="Times New Roman" w:hAnsi="Times New Roman"/>
          <w:sz w:val="14"/>
          <w:szCs w:val="14"/>
          <w:color w:val="auto"/>
        </w:rPr>
        <w:t>Risks Related to our Business</w:t>
      </w:r>
    </w:p>
    <w:p>
      <w:pPr>
        <w:spacing w:after="0" w:line="1" w:lineRule="exact"/>
        <w:rPr>
          <w:rFonts w:ascii="Arial" w:cs="Arial" w:eastAsia="Arial" w:hAnsi="Arial"/>
          <w:sz w:val="17"/>
          <w:szCs w:val="17"/>
          <w:color w:val="auto"/>
        </w:rPr>
      </w:pPr>
    </w:p>
    <w:p>
      <w:pPr>
        <w:ind w:left="640" w:hanging="254"/>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Rapidly evolving domestic and global economic conditions are beyond our control and could materially adversely affect our business, operations, and results of operations.</w:t>
      </w:r>
    </w:p>
    <w:p>
      <w:pPr>
        <w:spacing w:after="0" w:line="6" w:lineRule="exact"/>
        <w:rPr>
          <w:rFonts w:ascii="Times New Roman" w:cs="Times New Roman" w:eastAsia="Times New Roman" w:hAnsi="Times New Roman"/>
          <w:sz w:val="14"/>
          <w:szCs w:val="14"/>
          <w:color w:val="auto"/>
        </w:rPr>
      </w:pPr>
    </w:p>
    <w:p>
      <w:pPr>
        <w:ind w:left="640" w:right="560" w:hanging="254"/>
        <w:spacing w:after="0" w:line="252" w:lineRule="auto"/>
        <w:tabs>
          <w:tab w:leader="none" w:pos="612"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Pandemics, or a similar global, national or local public health crisis such as the COVID-19 pandemic, may adversely affect our business, financial condition, liquidity or results of operations.</w:t>
      </w:r>
    </w:p>
    <w:p>
      <w:pPr>
        <w:ind w:left="640" w:hanging="254"/>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sustain our revenue growth rate in the future.</w:t>
      </w:r>
    </w:p>
    <w:p>
      <w:pPr>
        <w:spacing w:after="0" w:line="8" w:lineRule="exact"/>
        <w:rPr>
          <w:rFonts w:ascii="Times New Roman" w:cs="Times New Roman" w:eastAsia="Times New Roman" w:hAnsi="Times New Roman"/>
          <w:sz w:val="14"/>
          <w:szCs w:val="14"/>
          <w:color w:val="auto"/>
        </w:rPr>
      </w:pPr>
    </w:p>
    <w:p>
      <w:pPr>
        <w:ind w:left="640" w:hanging="254"/>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retain existing customers or identify and attract new customers could adversely affect our business, financial condition and results of operations.</w:t>
      </w:r>
    </w:p>
    <w:p>
      <w:pPr>
        <w:spacing w:after="0" w:line="8" w:lineRule="exact"/>
        <w:rPr>
          <w:rFonts w:ascii="Times New Roman" w:cs="Times New Roman" w:eastAsia="Times New Roman" w:hAnsi="Times New Roman"/>
          <w:sz w:val="14"/>
          <w:szCs w:val="14"/>
          <w:color w:val="auto"/>
        </w:rPr>
      </w:pPr>
    </w:p>
    <w:p>
      <w:pPr>
        <w:ind w:left="640" w:right="220" w:hanging="254"/>
        <w:spacing w:after="0" w:line="252" w:lineRule="auto"/>
        <w:tabs>
          <w:tab w:leader="none" w:pos="637"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ind w:left="640" w:hanging="254"/>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 outages, data loss or other interruptions affecting our operations could adversely affect our business and reputation.</w:t>
      </w:r>
    </w:p>
    <w:p>
      <w:pPr>
        <w:spacing w:after="0" w:line="8" w:lineRule="exact"/>
        <w:rPr>
          <w:rFonts w:ascii="Times New Roman" w:cs="Times New Roman" w:eastAsia="Times New Roman" w:hAnsi="Times New Roman"/>
          <w:sz w:val="14"/>
          <w:szCs w:val="14"/>
          <w:color w:val="auto"/>
        </w:rPr>
      </w:pPr>
    </w:p>
    <w:p>
      <w:pPr>
        <w:ind w:left="640" w:hanging="254"/>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at our primary production facility may adversely affect our business, results of operations and/or financial condition.</w:t>
      </w:r>
    </w:p>
    <w:p>
      <w:pPr>
        <w:spacing w:after="0" w:line="8" w:lineRule="exact"/>
        <w:rPr>
          <w:rFonts w:ascii="Times New Roman" w:cs="Times New Roman" w:eastAsia="Times New Roman" w:hAnsi="Times New Roman"/>
          <w:sz w:val="14"/>
          <w:szCs w:val="14"/>
          <w:color w:val="auto"/>
        </w:rPr>
      </w:pPr>
    </w:p>
    <w:p>
      <w:pPr>
        <w:ind w:left="640" w:hanging="254"/>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recruit, retain and develop qualified personnel, including for areas of newer specialized technology which could adversely affect our ability to grow our business.</w:t>
      </w:r>
    </w:p>
    <w:p>
      <w:pPr>
        <w:spacing w:after="0" w:line="8" w:lineRule="exact"/>
        <w:rPr>
          <w:rFonts w:ascii="Times New Roman" w:cs="Times New Roman" w:eastAsia="Times New Roman" w:hAnsi="Times New Roman"/>
          <w:sz w:val="14"/>
          <w:szCs w:val="14"/>
          <w:color w:val="auto"/>
        </w:rPr>
      </w:pPr>
    </w:p>
    <w:p>
      <w:pPr>
        <w:ind w:left="640" w:right="300" w:hanging="254"/>
        <w:spacing w:after="0" w:line="252" w:lineRule="auto"/>
        <w:tabs>
          <w:tab w:leader="none" w:pos="637"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growth may depend upon our ability to develop, introduce, manufacture and commercialize new products, which can be a lengthy and complex process. If we are unable to introduce new products and services in a timely manner, our business could be materially adversely affected.</w:t>
      </w:r>
    </w:p>
    <w:p>
      <w:pPr>
        <w:ind w:left="640" w:hanging="254"/>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disruption in our operations or supply chain or the performance of our suppliers and/or development partners could adversely affect our business and financial results.</w:t>
      </w:r>
    </w:p>
    <w:p>
      <w:pPr>
        <w:spacing w:after="0" w:line="8" w:lineRule="exact"/>
        <w:rPr>
          <w:rFonts w:ascii="Times New Roman" w:cs="Times New Roman" w:eastAsia="Times New Roman" w:hAnsi="Times New Roman"/>
          <w:sz w:val="14"/>
          <w:szCs w:val="14"/>
          <w:color w:val="auto"/>
        </w:rPr>
      </w:pPr>
    </w:p>
    <w:p>
      <w:pPr>
        <w:ind w:left="640" w:hanging="254"/>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limited experience in the digital assets industry and may not succeed in fully commercializing the products and solutions derived from the Arculus platform.</w:t>
      </w:r>
    </w:p>
    <w:p>
      <w:pPr>
        <w:spacing w:after="0" w:line="8" w:lineRule="exact"/>
        <w:rPr>
          <w:rFonts w:ascii="Times New Roman" w:cs="Times New Roman" w:eastAsia="Times New Roman" w:hAnsi="Times New Roman"/>
          <w:sz w:val="14"/>
          <w:szCs w:val="14"/>
          <w:color w:val="auto"/>
        </w:rPr>
      </w:pPr>
    </w:p>
    <w:p>
      <w:pPr>
        <w:ind w:left="640" w:right="240" w:hanging="254"/>
        <w:spacing w:after="0" w:line="252" w:lineRule="auto"/>
        <w:tabs>
          <w:tab w:leader="none" w:pos="637"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asset wallet storage systems, such as the Arculus Cold Storage Wallet, are subject to risks related to a loss of funds due to theft of digital assets, security and cybersecurity risks, system failures and other operational issues, which could cause damage to our reputation and brand.</w:t>
      </w:r>
    </w:p>
    <w:p>
      <w:pPr>
        <w:ind w:left="640" w:hanging="254"/>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changes or actions may restrict the use of the Arculus Cold Storage Wallet or digital assets in a manner that adversely affects our business, prospects or operations.</w:t>
      </w:r>
    </w:p>
    <w:p>
      <w:pPr>
        <w:spacing w:after="0" w:line="8" w:lineRule="exact"/>
        <w:rPr>
          <w:rFonts w:ascii="Times New Roman" w:cs="Times New Roman" w:eastAsia="Times New Roman" w:hAnsi="Times New Roman"/>
          <w:sz w:val="14"/>
          <w:szCs w:val="14"/>
          <w:color w:val="auto"/>
        </w:rPr>
      </w:pPr>
    </w:p>
    <w:p>
      <w:pPr>
        <w:ind w:left="640" w:right="380" w:hanging="254"/>
        <w:spacing w:after="0" w:line="252" w:lineRule="auto"/>
        <w:tabs>
          <w:tab w:leader="none" w:pos="637"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markets, including the market for authentication solutions, are rapidly evolving to address increasing and challenging cyber threats, including identity theft, and our Arculus Authenticate solutions may not achieve widespread market acceptance. In addition, there is a risk that the Arculus Authenticate solutions may not provide protection against all or a sufficient amount of the ever-changing security vulnerabilities, exploits or cyber attacks.</w:t>
      </w:r>
    </w:p>
    <w:p>
      <w:pPr>
        <w:ind w:left="640" w:hanging="254"/>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quality and manufacturing process disruptions could adversely affect our business.</w:t>
      </w:r>
    </w:p>
    <w:p>
      <w:pPr>
        <w:spacing w:after="0" w:line="8" w:lineRule="exact"/>
        <w:rPr>
          <w:rFonts w:ascii="Times New Roman" w:cs="Times New Roman" w:eastAsia="Times New Roman" w:hAnsi="Times New Roman"/>
          <w:sz w:val="14"/>
          <w:szCs w:val="14"/>
          <w:color w:val="auto"/>
        </w:rPr>
      </w:pPr>
    </w:p>
    <w:p>
      <w:pPr>
        <w:ind w:left="640" w:hanging="254"/>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certain distribution partners for distribution of our products and services. A loss of distribution partners could adversely affect our business.</w:t>
      </w:r>
    </w:p>
    <w:p>
      <w:pPr>
        <w:spacing w:after="0" w:line="8" w:lineRule="exact"/>
        <w:rPr>
          <w:rFonts w:ascii="Times New Roman" w:cs="Times New Roman" w:eastAsia="Times New Roman" w:hAnsi="Times New Roman"/>
          <w:sz w:val="14"/>
          <w:szCs w:val="14"/>
          <w:color w:val="auto"/>
        </w:rPr>
      </w:pPr>
    </w:p>
    <w:p>
      <w:pPr>
        <w:ind w:left="640" w:hanging="254"/>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competition that may result in a loss of our market share and/or a decline 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75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758" w:right="359" w:bottom="1440" w:gutter="0" w:footer="0" w:header="0"/>
        </w:sectPr>
      </w:pPr>
    </w:p>
    <w:bookmarkStart w:id="37" w:name="page38"/>
    <w:bookmarkEnd w:id="37"/>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Indebtedness</w:t>
      </w:r>
    </w:p>
    <w:p>
      <w:pPr>
        <w:spacing w:after="0" w:line="22" w:lineRule="exact"/>
        <w:rPr>
          <w:rFonts w:ascii="Times New Roman" w:cs="Times New Roman" w:eastAsia="Times New Roman" w:hAnsi="Times New Roman"/>
          <w:sz w:val="14"/>
          <w:szCs w:val="14"/>
          <w:color w:val="auto"/>
        </w:rPr>
      </w:pPr>
    </w:p>
    <w:p>
      <w:pPr>
        <w:ind w:left="640" w:hanging="254"/>
        <w:spacing w:after="0"/>
        <w:tabs>
          <w:tab w:leader="none" w:pos="6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substantial amount of indebtedness, which may limit our operating flexibility and could adversely affect our business, financial condition and results of operations.</w:t>
      </w:r>
    </w:p>
    <w:p>
      <w:pPr>
        <w:spacing w:after="0" w:line="8" w:lineRule="exact"/>
        <w:rPr>
          <w:rFonts w:ascii="Times New Roman" w:cs="Times New Roman" w:eastAsia="Times New Roman" w:hAnsi="Times New Roman"/>
          <w:sz w:val="14"/>
          <w:szCs w:val="14"/>
          <w:color w:val="auto"/>
        </w:rPr>
      </w:pPr>
    </w:p>
    <w:p>
      <w:pPr>
        <w:ind w:left="640" w:right="280" w:hanging="254"/>
        <w:spacing w:after="0" w:line="252" w:lineRule="auto"/>
        <w:tabs>
          <w:tab w:leader="none" w:pos="63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of an event of default relating to the Company's credit facility, the lenders could elect to accelerate payments due and terminate all commitments to extend further credit.</w:t>
      </w:r>
    </w:p>
    <w:p>
      <w:pPr>
        <w:ind w:left="640" w:right="20" w:hanging="254"/>
        <w:spacing w:after="0" w:line="252" w:lineRule="auto"/>
        <w:tabs>
          <w:tab w:leader="none" w:pos="63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outstanding under the Company's existing credit facility has a variable rate of interest that is currently based on the Secured Overnight Financing Rate (“SOFR”). These rates may have consequences that cannot be reasonably predicted and may increase the Company's cost of borrowing in the future.</w:t>
      </w: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ownership of our Securities</w:t>
      </w:r>
    </w:p>
    <w:p>
      <w:pPr>
        <w:spacing w:after="0" w:line="8" w:lineRule="exact"/>
        <w:rPr>
          <w:rFonts w:ascii="Times New Roman" w:cs="Times New Roman" w:eastAsia="Times New Roman" w:hAnsi="Times New Roman"/>
          <w:sz w:val="14"/>
          <w:szCs w:val="14"/>
          <w:color w:val="auto"/>
        </w:rPr>
      </w:pPr>
    </w:p>
    <w:p>
      <w:pPr>
        <w:ind w:left="640" w:right="40" w:hanging="254"/>
        <w:spacing w:after="0" w:line="252" w:lineRule="auto"/>
        <w:tabs>
          <w:tab w:leader="none" w:pos="63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only significant asset is our ownership of CompoSecure Holdings, L.L.C. ("Holdings"). If the business of Holdings is not profitably operated, we may be unable to pay us dividends or make distributions to enable us to pay any dividends on our common stock or satisfy our other financial obligations.</w:t>
      </w:r>
    </w:p>
    <w:p>
      <w:pPr>
        <w:ind w:left="640" w:right="480" w:hanging="254"/>
        <w:spacing w:after="0" w:line="252" w:lineRule="auto"/>
        <w:tabs>
          <w:tab w:leader="none" w:pos="63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our charter and Delaware law may inhibit a takeover of us, which could limit the price investors might be willing to pay in the future for our common stock and could entrench management.</w:t>
      </w:r>
    </w:p>
    <w:p>
      <w:pPr>
        <w:ind w:left="640" w:right="60" w:hanging="254"/>
        <w:spacing w:after="0" w:line="252" w:lineRule="auto"/>
        <w:tabs>
          <w:tab w:leader="none" w:pos="63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“emerging growth company,” we cannot be certain if the reduced disclosure requirements applicable to “emerging growth companies” will make our common stock less attractive to investors.</w:t>
      </w:r>
    </w:p>
    <w:p>
      <w:pPr>
        <w:ind w:left="640" w:hanging="254"/>
        <w:spacing w:after="0"/>
        <w:tabs>
          <w:tab w:leader="none" w:pos="6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performance does not meet market expectations, the price of our securities may decline.</w:t>
      </w:r>
    </w:p>
    <w:p>
      <w:pPr>
        <w:spacing w:after="0" w:line="8" w:lineRule="exact"/>
        <w:rPr>
          <w:rFonts w:ascii="Times New Roman" w:cs="Times New Roman" w:eastAsia="Times New Roman" w:hAnsi="Times New Roman"/>
          <w:sz w:val="14"/>
          <w:szCs w:val="14"/>
          <w:color w:val="auto"/>
        </w:rPr>
      </w:pPr>
    </w:p>
    <w:p>
      <w:pPr>
        <w:ind w:left="640" w:hanging="254"/>
        <w:spacing w:after="0"/>
        <w:tabs>
          <w:tab w:leader="none" w:pos="6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may never be in the money, and they may expire worthless.</w:t>
      </w:r>
    </w:p>
    <w:p>
      <w:pPr>
        <w:spacing w:after="0" w:line="18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w:t>
      </w:r>
    </w:p>
    <w:p>
      <w:pPr>
        <w:ind w:right="20"/>
        <w:spacing w:after="0" w:line="270" w:lineRule="auto"/>
        <w:rPr>
          <w:sz w:val="20"/>
          <w:szCs w:val="20"/>
          <w:color w:val="auto"/>
        </w:rPr>
      </w:pPr>
      <w:r>
        <w:rPr>
          <w:rFonts w:ascii="Times New Roman" w:cs="Times New Roman" w:eastAsia="Times New Roman" w:hAnsi="Times New Roman"/>
          <w:sz w:val="14"/>
          <w:szCs w:val="14"/>
          <w:i w:val="1"/>
          <w:iCs w:val="1"/>
          <w:color w:val="auto"/>
        </w:rPr>
        <w:t>of operations. As a result, the market price of our securities could 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Rapidly evolving domestic and global economic conditions are beyond our control and could materially adversely affect our business, operations, and results of operations.</w:t>
      </w:r>
    </w:p>
    <w:p>
      <w:pPr>
        <w:spacing w:after="0" w:line="190" w:lineRule="exact"/>
        <w:rPr>
          <w:sz w:val="20"/>
          <w:szCs w:val="20"/>
          <w:color w:val="auto"/>
        </w:rPr>
      </w:pPr>
    </w:p>
    <w:p>
      <w:pPr>
        <w:ind w:right="40" w:firstLine="508"/>
        <w:spacing w:after="0" w:line="243" w:lineRule="auto"/>
        <w:rPr>
          <w:sz w:val="20"/>
          <w:szCs w:val="20"/>
          <w:color w:val="auto"/>
        </w:rPr>
      </w:pPr>
      <w:r>
        <w:rPr>
          <w:rFonts w:ascii="Times New Roman" w:cs="Times New Roman" w:eastAsia="Times New Roman" w:hAnsi="Times New Roman"/>
          <w:sz w:val="14"/>
          <w:szCs w:val="14"/>
          <w:color w:val="auto"/>
        </w:rPr>
        <w:t>U.S. and international markets and, in particular, the rapidly evolving digital assets industry, are experiencing uncertain and volatile economic conditions, including from the impacts Russian aggression in Ukraine, the ongoing conflict in Israel, Gaza and the surrounding areas,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new Arculus business. If these uncertain business, macroeconomic or political conditions continue or further decline, our business, financial condition and results of operations could be materially adversely affected.</w:t>
      </w:r>
    </w:p>
    <w:p>
      <w:pPr>
        <w:spacing w:after="0" w:line="163" w:lineRule="exact"/>
        <w:rPr>
          <w:sz w:val="20"/>
          <w:szCs w:val="20"/>
          <w:color w:val="auto"/>
        </w:rPr>
      </w:pPr>
    </w:p>
    <w:p>
      <w:pPr>
        <w:ind w:right="49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Pandemics or a resurgence of a pandemic may adversely affect our business, financial condition, liquidity or results of operations.</w:t>
      </w:r>
    </w:p>
    <w:p>
      <w:pPr>
        <w:spacing w:after="0" w:line="133" w:lineRule="exact"/>
        <w:rPr>
          <w:sz w:val="20"/>
          <w:szCs w:val="20"/>
          <w:color w:val="auto"/>
        </w:rPr>
      </w:pPr>
    </w:p>
    <w:p>
      <w:pPr>
        <w:ind w:right="4360" w:firstLine="508"/>
        <w:spacing w:after="0" w:line="254" w:lineRule="auto"/>
        <w:rPr>
          <w:sz w:val="20"/>
          <w:szCs w:val="20"/>
          <w:color w:val="auto"/>
        </w:rPr>
      </w:pPr>
      <w:r>
        <w:rPr>
          <w:rFonts w:ascii="Times New Roman" w:cs="Times New Roman" w:eastAsia="Times New Roman" w:hAnsi="Times New Roman"/>
          <w:sz w:val="14"/>
          <w:szCs w:val="14"/>
          <w:color w:val="auto"/>
        </w:rPr>
        <w:t>The COVID-19 pandemic negatively impacted certain aspects of our business and operations in the past. The resurgence of the COVID-19 pandemic, or a future global, national or local public health crisis, could adversely affect our business, financial condition, liquidity or results of operations. These adverse effects include, but are not limited to,</w:t>
      </w:r>
    </w:p>
    <w:p>
      <w:pPr>
        <w:spacing w:after="0" w:line="1" w:lineRule="exact"/>
        <w:rPr>
          <w:sz w:val="20"/>
          <w:szCs w:val="20"/>
          <w:color w:val="auto"/>
        </w:rPr>
      </w:pPr>
    </w:p>
    <w:p>
      <w:pPr>
        <w:jc w:val="both"/>
        <w:ind w:right="4740"/>
        <w:spacing w:after="0" w:line="258" w:lineRule="auto"/>
        <w:rPr>
          <w:sz w:val="20"/>
          <w:szCs w:val="20"/>
          <w:color w:val="auto"/>
        </w:rPr>
      </w:pPr>
      <w:r>
        <w:rPr>
          <w:rFonts w:ascii="Times New Roman" w:cs="Times New Roman" w:eastAsia="Times New Roman" w:hAnsi="Times New Roman"/>
          <w:sz w:val="14"/>
          <w:szCs w:val="14"/>
          <w:color w:val="auto"/>
        </w:rPr>
        <w:t>the potential adverse effects on the global economy, our manufacturing processes, including our supply chain, or on our employees. The ultimate impact will depend on the severity and duration of the pandemic and actions taken by governmental authorities and other third parties in response, each of which is uncertain and difficult to predict.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sustain our revenue growth rate in the future.</w:t>
      </w:r>
    </w:p>
    <w:p>
      <w:pPr>
        <w:spacing w:after="0" w:line="201"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We may not continue to achieve sales growth in the future and you should not consider our recent sales growth as indicative of future performance. It is also possible that our growth rate may slow in future periods due to a number of</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75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38" w:name="page39"/>
    <w:bookmarkEnd w:id="38"/>
    <w:p>
      <w:pPr>
        <w:ind w:right="120"/>
        <w:spacing w:after="0" w:line="286" w:lineRule="auto"/>
        <w:rPr>
          <w:sz w:val="20"/>
          <w:szCs w:val="20"/>
          <w:color w:val="auto"/>
        </w:rPr>
      </w:pPr>
      <w:r>
        <w:rPr>
          <w:rFonts w:ascii="Times New Roman" w:cs="Times New Roman" w:eastAsia="Times New Roman" w:hAnsi="Times New Roman"/>
          <w:sz w:val="14"/>
          <w:szCs w:val="14"/>
          <w:color w:val="auto"/>
        </w:rPr>
        <w:t>factors, which may include slowing demand for our products, increased competition, decreasing growth of its overall market, or inability to engage and retain customers. If we are unable to maintain consistent sales or continue our sales growth, it may be difficult for us to maintain profitability.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retain existing customers or identify and attract new customers could adversely affect our business, financial condition and results of operations.</w:t>
      </w:r>
    </w:p>
    <w:p>
      <w:pPr>
        <w:spacing w:after="0" w:line="201" w:lineRule="exact"/>
        <w:rPr>
          <w:sz w:val="20"/>
          <w:szCs w:val="20"/>
          <w:color w:val="auto"/>
        </w:rPr>
      </w:pPr>
    </w:p>
    <w:p>
      <w:pPr>
        <w:ind w:right="60" w:firstLine="508"/>
        <w:spacing w:after="0" w:line="269" w:lineRule="auto"/>
        <w:rPr>
          <w:sz w:val="20"/>
          <w:szCs w:val="20"/>
          <w:color w:val="auto"/>
        </w:rPr>
      </w:pPr>
      <w:r>
        <w:rPr>
          <w:rFonts w:ascii="Times New Roman" w:cs="Times New Roman" w:eastAsia="Times New Roman" w:hAnsi="Times New Roman"/>
          <w:sz w:val="14"/>
          <w:szCs w:val="14"/>
          <w:color w:val="auto"/>
        </w:rPr>
        <w:t>Our two largest customers are American Express and JPMorgan Chase. Together, these customers represented approximately 71% and 67% of our net sales for the years ended December 31, 2023 and 2022.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spacing w:after="0" w:line="146" w:lineRule="exact"/>
        <w:rPr>
          <w:sz w:val="20"/>
          <w:szCs w:val="20"/>
          <w:color w:val="auto"/>
        </w:rPr>
      </w:pPr>
    </w:p>
    <w:p>
      <w:pPr>
        <w:ind w:right="20" w:firstLine="508"/>
        <w:spacing w:after="0" w:line="243" w:lineRule="auto"/>
        <w:rPr>
          <w:sz w:val="20"/>
          <w:szCs w:val="20"/>
          <w:color w:val="auto"/>
        </w:rPr>
      </w:pPr>
      <w:r>
        <w:rPr>
          <w:rFonts w:ascii="Times New Roman" w:cs="Times New Roman" w:eastAsia="Times New Roman" w:hAnsi="Times New Roman"/>
          <w:sz w:val="14"/>
          <w:szCs w:val="14"/>
          <w:color w:val="auto"/>
        </w:rPr>
        <w:t>Our ability to maintain relationships with our customers or attract new customers may be impacted by several factors beyond our control, including more attractive product offerings from our competitors, widespread industry disruptions (such as recent market disruptions in the digital assets industry, as well as potential adoption or enactment of new regulatory rules or legislation, new regulatory enforcement outcomes and new case law developments),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spacing w:after="0" w:line="173"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spacing w:after="0" w:line="143" w:lineRule="exact"/>
        <w:rPr>
          <w:sz w:val="20"/>
          <w:szCs w:val="20"/>
          <w:color w:val="auto"/>
        </w:rPr>
      </w:pPr>
    </w:p>
    <w:p>
      <w:pPr>
        <w:ind w:right="40" w:firstLine="508"/>
        <w:spacing w:after="0" w:line="259" w:lineRule="auto"/>
        <w:rPr>
          <w:sz w:val="20"/>
          <w:szCs w:val="20"/>
          <w:color w:val="auto"/>
        </w:rPr>
      </w:pPr>
      <w:r>
        <w:rPr>
          <w:rFonts w:ascii="Times New Roman" w:cs="Times New Roman" w:eastAsia="Times New Roman" w:hAnsi="Times New Roman"/>
          <w:sz w:val="14"/>
          <w:szCs w:val="14"/>
          <w:color w:val="auto"/>
        </w:rPr>
        <w:t>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malware, viruses, spamming, phishing attacks, ransomware, card skimming code, and other deliberate attacks and attempts 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Additionally, it is possible that unauthorized access to sensitive customer and business data may be obtained through inadequate use of security controls by our customers, suppliers or other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vendors.</w:t>
      </w:r>
    </w:p>
    <w:p>
      <w:pPr>
        <w:spacing w:after="0" w:line="184" w:lineRule="exact"/>
        <w:rPr>
          <w:sz w:val="20"/>
          <w:szCs w:val="20"/>
          <w:color w:val="auto"/>
        </w:rPr>
      </w:pPr>
    </w:p>
    <w:p>
      <w:pPr>
        <w:ind w:firstLine="508"/>
        <w:spacing w:after="0" w:line="256" w:lineRule="auto"/>
        <w:rPr>
          <w:sz w:val="20"/>
          <w:szCs w:val="20"/>
          <w:color w:val="auto"/>
        </w:rPr>
      </w:pPr>
      <w:r>
        <w:rPr>
          <w:rFonts w:ascii="Times New Roman" w:cs="Times New Roman" w:eastAsia="Times New Roman" w:hAnsi="Times New Roman"/>
          <w:sz w:val="14"/>
          <w:szCs w:val="14"/>
          <w:color w:val="auto"/>
        </w:rPr>
        <w:t>We have administrative, technical, and physical security measures in place, and we have policies and procedures in place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System outages, data loss or other interruptions affecting our operations could adversely affect our business and reputation.</w:t>
      </w:r>
    </w:p>
    <w:p>
      <w:pPr>
        <w:spacing w:after="0" w:line="201" w:lineRule="exact"/>
        <w:rPr>
          <w:sz w:val="20"/>
          <w:szCs w:val="20"/>
          <w:color w:val="auto"/>
        </w:rPr>
      </w:pPr>
    </w:p>
    <w:p>
      <w:pPr>
        <w:ind w:right="20" w:firstLine="508"/>
        <w:spacing w:after="0" w:line="258" w:lineRule="auto"/>
        <w:rPr>
          <w:sz w:val="20"/>
          <w:szCs w:val="20"/>
          <w:color w:val="auto"/>
        </w:rPr>
      </w:pPr>
      <w:r>
        <w:rPr>
          <w:rFonts w:ascii="Times New Roman" w:cs="Times New Roman" w:eastAsia="Times New Roman" w:hAnsi="Times New Roman"/>
          <w:sz w:val="14"/>
          <w:szCs w:val="14"/>
          <w:color w:val="auto"/>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 however, insufficiently prevent or limit the damage from future disruptions, if any, and any such disruptions could adversely affect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Disruptions at our primary production facility may adversely affect our business, results of operations and/or financial condition.</w:t>
      </w:r>
    </w:p>
    <w:p>
      <w:pPr>
        <w:spacing w:after="0" w:line="201" w:lineRule="exact"/>
        <w:rPr>
          <w:sz w:val="20"/>
          <w:szCs w:val="20"/>
          <w:color w:val="auto"/>
        </w:rPr>
      </w:pPr>
    </w:p>
    <w:p>
      <w:pPr>
        <w:ind w:right="180" w:firstLine="508"/>
        <w:spacing w:after="0" w:line="260" w:lineRule="auto"/>
        <w:rPr>
          <w:sz w:val="20"/>
          <w:szCs w:val="20"/>
          <w:color w:val="auto"/>
        </w:rPr>
      </w:pPr>
      <w:r>
        <w:rPr>
          <w:rFonts w:ascii="Times New Roman" w:cs="Times New Roman" w:eastAsia="Times New Roman" w:hAnsi="Times New Roman"/>
          <w:sz w:val="14"/>
          <w:szCs w:val="14"/>
          <w:color w:val="auto"/>
        </w:rPr>
        <w:t>A substantial portion of our manufacturing capacity is located at our primary production facilities in New Jersey. Any serious disruption at such facility could impair our ability to manufacture enough products to meet customer demand, and could increase our costs and expenses and adversely affect our revenues. Our other facilities may not have the requisite equipment or sufficient capacity, may have higher costs and expenses, or may experience significant delays to adequately increase production to satisfactorily meet our customers’ expectations or requirements. Long-term production disruptions may cause our customers to modify their payment card programs to use plastic cards or to seek alternative supply of metal cards. Any such production disruptions could adversely impact our business, financial condition and results of operations.</w:t>
      </w:r>
    </w:p>
    <w:p>
      <w:pPr>
        <w:spacing w:after="0" w:line="163"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future growth may depend upon our ability to develop, introduce, manufacture and commercialize new products, which can be a lengthy and complex process. If we are unable to introduce new products and services in a timely manner, our business could be materially adversely affected.</w:t>
      </w:r>
    </w:p>
    <w:p>
      <w:pPr>
        <w:spacing w:after="0" w:line="133" w:lineRule="exact"/>
        <w:rPr>
          <w:sz w:val="20"/>
          <w:szCs w:val="20"/>
          <w:color w:val="auto"/>
        </w:rPr>
      </w:pPr>
    </w:p>
    <w:p>
      <w:pPr>
        <w:ind w:right="140" w:firstLine="508"/>
        <w:spacing w:after="0" w:line="239" w:lineRule="auto"/>
        <w:rPr>
          <w:sz w:val="20"/>
          <w:szCs w:val="20"/>
          <w:color w:val="auto"/>
        </w:rPr>
      </w:pPr>
      <w:r>
        <w:rPr>
          <w:rFonts w:ascii="Times New Roman" w:cs="Times New Roman" w:eastAsia="Times New Roman" w:hAnsi="Times New Roman"/>
          <w:sz w:val="14"/>
          <w:szCs w:val="14"/>
          <w:color w:val="auto"/>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For example, we have historically focused on the payment card industry, but we are a new entrant into the digital assets industry. In order to achieve successful technical execution of new products, we may need to undertake time-consuming and expensive research and development activities, which could negatively impact the servicing of our existing customers. We may also experience difficult market conditions, such as the recent widespread disruptions in the digital asset industry, that could delay or prevent the successful research and development, marketing launches and consumer deployment of such newly designed products, whereby we could incur significant additional cost and expense. If the products and solutions derived from the Arculus platform fail to gain market acceptance, our ability to achieve future growth could be significantly impaired. In addition, competitors may develop and commercialize competing products faster and more efficiently than we are able to do so, which could further negatively impact our business.</w:t>
      </w:r>
    </w:p>
    <w:p>
      <w:pPr>
        <w:spacing w:after="0" w:line="178" w:lineRule="exact"/>
        <w:rPr>
          <w:sz w:val="20"/>
          <w:szCs w:val="20"/>
          <w:color w:val="auto"/>
        </w:rPr>
      </w:pPr>
    </w:p>
    <w:p>
      <w:pPr>
        <w:ind w:firstLine="508"/>
        <w:spacing w:after="0" w:line="259" w:lineRule="auto"/>
        <w:rPr>
          <w:sz w:val="20"/>
          <w:szCs w:val="20"/>
          <w:color w:val="auto"/>
        </w:rPr>
      </w:pPr>
      <w:r>
        <w:rPr>
          <w:rFonts w:ascii="Times New Roman" w:cs="Times New Roman" w:eastAsia="Times New Roman" w:hAnsi="Times New Roman"/>
          <w:sz w:val="14"/>
          <w:szCs w:val="14"/>
          <w:color w:val="auto"/>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spacing w:after="0" w:line="164" w:lineRule="exact"/>
        <w:rPr>
          <w:sz w:val="20"/>
          <w:szCs w:val="20"/>
          <w:color w:val="auto"/>
        </w:rPr>
      </w:pPr>
    </w:p>
    <w:p>
      <w:pPr>
        <w:jc w:val="both"/>
        <w:ind w:right="20" w:firstLine="508"/>
        <w:spacing w:after="0" w:line="269" w:lineRule="auto"/>
        <w:rPr>
          <w:sz w:val="20"/>
          <w:szCs w:val="20"/>
          <w:color w:val="auto"/>
        </w:rPr>
      </w:pPr>
      <w:r>
        <w:rPr>
          <w:rFonts w:ascii="Times New Roman" w:cs="Times New Roman" w:eastAsia="Times New Roman" w:hAnsi="Times New Roman"/>
          <w:sz w:val="14"/>
          <w:szCs w:val="14"/>
          <w:color w:val="auto"/>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develop and implement new processes for the manufacture or offer of new products or services; complete and introduce new products and integrated services solutions in a timely manner;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75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58" w:right="319" w:bottom="1440" w:gutter="0" w:footer="0" w:header="0"/>
        </w:sectPr>
      </w:pPr>
    </w:p>
    <w:bookmarkStart w:id="40" w:name="page41"/>
    <w:bookmarkEnd w:id="40"/>
    <w:p>
      <w:pPr>
        <w:ind w:right="120"/>
        <w:spacing w:after="0" w:line="260" w:lineRule="auto"/>
        <w:rPr>
          <w:sz w:val="20"/>
          <w:szCs w:val="20"/>
          <w:color w:val="auto"/>
        </w:rPr>
      </w:pPr>
      <w:r>
        <w:rPr>
          <w:rFonts w:ascii="Times New Roman" w:cs="Times New Roman" w:eastAsia="Times New Roman" w:hAnsi="Times New Roman"/>
          <w:sz w:val="14"/>
          <w:szCs w:val="14"/>
          <w:color w:val="auto"/>
        </w:rPr>
        <w:t>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spacing w:after="0" w:line="165" w:lineRule="exact"/>
        <w:rPr>
          <w:sz w:val="20"/>
          <w:szCs w:val="20"/>
          <w:color w:val="auto"/>
        </w:rPr>
      </w:pPr>
    </w:p>
    <w:p>
      <w:pPr>
        <w:ind w:right="160" w:firstLine="508"/>
        <w:spacing w:after="0" w:line="263" w:lineRule="auto"/>
        <w:rPr>
          <w:sz w:val="20"/>
          <w:szCs w:val="20"/>
          <w:color w:val="auto"/>
        </w:rPr>
      </w:pPr>
      <w:r>
        <w:rPr>
          <w:rFonts w:ascii="Times New Roman" w:cs="Times New Roman" w:eastAsia="Times New Roman" w:hAnsi="Times New Roman"/>
          <w:sz w:val="14"/>
          <w:szCs w:val="14"/>
          <w:color w:val="auto"/>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complete or gain market acceptance of new products, services and technologies could adversely affect our ability to retain existing customers or attract new ones.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disruption in our operations or supply chain or the performance of our suppliers, liquidity partners and/or development partners could adversely affect our business and financial results.</w:t>
      </w:r>
    </w:p>
    <w:p>
      <w:pPr>
        <w:spacing w:after="0" w:line="201" w:lineRule="exact"/>
        <w:rPr>
          <w:sz w:val="20"/>
          <w:szCs w:val="20"/>
          <w:color w:val="auto"/>
        </w:rPr>
      </w:pPr>
    </w:p>
    <w:p>
      <w:pPr>
        <w:ind w:right="20" w:firstLine="508"/>
        <w:spacing w:after="0" w:line="258" w:lineRule="auto"/>
        <w:rPr>
          <w:sz w:val="20"/>
          <w:szCs w:val="20"/>
          <w:color w:val="auto"/>
        </w:rPr>
      </w:pPr>
      <w:r>
        <w:rPr>
          <w:rFonts w:ascii="Times New Roman" w:cs="Times New Roman" w:eastAsia="Times New Roman" w:hAnsi="Times New Roman"/>
          <w:sz w:val="14"/>
          <w:szCs w:val="14"/>
          <w:color w:val="auto"/>
        </w:rPr>
        <w:t>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used in the manufacture of our products are metals, NFC-enabled and EMV chips, which we source from several key suppliers. We obtain our components from multiple suppliers located in the United States and abroad, on a purchase order basis. Changes in the financial or business condition of our suppliers and/or development partners could subject us to losses or adversely affect our ability to bring products to market. Additionally, the failure of our suppliers and/or development partners to comply with applicable standards, perform as expected, and deliver goods and services in a timely manner in sufficient quantities could adversely affect our 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spacing w:after="0" w:line="164" w:lineRule="exact"/>
        <w:rPr>
          <w:sz w:val="20"/>
          <w:szCs w:val="20"/>
          <w:color w:val="auto"/>
        </w:rPr>
      </w:pPr>
    </w:p>
    <w:p>
      <w:pPr>
        <w:ind w:right="20" w:firstLine="508"/>
        <w:spacing w:after="0" w:line="269" w:lineRule="auto"/>
        <w:rPr>
          <w:sz w:val="20"/>
          <w:szCs w:val="20"/>
          <w:color w:val="auto"/>
        </w:rPr>
      </w:pPr>
      <w:r>
        <w:rPr>
          <w:rFonts w:ascii="Times New Roman" w:cs="Times New Roman" w:eastAsia="Times New Roman" w:hAnsi="Times New Roman"/>
          <w:sz w:val="14"/>
          <w:szCs w:val="14"/>
          <w:color w:val="auto"/>
        </w:rPr>
        <w:t>Additionally, we partner with third-party partners to offer certain Arculus products and services to our customers. If any of these third parties experiences operational interference or disruptions, fails to perform its obligations and meet our expectations, experiences a cybersecurity incident, fails to comply with applicable regulatory and/or licensing requirements which may evolve over time, or is subject to regulatory enforcement proceedings concerning their operations, the operations of Arculus solutions could be disrupted or otherwise adversely affected.</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Security markets, including the market for authentication solutions, are rapidly evolving to address increasing and challenging cyber threats, including identity theft, and the Company's Arculus Authenticate solutions may not achieve widespread market acceptance. In addition, there is a risk that the Arculus Authenticate solutions may not provide protection against all or a sufficient amount of the ever-changing security vulnerabilities, exploits or cyber attacks.</w:t>
      </w:r>
    </w:p>
    <w:p>
      <w:pPr>
        <w:spacing w:after="0" w:line="157" w:lineRule="exact"/>
        <w:rPr>
          <w:sz w:val="20"/>
          <w:szCs w:val="20"/>
          <w:color w:val="auto"/>
        </w:rPr>
      </w:pPr>
    </w:p>
    <w:p>
      <w:pPr>
        <w:ind w:right="140" w:firstLine="508"/>
        <w:spacing w:after="0" w:line="256" w:lineRule="auto"/>
        <w:rPr>
          <w:sz w:val="20"/>
          <w:szCs w:val="20"/>
          <w:color w:val="auto"/>
        </w:rPr>
      </w:pPr>
      <w:r>
        <w:rPr>
          <w:rFonts w:ascii="Times New Roman" w:cs="Times New Roman" w:eastAsia="Times New Roman" w:hAnsi="Times New Roman"/>
          <w:sz w:val="14"/>
          <w:szCs w:val="14"/>
          <w:color w:val="auto"/>
        </w:rPr>
        <w:t>Cybersecurity markets are experiencing significant and fast-paced technological change, evolving industry standards and customer needs. The Company's Arculus Authenticate solutions represent a new and innovative approach to identity protection, and may not achieve widespread market acceptance. Other methods, technologies, products or services may offer similar or better authentication solutions than our hardware authentication solutions. If the Company is unable to adapt to such changes, our ability to compete effectively may be adversely impacted, which could have a negative effect on our business, financial condition or results of operations. In addition, there is a risk that the Arculus Authenticate solutions may not provide protection against all or a sufficient amount of the ever-changing security vulnerabilities, exploits or cyber attacks. Internal and external factors, including possible defects in the Company’s products, or system failures in services provided by third parties for use with Arculus Authenticate solutions, could cause the Company’s products and/or services to become vulnerable to security attacks which could result in the loss of identity protection for businesses and consumers. As the Arculus Authenticate solutions include hardware tokens which are expected to be replaced from time to time as needed (similar to payment cards), the Company does not intend to provide remote updates or upgrades to its hardware products. There is, therefore, a risk that the Company’s hardware authentication products could become ineffective against evolving cybersecurity threats. Any such developments, real or perceived, may have a negative impact on our reputation, which could have a negative effect upon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75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1" w:name="page42"/>
    <w:bookmarkEnd w:id="41"/>
    <w:p>
      <w:pPr>
        <w:ind w:right="7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Digital asset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spacing w:after="0" w:line="143" w:lineRule="exact"/>
        <w:rPr>
          <w:sz w:val="20"/>
          <w:szCs w:val="20"/>
          <w:color w:val="auto"/>
        </w:rPr>
      </w:pPr>
    </w:p>
    <w:p>
      <w:pPr>
        <w:ind w:firstLine="508"/>
        <w:spacing w:after="0" w:line="260" w:lineRule="auto"/>
        <w:rPr>
          <w:sz w:val="20"/>
          <w:szCs w:val="20"/>
          <w:color w:val="auto"/>
        </w:rPr>
      </w:pPr>
      <w:r>
        <w:rPr>
          <w:rFonts w:ascii="Times New Roman" w:cs="Times New Roman" w:eastAsia="Times New Roman" w:hAnsi="Times New Roman"/>
          <w:sz w:val="14"/>
          <w:szCs w:val="14"/>
          <w:color w:val="auto"/>
        </w:rPr>
        <w:t>Digital assets have the potential to be used for financial crimes or other illegal activities. Even if we comply with all laws and regulations,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Cold Storage Wallet could damage our reputation and such damage could be material and adverse, including to aspects of our business that are unrelated to the Arculus platform. More generally, any negative publicity regarding unlawful uses of digital assets in the marketplace could materially reduce the demand for our products and solutions derived from the Arculus platform.</w:t>
      </w:r>
    </w:p>
    <w:p>
      <w:pPr>
        <w:spacing w:after="0" w:line="165" w:lineRule="exact"/>
        <w:rPr>
          <w:sz w:val="20"/>
          <w:szCs w:val="20"/>
          <w:color w:val="auto"/>
        </w:rPr>
      </w:pPr>
    </w:p>
    <w:p>
      <w:pPr>
        <w:ind w:right="60" w:firstLine="508"/>
        <w:spacing w:after="0" w:line="255" w:lineRule="auto"/>
        <w:rPr>
          <w:sz w:val="20"/>
          <w:szCs w:val="20"/>
          <w:color w:val="auto"/>
        </w:rPr>
      </w:pPr>
      <w:r>
        <w:rPr>
          <w:rFonts w:ascii="Times New Roman" w:cs="Times New Roman" w:eastAsia="Times New Roman" w:hAnsi="Times New Roman"/>
          <w:sz w:val="14"/>
          <w:szCs w:val="14"/>
          <w:color w:val="auto"/>
        </w:rPr>
        <w:t>The Arculus Cold Storage Wallet uses an architecture where the private keys needed to access digital assets are stored outside of the Internet. Through the use of the Arculus Cold Storage Wallet, our three-factor authentication technology may be able to increase the safety of users’ assets during storage, as compared to storing such digital assets in a hot storage wallet, which is constantly connected to the internet. Further, digital assets are controllable only by the possessor of both the unique public and private keys relating to the local or online digital wallet in which they are held, which wallet’s public key or address is reflected in the public network. There is no guarantee that these security measures or any that we may develop in the future will be effective. Notwithstanding the increased security of the Arculus Cold Storage Wallet as compared to a hot storage wallet system, any loss of private keys, or hack or other compromise or failure of, the Arculus Cold Storage Wallet and its security features could materially and adversely affect our customers’ ability to access or sell their digital assets and could cause significant reputational harm to our Arculus Cold Storage Wallet business, which could have a material adverse effect on our business, financial condition and results of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changes or actions may restrict the use of the Arculus Cold Storage Wallet or digital assets in a manner that adversely affects our business, prospects or operations.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Regulatory uncertainty surrounding the digital asset environment, and the regulatory classification of such digital assets</w:t>
      </w:r>
    </w:p>
    <w:p>
      <w:pPr>
        <w:spacing w:after="0" w:line="190" w:lineRule="exact"/>
        <w:rPr>
          <w:sz w:val="20"/>
          <w:szCs w:val="20"/>
          <w:color w:val="auto"/>
        </w:rPr>
      </w:pPr>
    </w:p>
    <w:p>
      <w:pPr>
        <w:ind w:right="20" w:firstLine="508"/>
        <w:spacing w:after="0" w:line="238" w:lineRule="auto"/>
        <w:rPr>
          <w:sz w:val="20"/>
          <w:szCs w:val="20"/>
          <w:color w:val="auto"/>
        </w:rPr>
      </w:pPr>
      <w:r>
        <w:rPr>
          <w:rFonts w:ascii="Times New Roman" w:cs="Times New Roman" w:eastAsia="Times New Roman" w:hAnsi="Times New Roman"/>
          <w:sz w:val="14"/>
          <w:szCs w:val="14"/>
          <w:color w:val="auto"/>
        </w:rPr>
        <w:t>As digital assets have grown in both popularity and market size, governments around the world have reacted differently to digital assets, with certain governments deeming them illegal and others allowing their use and trade under certain circumstances. Currently, there is no uniformly applicable legal or regulatory regime governing digital assets in most jurisdictions, including the U.S. Certain adverse market events in the digital asset space over the past few years, such as the bankruptcy of FTX and its affiliates, and subsequent litigation and regulatory enforcement actions, have led to increased attention and scrutiny by regulators, legislators and market participants. Governments or regulatory authorities may impose new or additional licensing, registration or other compliance requirements on participants in the digital asset industry. Ongoing and future regulatory actions may impact our ability to develop and offer products involving the use of digital assets, including the Arculus Cold Storage Wallet, or may impose additional costs, which may be material, on us in connection with such products, and such impact may be material and adverse. For example, the Commodities Futures Trading Commission (“CFTC”), in a 2019 letter, made clear its view that digital assets generally are commodities, and as such, even spot trades in digital assets generally are subject to the CFTC’s antifraud authority. Nevertheless, digital assets that are commodities also may be considered to be securities by the Securities and Exchange Commission (“SEC”), or may have been offered or sold in transactions that the SEC deems to be investment contracts and, therefore, securities. In the U.S., regulators, courts and lawmakers alike are grappling with these questions, and the legal landscape remains uncertain.</w:t>
      </w:r>
    </w:p>
    <w:p>
      <w:pPr>
        <w:spacing w:after="0" w:line="181" w:lineRule="exact"/>
        <w:rPr>
          <w:sz w:val="20"/>
          <w:szCs w:val="20"/>
          <w:color w:val="auto"/>
        </w:rPr>
      </w:pPr>
    </w:p>
    <w:p>
      <w:pPr>
        <w:ind w:right="40" w:firstLine="508"/>
        <w:spacing w:after="0" w:line="260" w:lineRule="auto"/>
        <w:rPr>
          <w:sz w:val="20"/>
          <w:szCs w:val="20"/>
          <w:color w:val="auto"/>
        </w:rPr>
      </w:pPr>
      <w:r>
        <w:rPr>
          <w:rFonts w:ascii="Times New Roman" w:cs="Times New Roman" w:eastAsia="Times New Roman" w:hAnsi="Times New Roman"/>
          <w:sz w:val="14"/>
          <w:szCs w:val="14"/>
          <w:color w:val="auto"/>
        </w:rPr>
        <w:t>While certain SEC staff (the "Staff") have stated that bitcoin, the digital asset with the largest market capitalization, (“BTC”), the native digital asset of the bitcoin blockchain, is not a security, there has been no definitive determination by the SEC or a court concerning whether the digital asset with the second largest market capitalization, ether (“ETH”), the native digital asset of the ethereum blockchain, constitutes a security or was offered or sold pursuant to investment contracts. Additionally, the Staff has asserted that certain other digital assets are securities subject to the SEC's substantive and antifraud authority. Furthermore, derivatives on these digital assets, digital assets that represent certain derivatives, and certain leveraged, financed and margined transactions in digital assets, may be subject to substantive regulation by the CFTC and/or SEC, in addition to certain state and non-U.S. regulators.</w:t>
      </w:r>
    </w:p>
    <w:p>
      <w:pPr>
        <w:spacing w:after="0" w:line="154" w:lineRule="exact"/>
        <w:rPr>
          <w:sz w:val="20"/>
          <w:szCs w:val="20"/>
          <w:color w:val="auto"/>
        </w:rPr>
      </w:pPr>
    </w:p>
    <w:p>
      <w:pPr>
        <w:ind w:right="600" w:firstLine="508"/>
        <w:spacing w:after="0" w:line="270" w:lineRule="auto"/>
        <w:rPr>
          <w:sz w:val="20"/>
          <w:szCs w:val="20"/>
          <w:color w:val="auto"/>
        </w:rPr>
      </w:pPr>
      <w:r>
        <w:rPr>
          <w:rFonts w:ascii="Times New Roman" w:cs="Times New Roman" w:eastAsia="Times New Roman" w:hAnsi="Times New Roman"/>
          <w:sz w:val="14"/>
          <w:szCs w:val="14"/>
          <w:color w:val="auto"/>
        </w:rPr>
        <w:t>While the SEC staff has brought multiple enforcement actions against digital asset projects, including trading platforms that the SEC alleges were operating, among other things, as unregistered exchanges, thus far, such cases have not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758" w:right="339" w:bottom="1440" w:gutter="0" w:footer="0" w:header="0"/>
        </w:sectPr>
      </w:pPr>
    </w:p>
    <w:bookmarkStart w:id="42" w:name="page43"/>
    <w:bookmarkEnd w:id="42"/>
    <w:p>
      <w:pPr>
        <w:ind w:right="280"/>
        <w:spacing w:after="0" w:line="247" w:lineRule="auto"/>
        <w:rPr>
          <w:sz w:val="20"/>
          <w:szCs w:val="20"/>
          <w:color w:val="auto"/>
        </w:rPr>
      </w:pPr>
      <w:r>
        <w:rPr>
          <w:rFonts w:ascii="Times New Roman" w:cs="Times New Roman" w:eastAsia="Times New Roman" w:hAnsi="Times New Roman"/>
          <w:sz w:val="14"/>
          <w:szCs w:val="14"/>
          <w:color w:val="auto"/>
        </w:rPr>
        <w:t>resolved the legal uncertainty in the U.S. concerning digital assets. Several of such recent enforcement actions are court cases that remain ongoing, and, to the extent that courts have rendered opinions, for example, in the SEC v. Ripple and SEC v. Terraform Labs/Do Kwon cases, both of which were filed and heard in the Southern District of New York, the applicable opinions, and the reasoning in support of them, have not necessarily been consistent with one another. The SEC’s 2023 settlements with issuers of non-fungible tokens (“NFTs”) could signal the SEC’s interest in regulating the broader NFT market, including NFT trading platforms, to the extent that the SEC determines that certain NFTs are securities</w:t>
      </w:r>
    </w:p>
    <w:p>
      <w:pPr>
        <w:spacing w:after="0" w:line="163" w:lineRule="exact"/>
        <w:rPr>
          <w:sz w:val="20"/>
          <w:szCs w:val="20"/>
          <w:color w:val="auto"/>
        </w:rPr>
      </w:pPr>
    </w:p>
    <w:p>
      <w:pPr>
        <w:ind w:right="20" w:firstLine="508"/>
        <w:spacing w:after="0"/>
        <w:rPr>
          <w:sz w:val="20"/>
          <w:szCs w:val="20"/>
          <w:color w:val="auto"/>
        </w:rPr>
      </w:pPr>
      <w:r>
        <w:rPr>
          <w:rFonts w:ascii="Times New Roman" w:cs="Times New Roman" w:eastAsia="Times New Roman" w:hAnsi="Times New Roman"/>
          <w:sz w:val="14"/>
          <w:szCs w:val="14"/>
          <w:color w:val="auto"/>
        </w:rPr>
        <w:t>In addition to a continued focus on digital asset issuers and centralized digital asset trading platforms, regulators and private plaintiffs alike have initiated actions against decentralized finance (“DeFi”) projects, including decentralized autonomous organizations (“DAOs”), under various theories of liability. Among other things, DAOs have been characterized by certain plaintiffs as unincorporated associations or general partnerships, with some plaintiffs asserting that liability should be assigned to participants in DAO governance, while others have sought to establish joint and several liability for DAO members generally, including on negligence theories of liability. The CFTC has announced a commitment to pursue DeFi protocols operating unregistered platforms that allow U.S. persons to trade digital asset derivatives and, in 2023, settled charges against three different DeFi platforms for offering, or making available for trading, contracts based on various digital assets, including swaps and other derivatives, without registering with the CFTC.</w:t>
      </w:r>
    </w:p>
    <w:p>
      <w:pPr>
        <w:spacing w:after="0" w:line="166" w:lineRule="exact"/>
        <w:rPr>
          <w:sz w:val="20"/>
          <w:szCs w:val="20"/>
          <w:color w:val="auto"/>
        </w:rPr>
      </w:pPr>
    </w:p>
    <w:p>
      <w:pPr>
        <w:ind w:right="20" w:firstLine="513"/>
        <w:spacing w:after="0" w:line="242" w:lineRule="auto"/>
        <w:tabs>
          <w:tab w:leader="none" w:pos="57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 similarly appears focused on DeFi and has brought enforcement actions against DeFi projects in 2024. In addition, in April 2024, Uniswap Labs announced that it was served with a Wells Notice, suggesting that the SEC may bring an enforcement action against it. This is notable because the Uniswap Protocol reportedly is the largest decentralized trading and automated market making protocol on the Ethereum blockchain. In addition to the SEC’s proposed rule change that would expand the definition of “exchange” to potentially include certain DeFi-related activities (see discussion under the heading "Regulatory Risks of Operating as an Unregistered Exchange or as Part of an Unregistered Exchange Mechanism" below), in 2023, SEC staff served as lead drafter of the International Organization of Securities Commissions' (“IOSCO”) proposed recommendations concerning DeFi. The terms “DeFi” and “DAO” may be interpreted broadly to encompass a wide variety of projects, services and participants, and if a regulator or private plaintiff were to claim that Arculus is deemed to have participated in or facilitated DeFi- or DAO-related activities that were in violation of applicable law, there may be significant associated risks, including the potential for joint and several liability.</w:t>
      </w:r>
    </w:p>
    <w:p>
      <w:pPr>
        <w:spacing w:after="0" w:line="176" w:lineRule="exact"/>
        <w:rPr>
          <w:sz w:val="20"/>
          <w:szCs w:val="20"/>
          <w:color w:val="auto"/>
        </w:rPr>
      </w:pPr>
    </w:p>
    <w:p>
      <w:pPr>
        <w:ind w:right="400" w:firstLine="508"/>
        <w:spacing w:after="0" w:line="269" w:lineRule="auto"/>
        <w:rPr>
          <w:sz w:val="20"/>
          <w:szCs w:val="20"/>
          <w:color w:val="auto"/>
        </w:rPr>
      </w:pPr>
      <w:r>
        <w:rPr>
          <w:rFonts w:ascii="Times New Roman" w:cs="Times New Roman" w:eastAsia="Times New Roman" w:hAnsi="Times New Roman"/>
          <w:sz w:val="14"/>
          <w:szCs w:val="14"/>
          <w:color w:val="auto"/>
        </w:rPr>
        <w:t>In addition to the U.S. regulatory questions before the courts, multiple Congressional digital asset-related bills have been published, including some with a focus on digital asset market structure. While multiple bills describe joint oversight by the SEC and CFTC over the digital assets markets and focus on market structure, at this time, it is unclear whether any of these bills ultimately will become law.</w:t>
      </w:r>
    </w:p>
    <w:p>
      <w:pPr>
        <w:spacing w:after="0" w:line="157" w:lineRule="exact"/>
        <w:rPr>
          <w:sz w:val="20"/>
          <w:szCs w:val="20"/>
          <w:color w:val="auto"/>
        </w:rPr>
      </w:pPr>
    </w:p>
    <w:p>
      <w:pPr>
        <w:jc w:val="both"/>
        <w:ind w:firstLine="508"/>
        <w:spacing w:after="0" w:line="245" w:lineRule="auto"/>
        <w:rPr>
          <w:sz w:val="20"/>
          <w:szCs w:val="20"/>
          <w:color w:val="auto"/>
        </w:rPr>
      </w:pPr>
      <w:r>
        <w:rPr>
          <w:rFonts w:ascii="Times New Roman" w:cs="Times New Roman" w:eastAsia="Times New Roman" w:hAnsi="Times New Roman"/>
          <w:sz w:val="14"/>
          <w:szCs w:val="14"/>
          <w:color w:val="auto"/>
        </w:rPr>
        <w:t>Moreover, given recent geopolitical conflict and instability, certain U.S. legislators and regulators have signaled heightened concerns about national security and the importance of “know your customer” (“KYC”), anti-money laundering (“AML”), counter financing of terrorism (“CFT”) and sanctions checks and compliance, including concerns about potential use by certain terrorist groups of digital assets to fund their operations or evade U.S. sanctions. In addition to the introduction of potential digital asset-focused legislation in Congress aimed at addressing such concerns, regulators have focused on enforcement. In 2022 and 2023, OFAC, sanctioned digital assets market participants alleged to have supported sanctioned countries and/or terrorist operations, and, in 2023, the U.S. Treasury’s FinCEN, pursuant seldom-used powers granted to it under Section 311 of the USA PATRIOT Act, designated an entire class of transactions, namely transactions associated with digital asset mixers, as being of primary money laundering concern. In addition, the U.S. Treasury, the IRS and other agencies also continue to propose new rules and guidance applicable to digital assets.</w:t>
      </w:r>
    </w:p>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sum, these U.S. federal regulators and courts, and various U.S. state and non-U.S. regulators, are still developing their frameworks for regulating digital assets. If we are found to have</w:t>
      </w:r>
    </w:p>
    <w:p>
      <w:pPr>
        <w:spacing w:after="0" w:line="3" w:lineRule="exact"/>
        <w:rPr>
          <w:sz w:val="20"/>
          <w:szCs w:val="20"/>
          <w:color w:val="auto"/>
        </w:rPr>
      </w:pPr>
    </w:p>
    <w:p>
      <w:pPr>
        <w:ind w:right="100"/>
        <w:spacing w:after="0" w:line="212" w:lineRule="auto"/>
        <w:rPr>
          <w:sz w:val="20"/>
          <w:szCs w:val="20"/>
          <w:color w:val="auto"/>
        </w:rPr>
      </w:pPr>
      <w:r>
        <w:rPr>
          <w:rFonts w:ascii="Times New Roman" w:cs="Times New Roman" w:eastAsia="Times New Roman" w:hAnsi="Times New Roman"/>
          <w:sz w:val="14"/>
          <w:szCs w:val="14"/>
          <w:color w:val="auto"/>
        </w:rPr>
        <w:t>supported purchase and swap transactions in the Arculus Cold Storage Wallet for digital assets which are subsequently determined to be securities, it is possible that we could be viewed as inadvertently acting as an unlicensed broker-dealer, which could subject us to, among other things, regulatory enforcement actions, censure, monetary fines, restrictions on the conduct of the Arculus</w:t>
      </w:r>
    </w:p>
    <w:p>
      <w:pPr>
        <w:spacing w:after="0" w:line="1"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14"/>
          <w:szCs w:val="14"/>
          <w:color w:val="auto"/>
        </w:rPr>
        <w:t>business operations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166" w:lineRule="exact"/>
        <w:rPr>
          <w:sz w:val="20"/>
          <w:szCs w:val="20"/>
          <w:color w:val="auto"/>
        </w:rPr>
      </w:pPr>
    </w:p>
    <w:p>
      <w:pPr>
        <w:jc w:val="both"/>
        <w:ind w:right="20" w:firstLine="508"/>
        <w:spacing w:after="0" w:line="269" w:lineRule="auto"/>
        <w:rPr>
          <w:sz w:val="20"/>
          <w:szCs w:val="20"/>
          <w:color w:val="auto"/>
        </w:rPr>
      </w:pPr>
      <w:r>
        <w:rPr>
          <w:rFonts w:ascii="Times New Roman" w:cs="Times New Roman" w:eastAsia="Times New Roman" w:hAnsi="Times New Roman"/>
          <w:sz w:val="14"/>
          <w:szCs w:val="14"/>
          <w:color w:val="auto"/>
        </w:rPr>
        <w:t>Further, a particular digital asset's status as a “security” or the treatment of digital currency for tax purposes, in any relevant jurisdiction is subject to a high degree of uncertainty and potential inconsistency across regulatory regimes, and if we are unable to properly characterize a digital asset (or a digital asset-related transaction) or assess our tax treatment, we may be subject to regulatory scrutiny, investigations, fines, and other penalties, which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43" w:name="page44"/>
    <w:bookmarkEnd w:id="43"/>
    <w:p>
      <w:pPr>
        <w:ind w:right="100" w:firstLine="508"/>
        <w:spacing w:after="0" w:line="247" w:lineRule="auto"/>
        <w:rPr>
          <w:sz w:val="20"/>
          <w:szCs w:val="20"/>
          <w:color w:val="auto"/>
        </w:rPr>
      </w:pPr>
      <w:r>
        <w:rPr>
          <w:rFonts w:ascii="Times New Roman" w:cs="Times New Roman" w:eastAsia="Times New Roman" w:hAnsi="Times New Roman"/>
          <w:sz w:val="14"/>
          <w:szCs w:val="14"/>
          <w:color w:val="auto"/>
        </w:rPr>
        <w:t>In order to determine whether a particular digital asset is a security (or whether transactions in such digital assets would constitute an offer or sale of a security), prior to supporting purchase and swap transactions on the Arculus Cold Storage Wallet in such digital asset, we rely upon legal and regulatory analysis of legal counsel with expertise in the digital asset industry. While the methodology we have used, and expect to continue to use, to determine if purchase and swap transactions in a digital asset will be supported in the Arculus Cold Storage Wallet is ultimately a risk-based assessment, it does not preclude legal or regulatory action based on the presence of a security.</w:t>
      </w:r>
    </w:p>
    <w:p>
      <w:pPr>
        <w:spacing w:after="0" w:line="163" w:lineRule="exact"/>
        <w:rPr>
          <w:sz w:val="20"/>
          <w:szCs w:val="20"/>
          <w:color w:val="auto"/>
        </w:rPr>
      </w:pPr>
    </w:p>
    <w:p>
      <w:pPr>
        <w:ind w:right="60" w:firstLine="508"/>
        <w:spacing w:after="0"/>
        <w:rPr>
          <w:sz w:val="20"/>
          <w:szCs w:val="20"/>
          <w:color w:val="auto"/>
        </w:rPr>
      </w:pPr>
      <w:r>
        <w:rPr>
          <w:rFonts w:ascii="Times New Roman" w:cs="Times New Roman" w:eastAsia="Times New Roman" w:hAnsi="Times New Roman"/>
          <w:sz w:val="14"/>
          <w:szCs w:val="14"/>
          <w:color w:val="auto"/>
        </w:rPr>
        <w:t>Because the Arculus Cold Storage Wallet may facilitate purchase and swap transactions in digital assets which could be classified as "securities," our business may be subject to additional risk because such digital assets are subject to heightened scrutiny including under customer protection, anti-money laundering, counter terrorism financing and sanctions regulations. To the extent the Arculus Cold Storage Wallet supports purchase and swap transactions in any digital assets that are deemed to be securities under any of the laws of the U.S. or another jurisdiction , or in a proceeding in a court of law or otherwise, it may have adverse consequences. To counter such risks, we may have to remove Arculus Cold Storage Wallet support for purchase and swap transactions in certain digital assets if and when such digital assets are designated as securities, which could hurt our business. Alternatively, we may be required to partner with third-party registered securities broker/dealers to facilitate securities trading by Arculus customers, and we may be unsuccessful in efforts to establish such a partnership.</w:t>
      </w:r>
    </w:p>
    <w:p>
      <w:pPr>
        <w:spacing w:after="0" w:line="166" w:lineRule="exact"/>
        <w:rPr>
          <w:sz w:val="20"/>
          <w:szCs w:val="20"/>
          <w:color w:val="auto"/>
        </w:rPr>
      </w:pPr>
    </w:p>
    <w:p>
      <w:pPr>
        <w:ind w:right="140" w:firstLine="508"/>
        <w:spacing w:after="0"/>
        <w:rPr>
          <w:sz w:val="20"/>
          <w:szCs w:val="20"/>
          <w:color w:val="auto"/>
        </w:rPr>
      </w:pPr>
      <w:r>
        <w:rPr>
          <w:rFonts w:ascii="Times New Roman" w:cs="Times New Roman" w:eastAsia="Times New Roman" w:hAnsi="Times New Roman"/>
          <w:sz w:val="14"/>
          <w:szCs w:val="14"/>
          <w:color w:val="auto"/>
        </w:rPr>
        <w:t>In addition, we do not presently intend to effect or otherwise facilitate trading in securities by our Arculus customers through the use of our Arculus Cold Storage Wallet if such activities would require the use of a registered broker-dealer or investment adviser. Although we are establishing policies and procedures to ensure that our Arculus business activities do not result in us inadvertently acting as an unregistered broker-dealer or investment adviser, there can be no assurance that such policies and procedures will be effective. If we are found by relevant regulatory agencies to have inadvertently acted as an unregistered broker-dealer with respect to purchase and swap transactions in particular digital assets, we would expect to immediately cease supporting purchase and swap transactions in those digital assets unless and until either the digital asset at issue is determined by the SEC or a judicial ruling to not be a security or we partner with a third-party registered broker-dealer or investment adviser, acquire a registered broker-dealer or investment adviser or register the Company as a securities broker-dealer or investment adviser, any of which we may elect not to do or may not be successful in doing. For any period of time during which we are found to have inadvertently acted as an unregistered broker-dealer or investment adviser, we could be subject to, among other things, regulatory enforcement actions, monetary fines, censure, restrictions on the conduct of our Arculus business operations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168" w:lineRule="exact"/>
        <w:rPr>
          <w:sz w:val="20"/>
          <w:szCs w:val="20"/>
          <w:color w:val="auto"/>
        </w:rPr>
      </w:pPr>
    </w:p>
    <w:p>
      <w:pPr>
        <w:ind w:right="40" w:firstLine="508"/>
        <w:spacing w:after="0" w:line="269" w:lineRule="auto"/>
        <w:rPr>
          <w:sz w:val="20"/>
          <w:szCs w:val="20"/>
          <w:color w:val="auto"/>
        </w:rPr>
      </w:pPr>
      <w:r>
        <w:rPr>
          <w:rFonts w:ascii="Times New Roman" w:cs="Times New Roman" w:eastAsia="Times New Roman" w:hAnsi="Times New Roman"/>
          <w:sz w:val="14"/>
          <w:szCs w:val="14"/>
          <w:color w:val="auto"/>
        </w:rPr>
        <w:t>We do not believe the storage and peer-to-peer/send &amp; receive functionality provided by the Arculus Cold Storage Wallet involves purchases, sales or other transactions effected by us (or any party other than the sender and the recipient). Further, we are not compensated for such user-directed activities. However, it is possible that regulators may determine that user-directed peer-to-peer transfers using the Arculus Cold Storage Wallet would require registration and compliance with broker-dealer and/or securities exchange regulations.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Regulatory Risks of Operating as an Unregistered Exchange or as Part of an Unregistered Exchange Mechanism</w:t>
      </w:r>
    </w:p>
    <w:p>
      <w:pPr>
        <w:spacing w:after="0" w:line="190" w:lineRule="exact"/>
        <w:rPr>
          <w:sz w:val="20"/>
          <w:szCs w:val="20"/>
          <w:color w:val="auto"/>
        </w:rPr>
      </w:pPr>
    </w:p>
    <w:p>
      <w:pPr>
        <w:ind w:firstLine="508"/>
        <w:spacing w:after="0"/>
        <w:rPr>
          <w:sz w:val="20"/>
          <w:szCs w:val="20"/>
          <w:color w:val="auto"/>
        </w:rPr>
      </w:pPr>
      <w:r>
        <w:rPr>
          <w:rFonts w:ascii="Times New Roman" w:cs="Times New Roman" w:eastAsia="Times New Roman" w:hAnsi="Times New Roman"/>
          <w:sz w:val="14"/>
          <w:szCs w:val="14"/>
          <w:color w:val="auto"/>
        </w:rPr>
        <w:t>Any venue that brings together purchasers and sellers of digital asset which are characterized as securities in the United States is generally subject to registration as a national securities exchange, or must qualify for an exemption, such as by being operated by a registered broker-dealer as an alternative trading system (or ATS). To the extent that any venue accessed via the Arculus Cold Storage Wallet is not so registered (or appropriately exempt), we may be unable to permit continued support for purchase and swap transactions for digital assets which become subject to characterization as securities and due to operation of an unregistered exchange or as part of an unregistered exchange mechanism, we could be subject to significant monetary penalties, censure or other actions that may have a material and adverse effect on us. While we do not believe that the Arculus Cold Storage Wallet, which facilitates purchase and swap transactions in certain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digital assets or otherwise limit or modify Arculus Cold Storage Wallet functionality or access. In September 2022, the SEC proposed a rule change concerning the definition of “exchange.” While it is not yet clear whether or in what form such proposed rule change may be adopted, it is possible that a change to the definition of “exchange” could result in regulators determining that the Arculus Cold Storage Wallet is functioning as a securities exchange or ATS or is part of an unregistered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44" w:name="page45"/>
    <w:bookmarkEnd w:id="44"/>
    <w:p>
      <w:pPr>
        <w:ind w:right="80"/>
        <w:spacing w:after="0" w:line="270" w:lineRule="auto"/>
        <w:rPr>
          <w:sz w:val="20"/>
          <w:szCs w:val="20"/>
          <w:color w:val="auto"/>
        </w:rPr>
      </w:pPr>
      <w:r>
        <w:rPr>
          <w:rFonts w:ascii="Times New Roman" w:cs="Times New Roman" w:eastAsia="Times New Roman" w:hAnsi="Times New Roman"/>
          <w:sz w:val="14"/>
          <w:szCs w:val="14"/>
          <w:color w:val="auto"/>
        </w:rPr>
        <w:t>mechanism, in which case, the potential registration requirements, or cessation, limitation or other modifications contemplated above could become necessary or advisable. Any such discontinuation, limitation or other modification could negatively impact our business, operating results,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safeguard against misappropriation or infringement of our intellectual property may adversely affect our business.</w:t>
      </w:r>
    </w:p>
    <w:p>
      <w:pPr>
        <w:spacing w:after="0" w:line="201" w:lineRule="exact"/>
        <w:rPr>
          <w:sz w:val="20"/>
          <w:szCs w:val="20"/>
          <w:color w:val="auto"/>
        </w:rPr>
      </w:pPr>
    </w:p>
    <w:p>
      <w:pPr>
        <w:ind w:right="40" w:firstLine="508"/>
        <w:spacing w:after="0" w:line="255" w:lineRule="auto"/>
        <w:rPr>
          <w:sz w:val="20"/>
          <w:szCs w:val="20"/>
          <w:color w:val="auto"/>
        </w:rPr>
      </w:pPr>
      <w:r>
        <w:rPr>
          <w:rFonts w:ascii="Times New Roman" w:cs="Times New Roman" w:eastAsia="Times New Roman" w:hAnsi="Times New Roman"/>
          <w:sz w:val="14"/>
          <w:szCs w:val="14"/>
          <w:color w:val="auto"/>
        </w:rPr>
        <w:t>Our patents, trade secrets and other intellectual property rights are critical to our business. Our ability to safeguard our proprietary product designs and production processes against misappropriation by third parties is necessary to maintain 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substantial costs because of litigation or other proceedings relating to patents and other intellectual property rights.</w:t>
      </w:r>
    </w:p>
    <w:p>
      <w:pPr>
        <w:spacing w:after="0" w:line="201" w:lineRule="exact"/>
        <w:rPr>
          <w:sz w:val="20"/>
          <w:szCs w:val="20"/>
          <w:color w:val="auto"/>
        </w:rPr>
      </w:pPr>
    </w:p>
    <w:p>
      <w:pPr>
        <w:ind w:right="80" w:firstLine="508"/>
        <w:spacing w:after="0" w:line="257" w:lineRule="auto"/>
        <w:rPr>
          <w:sz w:val="20"/>
          <w:szCs w:val="20"/>
          <w:color w:val="auto"/>
        </w:rPr>
      </w:pPr>
      <w:r>
        <w:rPr>
          <w:rFonts w:ascii="Times New Roman" w:cs="Times New Roman" w:eastAsia="Times New Roman" w:hAnsi="Times New Roman"/>
          <w:sz w:val="14"/>
          <w:szCs w:val="14"/>
          <w:color w:val="auto"/>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 intellectual property use infringes the rights of third parties. Any such litigation or other proceedings could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Production quality and manufacturing process disruptions could adversely affect our business.</w:t>
      </w:r>
    </w:p>
    <w:p>
      <w:pPr>
        <w:spacing w:after="0" w:line="201" w:lineRule="exact"/>
        <w:rPr>
          <w:sz w:val="20"/>
          <w:szCs w:val="20"/>
          <w:color w:val="auto"/>
        </w:rPr>
      </w:pPr>
    </w:p>
    <w:p>
      <w:pPr>
        <w:ind w:firstLine="508"/>
        <w:spacing w:after="0" w:line="260" w:lineRule="auto"/>
        <w:rPr>
          <w:sz w:val="20"/>
          <w:szCs w:val="20"/>
          <w:color w:val="auto"/>
        </w:rPr>
      </w:pPr>
      <w:r>
        <w:rPr>
          <w:rFonts w:ascii="Times New Roman" w:cs="Times New Roman" w:eastAsia="Times New Roman" w:hAnsi="Times New Roman"/>
          <w:sz w:val="14"/>
          <w:szCs w:val="14"/>
          <w:color w:val="auto"/>
        </w:rPr>
        <w:t>Our products and our technological processes are highly complex, require specialized equipment to manufacture and are subject to strict tolerances and requirements. We have experienced in the past, and may experience in the future,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certain distribution partners for distribution of our products and services. A loss of distribution partners could adversely affect our business.</w:t>
      </w:r>
    </w:p>
    <w:p>
      <w:pPr>
        <w:spacing w:after="0" w:line="201" w:lineRule="exact"/>
        <w:rPr>
          <w:sz w:val="20"/>
          <w:szCs w:val="20"/>
          <w:color w:val="auto"/>
        </w:rPr>
      </w:pPr>
    </w:p>
    <w:p>
      <w:pPr>
        <w:ind w:right="100" w:firstLine="508"/>
        <w:spacing w:after="0" w:line="269" w:lineRule="auto"/>
        <w:rPr>
          <w:sz w:val="20"/>
          <w:szCs w:val="20"/>
          <w:color w:val="auto"/>
        </w:rPr>
      </w:pPr>
      <w:r>
        <w:rPr>
          <w:rFonts w:ascii="Times New Roman" w:cs="Times New Roman" w:eastAsia="Times New Roman" w:hAnsi="Times New Roman"/>
          <w:sz w:val="14"/>
          <w:szCs w:val="14"/>
          <w:color w:val="auto"/>
        </w:rPr>
        <w:t>A small number of distribution partners currently deliver a significant percentage of our products and services to customers. We intend to continue devoting resources in support of our distribution partners, but there are 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competition that may result in a loss of our market share and/or a decline in profitability.</w:t>
      </w:r>
    </w:p>
    <w:p>
      <w:pPr>
        <w:spacing w:after="0" w:line="201" w:lineRule="exact"/>
        <w:rPr>
          <w:sz w:val="20"/>
          <w:szCs w:val="20"/>
          <w:color w:val="auto"/>
        </w:rPr>
      </w:pPr>
    </w:p>
    <w:p>
      <w:pPr>
        <w:ind w:firstLine="508"/>
        <w:spacing w:after="0" w:line="255" w:lineRule="auto"/>
        <w:rPr>
          <w:sz w:val="20"/>
          <w:szCs w:val="20"/>
          <w:color w:val="auto"/>
        </w:rPr>
      </w:pPr>
      <w:r>
        <w:rPr>
          <w:rFonts w:ascii="Times New Roman" w:cs="Times New Roman" w:eastAsia="Times New Roman" w:hAnsi="Times New Roman"/>
          <w:sz w:val="14"/>
          <w:szCs w:val="14"/>
          <w:color w:val="auto"/>
        </w:rPr>
        <w:t>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and reduce gross margins. If we cannot sufficiently reduce our production costs or develop innovative technologies or products, we may not be able to compete effective in our product markets and maintain market share, which could adversely affect our business, financial condition and results of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long-lived assets represent a significant portion of our total assets, and their full value may never be realized.</w:t>
      </w:r>
    </w:p>
    <w:p>
      <w:pPr>
        <w:spacing w:after="0" w:line="184" w:lineRule="exact"/>
        <w:rPr>
          <w:sz w:val="20"/>
          <w:szCs w:val="20"/>
          <w:color w:val="auto"/>
        </w:rPr>
      </w:pPr>
    </w:p>
    <w:p>
      <w:pPr>
        <w:ind w:right="360" w:firstLine="508"/>
        <w:spacing w:after="0" w:line="286" w:lineRule="auto"/>
        <w:rPr>
          <w:sz w:val="20"/>
          <w:szCs w:val="20"/>
          <w:color w:val="auto"/>
        </w:rPr>
      </w:pPr>
      <w:r>
        <w:rPr>
          <w:rFonts w:ascii="Times New Roman" w:cs="Times New Roman" w:eastAsia="Times New Roman" w:hAnsi="Times New Roman"/>
          <w:sz w:val="14"/>
          <w:szCs w:val="14"/>
          <w:color w:val="auto"/>
        </w:rPr>
        <w:t>Our long-lived assets recorded as of March 31, 2024 were $31.6 million, representing approximately 15% of our total assets, of which we have recorded plant, equipment and leasehold improvements of $24.6 million, as our operations require significant investments in machinery and equipment.</w:t>
      </w:r>
    </w:p>
    <w:p>
      <w:pPr>
        <w:spacing w:after="0" w:line="145" w:lineRule="exact"/>
        <w:rPr>
          <w:sz w:val="20"/>
          <w:szCs w:val="20"/>
          <w:color w:val="auto"/>
        </w:rPr>
      </w:pPr>
    </w:p>
    <w:p>
      <w:pPr>
        <w:ind w:right="100" w:firstLine="508"/>
        <w:spacing w:after="0" w:line="263" w:lineRule="auto"/>
        <w:rPr>
          <w:sz w:val="20"/>
          <w:szCs w:val="20"/>
          <w:color w:val="auto"/>
        </w:rPr>
      </w:pPr>
      <w:r>
        <w:rPr>
          <w:rFonts w:ascii="Times New Roman" w:cs="Times New Roman" w:eastAsia="Times New Roman" w:hAnsi="Times New Roman"/>
          <w:sz w:val="14"/>
          <w:szCs w:val="14"/>
          <w:color w:val="auto"/>
        </w:rPr>
        <w:t>We review other long-lived assets for impairment on an as-needed basis and when circumstances, alterations, or other events indicate that an asset group or carrying amount of an asset may not be recoverable. Examples of these other long-lived assets include intangible but identifiable assets and plant, equipment, and leasehold improvements. Such write-downs of long-lived assets may result from a drop in future expected cash flows and worsening performance, among other factors. If we must write-down long-lived assets, we record the appropriate charge, which may adversely affect our results of operations.</w:t>
      </w:r>
    </w:p>
    <w:p>
      <w:pPr>
        <w:spacing w:after="0" w:line="160"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failure to operate our business in compliance with the security standards of the payment card industry or other industry standards applicable to our customers, such as payment networks certification standards, could adversely affect our business.</w:t>
      </w:r>
    </w:p>
    <w:p>
      <w:pPr>
        <w:spacing w:after="0" w:line="143" w:lineRule="exact"/>
        <w:rPr>
          <w:sz w:val="20"/>
          <w:szCs w:val="20"/>
          <w:color w:val="auto"/>
        </w:rPr>
      </w:pPr>
    </w:p>
    <w:p>
      <w:pPr>
        <w:ind w:right="160" w:firstLine="508"/>
        <w:spacing w:after="0" w:line="269" w:lineRule="auto"/>
        <w:rPr>
          <w:sz w:val="20"/>
          <w:szCs w:val="20"/>
          <w:color w:val="auto"/>
        </w:rPr>
      </w:pPr>
      <w:r>
        <w:rPr>
          <w:rFonts w:ascii="Times New Roman" w:cs="Times New Roman" w:eastAsia="Times New Roman" w:hAnsi="Times New Roman"/>
          <w:sz w:val="14"/>
          <w:szCs w:val="14"/>
          <w:color w:val="auto"/>
        </w:rPr>
        <w:t>Many of our customers issue their cards on the payment networks that are subject to the security standards of the payment card industry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spacing w:after="0" w:line="157" w:lineRule="exact"/>
        <w:rPr>
          <w:sz w:val="20"/>
          <w:szCs w:val="20"/>
          <w:color w:val="auto"/>
        </w:rPr>
      </w:pPr>
    </w:p>
    <w:p>
      <w:pPr>
        <w:ind w:firstLine="508"/>
        <w:spacing w:after="0" w:line="259" w:lineRule="auto"/>
        <w:rPr>
          <w:sz w:val="20"/>
          <w:szCs w:val="20"/>
          <w:color w:val="auto"/>
        </w:rPr>
      </w:pPr>
      <w:r>
        <w:rPr>
          <w:rFonts w:ascii="Times New Roman" w:cs="Times New Roman" w:eastAsia="Times New Roman" w:hAnsi="Times New Roman"/>
          <w:sz w:val="14"/>
          <w:szCs w:val="14"/>
          <w:color w:val="auto"/>
        </w:rPr>
        <w:t>We make significant investments to our facilities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payment card industry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consumers and businesses spend less, our business, operation outcomes, and financial state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758" w:right="339" w:bottom="1440" w:gutter="0" w:footer="0" w:header="0"/>
        </w:sectPr>
      </w:pPr>
    </w:p>
    <w:bookmarkStart w:id="46" w:name="page47"/>
    <w:bookmarkEnd w:id="46"/>
    <w:p>
      <w:pPr>
        <w:ind w:right="180" w:firstLine="508"/>
        <w:spacing w:after="0" w:line="260" w:lineRule="auto"/>
        <w:rPr>
          <w:sz w:val="20"/>
          <w:szCs w:val="20"/>
          <w:color w:val="auto"/>
        </w:rPr>
      </w:pPr>
      <w:r>
        <w:rPr>
          <w:rFonts w:ascii="Times New Roman" w:cs="Times New Roman" w:eastAsia="Times New Roman" w:hAnsi="Times New Roman"/>
          <w:sz w:val="14"/>
          <w:szCs w:val="14"/>
          <w:color w:val="auto"/>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 issue credit cards. Such conditions and potential outcomes could adversely affect our financial performance, business,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liability and warranty claims and their associated costs may adversely affect our business.</w:t>
      </w:r>
    </w:p>
    <w:p>
      <w:pPr>
        <w:spacing w:after="0" w:line="201" w:lineRule="exact"/>
        <w:rPr>
          <w:sz w:val="20"/>
          <w:szCs w:val="20"/>
          <w:color w:val="auto"/>
        </w:rPr>
      </w:pPr>
    </w:p>
    <w:p>
      <w:pPr>
        <w:ind w:right="40" w:firstLine="508"/>
        <w:spacing w:after="0" w:line="257" w:lineRule="auto"/>
        <w:rPr>
          <w:sz w:val="20"/>
          <w:szCs w:val="20"/>
          <w:color w:val="auto"/>
        </w:rPr>
      </w:pPr>
      <w:r>
        <w:rPr>
          <w:rFonts w:ascii="Times New Roman" w:cs="Times New Roman" w:eastAsia="Times New Roman" w:hAnsi="Times New Roman"/>
          <w:sz w:val="14"/>
          <w:szCs w:val="14"/>
          <w:color w:val="auto"/>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would be harmed and there could be a material adverse effect on our business, financial condition and results of operations if any of these risks materialize.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tariffs and other restrictions on imported goods are imposed by the U.S. government, our revenue and operations may be materially and adversely affected.</w:t>
      </w:r>
    </w:p>
    <w:p>
      <w:pPr>
        <w:spacing w:after="0" w:line="201" w:lineRule="exact"/>
        <w:rPr>
          <w:sz w:val="20"/>
          <w:szCs w:val="20"/>
          <w:color w:val="auto"/>
        </w:rPr>
      </w:pPr>
    </w:p>
    <w:p>
      <w:pPr>
        <w:ind w:right="40" w:firstLine="508"/>
        <w:spacing w:after="0" w:line="259" w:lineRule="auto"/>
        <w:rPr>
          <w:sz w:val="20"/>
          <w:szCs w:val="20"/>
          <w:color w:val="auto"/>
        </w:rPr>
      </w:pPr>
      <w:r>
        <w:rPr>
          <w:rFonts w:ascii="Times New Roman" w:cs="Times New Roman" w:eastAsia="Times New Roman" w:hAnsi="Times New Roman"/>
          <w:sz w:val="14"/>
          <w:szCs w:val="14"/>
          <w:color w:val="auto"/>
        </w:rPr>
        <w:t>A portion of the raw materials used by us to manufacture our products are obtained, directly or indirectly, from companies located outside of the United States. Recently, tariffs have been imposed on imports from certain countries outside of the United States.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and/or materially and adversely affect our business, financial condition and results of operations. These and future tariffs, as well as any other global trade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international sales subject us to additional risks that can adversely affect our business, operating results and financial condition.</w:t>
      </w:r>
    </w:p>
    <w:p>
      <w:pPr>
        <w:spacing w:after="0" w:line="201" w:lineRule="exact"/>
        <w:rPr>
          <w:sz w:val="20"/>
          <w:szCs w:val="20"/>
          <w:color w:val="auto"/>
        </w:rPr>
      </w:pPr>
    </w:p>
    <w:p>
      <w:pPr>
        <w:ind w:firstLine="508"/>
        <w:spacing w:after="0" w:line="269" w:lineRule="auto"/>
        <w:rPr>
          <w:sz w:val="20"/>
          <w:szCs w:val="20"/>
          <w:color w:val="auto"/>
        </w:rPr>
      </w:pPr>
      <w:r>
        <w:rPr>
          <w:rFonts w:ascii="Times New Roman" w:cs="Times New Roman" w:eastAsia="Times New Roman" w:hAnsi="Times New Roman"/>
          <w:sz w:val="14"/>
          <w:szCs w:val="14"/>
          <w:color w:val="auto"/>
        </w:rPr>
        <w:t>During each of 2023 and 2022, we derived 18% and 22% of our net sales from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international operations subject it to a variety of risks and challenges, including:</w:t>
      </w:r>
    </w:p>
    <w:p>
      <w:pPr>
        <w:spacing w:after="0" w:line="199" w:lineRule="exact"/>
        <w:rPr>
          <w:sz w:val="20"/>
          <w:szCs w:val="20"/>
          <w:color w:val="auto"/>
        </w:rPr>
      </w:pPr>
    </w:p>
    <w:p>
      <w:pPr>
        <w:ind w:left="700" w:hanging="187"/>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and related effect on our operating results;</w:t>
      </w:r>
    </w:p>
    <w:p>
      <w:pPr>
        <w:spacing w:after="0" w:line="22" w:lineRule="exact"/>
        <w:rPr>
          <w:rFonts w:ascii="Times New Roman" w:cs="Times New Roman" w:eastAsia="Times New Roman" w:hAnsi="Times New Roman"/>
          <w:sz w:val="14"/>
          <w:szCs w:val="14"/>
          <w:color w:val="auto"/>
        </w:rPr>
      </w:pPr>
    </w:p>
    <w:p>
      <w:pPr>
        <w:ind w:left="700" w:hanging="187"/>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geopolitical conditions, including wars, in each country or region;</w:t>
      </w:r>
    </w:p>
    <w:p>
      <w:pPr>
        <w:spacing w:after="0" w:line="8" w:lineRule="exact"/>
        <w:rPr>
          <w:rFonts w:ascii="Times New Roman" w:cs="Times New Roman" w:eastAsia="Times New Roman" w:hAnsi="Times New Roman"/>
          <w:sz w:val="14"/>
          <w:szCs w:val="14"/>
          <w:color w:val="auto"/>
        </w:rPr>
      </w:pPr>
    </w:p>
    <w:p>
      <w:pPr>
        <w:ind w:left="700" w:hanging="187"/>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Brexit; reduction in billings, foreign currency exchange rates, and trade with the EU;</w:t>
      </w:r>
    </w:p>
    <w:p>
      <w:pPr>
        <w:spacing w:after="0" w:line="8" w:lineRule="exact"/>
        <w:rPr>
          <w:rFonts w:ascii="Times New Roman" w:cs="Times New Roman" w:eastAsia="Times New Roman" w:hAnsi="Times New Roman"/>
          <w:sz w:val="14"/>
          <w:szCs w:val="14"/>
          <w:color w:val="auto"/>
        </w:rPr>
      </w:pPr>
    </w:p>
    <w:p>
      <w:pPr>
        <w:ind w:left="700" w:hanging="187"/>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 widespread outbreak of an illness or disease, or any other public health crisis;</w:t>
      </w:r>
    </w:p>
    <w:p>
      <w:pPr>
        <w:spacing w:after="0" w:line="8" w:lineRule="exact"/>
        <w:rPr>
          <w:rFonts w:ascii="Times New Roman" w:cs="Times New Roman" w:eastAsia="Times New Roman" w:hAnsi="Times New Roman"/>
          <w:sz w:val="14"/>
          <w:szCs w:val="14"/>
          <w:color w:val="auto"/>
        </w:rPr>
      </w:pPr>
    </w:p>
    <w:p>
      <w:pPr>
        <w:ind w:left="700" w:hanging="187"/>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uncertainty around the world; and</w:t>
      </w:r>
    </w:p>
    <w:p>
      <w:pPr>
        <w:spacing w:after="0" w:line="8" w:lineRule="exact"/>
        <w:rPr>
          <w:rFonts w:ascii="Times New Roman" w:cs="Times New Roman" w:eastAsia="Times New Roman" w:hAnsi="Times New Roman"/>
          <w:sz w:val="14"/>
          <w:szCs w:val="14"/>
          <w:color w:val="auto"/>
        </w:rPr>
      </w:pPr>
    </w:p>
    <w:p>
      <w:pPr>
        <w:ind w:left="700" w:hanging="187"/>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U.S. laws and regulations imposed by other countries on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47" w:name="page48"/>
    <w:bookmarkEnd w:id="47"/>
    <w:p>
      <w:pPr>
        <w:ind w:left="1020"/>
        <w:spacing w:after="0"/>
        <w:rPr>
          <w:sz w:val="20"/>
          <w:szCs w:val="20"/>
          <w:color w:val="auto"/>
        </w:rPr>
      </w:pPr>
      <w:r>
        <w:rPr>
          <w:rFonts w:ascii="Times New Roman" w:cs="Times New Roman" w:eastAsia="Times New Roman" w:hAnsi="Times New Roman"/>
          <w:sz w:val="14"/>
          <w:szCs w:val="14"/>
          <w:color w:val="auto"/>
        </w:rPr>
        <w:t>including the Foreign Corrupt Practices Act, the U.K. Bribery Act, import and export control laws,</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tariffs, trade barriers, economic sanctions and other regulatory or contractual limitations on our</w:t>
      </w:r>
    </w:p>
    <w:p>
      <w:pPr>
        <w:spacing w:after="0" w:line="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ability to sell our products in certain foreign markets, and the risks and costs of non-compliance.</w:t>
      </w:r>
    </w:p>
    <w:p>
      <w:pPr>
        <w:spacing w:after="0" w:line="174" w:lineRule="exact"/>
        <w:rPr>
          <w:sz w:val="20"/>
          <w:szCs w:val="20"/>
          <w:color w:val="auto"/>
        </w:rPr>
      </w:pPr>
    </w:p>
    <w:p>
      <w:pPr>
        <w:ind w:firstLine="508"/>
        <w:spacing w:after="0" w:line="243" w:lineRule="auto"/>
        <w:rPr>
          <w:sz w:val="20"/>
          <w:szCs w:val="20"/>
          <w:color w:val="auto"/>
        </w:rPr>
      </w:pPr>
      <w:r>
        <w:rPr>
          <w:rFonts w:ascii="Times New Roman" w:cs="Times New Roman" w:eastAsia="Times New Roman" w:hAnsi="Times New Roman"/>
          <w:sz w:val="14"/>
          <w:szCs w:val="14"/>
          <w:color w:val="auto"/>
        </w:rPr>
        <w:t>For example, in response to the rapidly developing conflict between Russia and Ukraine, the United States has imposed and may further impose, and other countries may additionally impose, broad sanctions or other restrictive actions against governmental and other entities in Russia. We presently produce metal credit cards for a distributor that distributes such cards for resale by a Russian-based bank. While the existing sanctions do not currently prohibit the production and sale of our metal credit cards to this customer, additional sanctions may be imposed in the future that could prevent us from selling to this customer or other customers in the affected regions. Additionally, further escalation of geopolitical tensions, such as the ongoing conflict in Israel, Gaza and the surrounding areas, could have a broader impact that extends into other markets where we do business. Any of these risks could adversely affect our international sales, reduce our international revenues or increase our operating costs, adversely affecting our business, financial condition and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licensing arrangements in production and other fields, and actions taken by any of our licensing partners could have a material adverse effect on our business.</w:t>
      </w:r>
    </w:p>
    <w:p>
      <w:pPr>
        <w:spacing w:after="0" w:line="201" w:lineRule="exact"/>
        <w:rPr>
          <w:sz w:val="20"/>
          <w:szCs w:val="20"/>
          <w:color w:val="auto"/>
        </w:rPr>
      </w:pPr>
    </w:p>
    <w:p>
      <w:pPr>
        <w:ind w:right="80" w:firstLine="508"/>
        <w:spacing w:after="0" w:line="260" w:lineRule="auto"/>
        <w:rPr>
          <w:sz w:val="20"/>
          <w:szCs w:val="20"/>
          <w:color w:val="auto"/>
        </w:rPr>
      </w:pPr>
      <w:r>
        <w:rPr>
          <w:rFonts w:ascii="Times New Roman" w:cs="Times New Roman" w:eastAsia="Times New Roman" w:hAnsi="Times New Roman"/>
          <w:sz w:val="14"/>
          <w:szCs w:val="14"/>
          <w:color w:val="auto"/>
        </w:rPr>
        <w:t>Some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adoption of new tax legislation could affect our financial performance.</w:t>
      </w:r>
    </w:p>
    <w:p>
      <w:pPr>
        <w:spacing w:after="0" w:line="201" w:lineRule="exact"/>
        <w:rPr>
          <w:sz w:val="20"/>
          <w:szCs w:val="20"/>
          <w:color w:val="auto"/>
        </w:rPr>
      </w:pPr>
    </w:p>
    <w:p>
      <w:pPr>
        <w:ind w:right="40" w:firstLine="508"/>
        <w:spacing w:after="0" w:line="263" w:lineRule="auto"/>
        <w:rPr>
          <w:sz w:val="20"/>
          <w:szCs w:val="20"/>
          <w:color w:val="auto"/>
        </w:rPr>
      </w:pPr>
      <w:r>
        <w:rPr>
          <w:rFonts w:ascii="Times New Roman" w:cs="Times New Roman" w:eastAsia="Times New Roman" w:hAnsi="Times New Roman"/>
          <w:sz w:val="14"/>
          <w:szCs w:val="14"/>
          <w:color w:val="auto"/>
        </w:rPr>
        <w:t>We are subject to income and other taxes in the United States. Our effective tax rate in the future could be adversely affected by changes in tax laws. More generally, it is possible that U.S. federal income or other tax laws or the interpretation of tax laws will change. For example, the Biden Administration has proposed an increase in the U.S. corporate income tax rate and a minimum corporate tax based on book income. It is difficult to predict whether and when there will be tax law changes having a material adverse effect on our business, financial condition, results of operations and cash flows.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the Tax Receivable Agreement</w:t>
      </w:r>
    </w:p>
    <w:p>
      <w:pPr>
        <w:spacing w:after="0" w:line="19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only significant asset is our ownership interest in Holdings and such ownership may not be sufficient to pay dividends or make distributions or loans to enable us to pay any dividends on our Common Stock or satisfy our other financial obligations, including our obligations under the Tax Receivable Agreement.</w:t>
      </w:r>
    </w:p>
    <w:p>
      <w:pPr>
        <w:spacing w:after="0" w:line="143" w:lineRule="exact"/>
        <w:rPr>
          <w:sz w:val="20"/>
          <w:szCs w:val="20"/>
          <w:color w:val="auto"/>
        </w:rPr>
      </w:pPr>
    </w:p>
    <w:p>
      <w:pPr>
        <w:ind w:right="100" w:firstLine="508"/>
        <w:spacing w:after="0" w:line="260" w:lineRule="auto"/>
        <w:rPr>
          <w:sz w:val="20"/>
          <w:szCs w:val="20"/>
          <w:color w:val="auto"/>
        </w:rPr>
      </w:pPr>
      <w:r>
        <w:rPr>
          <w:rFonts w:ascii="Times New Roman" w:cs="Times New Roman" w:eastAsia="Times New Roman" w:hAnsi="Times New Roman"/>
          <w:sz w:val="14"/>
          <w:szCs w:val="14"/>
          <w:color w:val="auto"/>
        </w:rPr>
        <w:t>We have no direct operations and no significant assets other than our ownership interest in Holdings. We will depend on Holdings for distributions, loans and other payments to generate the funds necessary to meet our financial obligations, including our expenses as a publicly traded company, to pay any dividends with respect to our Common Stock, and to satisfy our obligations under the Tax Receivable Agreement.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Common Stock or satisfy our other financial obligations, including our obligations under the Tax Receivable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required to pay certain Holders for most of the benefits relating to any additional tax depreciation or amortization deductions that we may claim.</w:t>
      </w:r>
    </w:p>
    <w:p>
      <w:pPr>
        <w:spacing w:after="0" w:line="201" w:lineRule="exact"/>
        <w:rPr>
          <w:sz w:val="20"/>
          <w:szCs w:val="20"/>
          <w:color w:val="auto"/>
        </w:rPr>
      </w:pPr>
    </w:p>
    <w:p>
      <w:pPr>
        <w:ind w:right="420" w:firstLine="508"/>
        <w:spacing w:after="0" w:line="263" w:lineRule="auto"/>
        <w:rPr>
          <w:sz w:val="20"/>
          <w:szCs w:val="20"/>
          <w:color w:val="auto"/>
        </w:rPr>
      </w:pPr>
      <w:r>
        <w:rPr>
          <w:rFonts w:ascii="Times New Roman" w:cs="Times New Roman" w:eastAsia="Times New Roman" w:hAnsi="Times New Roman"/>
          <w:sz w:val="14"/>
          <w:szCs w:val="14"/>
          <w:color w:val="auto"/>
        </w:rPr>
        <w:t>In connection with the merger with Roman DBDR Tech Acquisition Corp. ("Roman") completed in December 2021 (the "Business Combination"), we entered into the Tax Receivable Agreement with Holdings and the TRA Parties (as defined therein). The Tax Receivable Agreement provides for the payment by us to certain Holders of 90% of the benefits, if any, that we are deemed to realize (calculated using certain assumptions) as a result of (i) our allocable share of existing tax basis in the assets of Holdings and its subsidiaries acquired (A) in the Business Combination and (B) upon sales or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48" w:name="page49"/>
    <w:bookmarkEnd w:id="48"/>
    <w:p>
      <w:pPr>
        <w:spacing w:after="0" w:line="254" w:lineRule="auto"/>
        <w:rPr>
          <w:sz w:val="20"/>
          <w:szCs w:val="20"/>
          <w:color w:val="auto"/>
        </w:rPr>
      </w:pPr>
      <w:r>
        <w:rPr>
          <w:rFonts w:ascii="Times New Roman" w:cs="Times New Roman" w:eastAsia="Times New Roman" w:hAnsi="Times New Roman"/>
          <w:sz w:val="14"/>
          <w:szCs w:val="14"/>
          <w:color w:val="auto"/>
        </w:rPr>
        <w:t>exchanges of Holdings Units pursuant to the Exchange Agreement after the Business Combination, (ii) certain increases in tax basis that occur as a result of (A) 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Receivable Agreement, including the use of an assumed weighted- average state and local income tax rate to calculate tax benefits. The payment obligations under the Tax Receivable Agreement are an obligation of ours, but not of Holdings.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Holdings, Inc. may make under the Tax Receivable Agreement will be substantial. The payments under the Tax Receivable Agreement are not conditioned upon continued ownership of us by the exchanging holders of Class B Units. See “Certain Relationships and Related Person Transactions of the Company — Tax Receivable Agreement.”</w:t>
      </w:r>
    </w:p>
    <w:p>
      <w:pPr>
        <w:spacing w:after="0" w:line="1"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60" w:lineRule="exact"/>
        <w:rPr>
          <w:sz w:val="20"/>
          <w:szCs w:val="20"/>
          <w:color w:val="auto"/>
        </w:rPr>
      </w:pPr>
    </w:p>
    <w:p>
      <w:pPr>
        <w:ind w:right="60" w:firstLine="508"/>
        <w:spacing w:after="0" w:line="255" w:lineRule="auto"/>
        <w:rPr>
          <w:sz w:val="20"/>
          <w:szCs w:val="20"/>
          <w:color w:val="auto"/>
        </w:rPr>
      </w:pPr>
      <w:r>
        <w:rPr>
          <w:rFonts w:ascii="Times New Roman" w:cs="Times New Roman" w:eastAsia="Times New Roman" w:hAnsi="Times New Roman"/>
          <w:sz w:val="14"/>
          <w:szCs w:val="14"/>
          <w:color w:val="auto"/>
        </w:rPr>
        <w:t>Our payment obligations under the Tax Receivable Agreement may be accelerated in the event of certain changes of control and will be accelerated in the event it elects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the lesser of (i) 6.5% per annum and (ii) one year LIBOR (as defined below), or its successor rate, plus 100 basis points) of all future payments that holders of Holdings Class B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 could be in excess of 90% of our actual cash tax benefits.</w:t>
      </w:r>
    </w:p>
    <w:p>
      <w:pPr>
        <w:spacing w:after="0" w:line="169" w:lineRule="exact"/>
        <w:rPr>
          <w:sz w:val="20"/>
          <w:szCs w:val="20"/>
          <w:color w:val="auto"/>
        </w:rPr>
      </w:pPr>
    </w:p>
    <w:p>
      <w:pPr>
        <w:ind w:firstLine="508"/>
        <w:spacing w:after="0" w:line="259" w:lineRule="auto"/>
        <w:rPr>
          <w:sz w:val="20"/>
          <w:szCs w:val="20"/>
          <w:color w:val="auto"/>
        </w:rPr>
      </w:pPr>
      <w:r>
        <w:rPr>
          <w:rFonts w:ascii="Times New Roman" w:cs="Times New Roman" w:eastAsia="Times New Roman" w:hAnsi="Times New Roman"/>
          <w:sz w:val="14"/>
          <w:szCs w:val="14"/>
          <w:color w:val="auto"/>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9" w:name="page50"/>
    <w:bookmarkEnd w:id="49"/>
    <w:p>
      <w:pPr>
        <w:ind w:right="1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43" w:lineRule="exact"/>
        <w:rPr>
          <w:sz w:val="20"/>
          <w:szCs w:val="20"/>
          <w:color w:val="auto"/>
        </w:rPr>
      </w:pPr>
    </w:p>
    <w:p>
      <w:pPr>
        <w:jc w:val="both"/>
        <w:ind w:right="160" w:firstLine="508"/>
        <w:spacing w:after="0" w:line="263" w:lineRule="auto"/>
        <w:rPr>
          <w:sz w:val="20"/>
          <w:szCs w:val="20"/>
          <w:color w:val="auto"/>
        </w:rPr>
      </w:pPr>
      <w:r>
        <w:rPr>
          <w:rFonts w:ascii="Times New Roman" w:cs="Times New Roman" w:eastAsia="Times New Roman" w:hAnsi="Times New Roman"/>
          <w:sz w:val="14"/>
          <w:szCs w:val="14"/>
          <w:color w:val="auto"/>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In certain circumstances, Holdings will be required to make pro rata distributions to both the Class A and Class B unit holders with respect to the taxes of its holders, and the distributions that Holdings will be required to make may be substantial and in excess of our tax liabilities and obligations under the Tax Receivable Agreement. To the extent we do not distribute such excess cash to the holders of our Class A Common Stock or contribute such excess cash to Holdings in exchange for the issuance of additional Class A Units and a corresponding stock dividend of Class A Common Stock to the holders of our Class A Common Stock, the holders of Class B Units of Holdings would benefit from any value attributable to such cash balances as a result of their ownership of Class A Common Stock following an exchange of their Class B Units.</w:t>
      </w:r>
    </w:p>
    <w:p>
      <w:pPr>
        <w:spacing w:after="0" w:line="164" w:lineRule="exact"/>
        <w:rPr>
          <w:sz w:val="20"/>
          <w:szCs w:val="20"/>
          <w:color w:val="auto"/>
        </w:rPr>
      </w:pPr>
    </w:p>
    <w:p>
      <w:pPr>
        <w:ind w:firstLine="508"/>
        <w:spacing w:after="0" w:line="254" w:lineRule="auto"/>
        <w:rPr>
          <w:sz w:val="20"/>
          <w:szCs w:val="20"/>
          <w:color w:val="auto"/>
        </w:rPr>
      </w:pPr>
      <w:r>
        <w:rPr>
          <w:rFonts w:ascii="Times New Roman" w:cs="Times New Roman" w:eastAsia="Times New Roman" w:hAnsi="Times New Roman"/>
          <w:sz w:val="14"/>
          <w:szCs w:val="14"/>
          <w:color w:val="auto"/>
        </w:rPr>
        <w:t>Holdings is treated as a partnership for U.S. federal income tax purposes and, as such, is not subject to any entity-level U.S. federal income tax. Instead, taxable income is allocated to holders of Holdings’ equity interests, including us. Accordingly, we incur income taxes on our allocable share of any net taxable income of Holdings. Under the Holdings Second Amended and Restated LLC Agreement, Holdings is generally required from time to time to make pro rata distributions in cash to us and the holders of Class B Units of Holdings in amounts that are intended to be sufficient to cover the taxes on our and the other holders of Class B Units of Holdings respective allocable shares of the taxable income of Holdings, based on certain assumptions contained in the Holdings Second Amended and Restated LLC Agreement. As a result of (i) potential differences in the amount of net taxable income allocable to us and the holders of Class B Units of Holdings, (ii) the lower tax rate applicable to corporations as compared to individuals and (iii) the favorable tax benefits that we anticipate receiving from acquisitions of Class B Units in connection with taxable exchanges of Class B Units for shares of our Class A Common Stock, we expect that these tax distributions will be in amounts that exceed our tax liabilities and obligations to make payments under the Tax Receivable Agreement. Our Board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exchange ratio of Class B Units for shares of Class A Common Stock will be made as a result of either (i) any cash distribution by Holdings or (ii) any cash that we retain and do not distribute to our stockholders. To the extent that we do not distribute such excess cash as dividends on our Class A Common Stock or contribute such excess cash to Holdings in exchange for the issuance of additional Class A Units and a corresponding stock dividend of Class A Common Stock to the holders of our Class A Common Stock, and instead, for example, hold such cash balances or lend them to Holdings, the holders of Class B Units of Holdings would benefit from any value attributable to such cash balances as a result of their ownership of Class A Common Stock following an exchange of their Class B Units.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substantial amount of indebtedness, which may limit our operating flexibility and could adversely affect our business, financial condition and results of operations.</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had approximately $340.3 million of indebtedness as of December 31, 2023, consisting of amounts outstanding under our senior secured credit facility and senior notes.</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indebtedness could have important consequences to our investors, including, but not limited to:</w:t>
      </w:r>
    </w:p>
    <w:p>
      <w:pPr>
        <w:spacing w:after="0" w:line="199" w:lineRule="exact"/>
        <w:rPr>
          <w:sz w:val="20"/>
          <w:szCs w:val="20"/>
          <w:color w:val="auto"/>
        </w:rPr>
      </w:pPr>
    </w:p>
    <w:p>
      <w:pPr>
        <w:ind w:left="760" w:hanging="247"/>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and reducing our flexibility to respond to, general adverse economic and industry conditions;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1" w:lineRule="exact"/>
        <w:rPr>
          <w:rFonts w:ascii="Times New Roman" w:cs="Times New Roman" w:eastAsia="Times New Roman" w:hAnsi="Times New Roman"/>
          <w:sz w:val="14"/>
          <w:szCs w:val="14"/>
          <w:color w:val="auto"/>
        </w:rPr>
      </w:pPr>
    </w:p>
    <w:p>
      <w:pPr>
        <w:ind w:left="5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58" w:right="319" w:bottom="1440" w:gutter="0" w:footer="0" w:header="0"/>
        </w:sectPr>
      </w:pPr>
    </w:p>
    <w:bookmarkStart w:id="50" w:name="page51"/>
    <w:bookmarkEnd w:id="50"/>
    <w:p>
      <w:pPr>
        <w:ind w:left="760" w:hanging="247"/>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dedication of a substantial portion of our cash flow from operations to servicing debt, including interest payments and annual excess cash flow prepayment obligations;</w:t>
      </w:r>
    </w:p>
    <w:p>
      <w:pPr>
        <w:spacing w:after="0" w:line="198" w:lineRule="exact"/>
        <w:rPr>
          <w:rFonts w:ascii="Times New Roman" w:cs="Times New Roman" w:eastAsia="Times New Roman" w:hAnsi="Times New Roman"/>
          <w:sz w:val="14"/>
          <w:szCs w:val="14"/>
          <w:color w:val="auto"/>
        </w:rPr>
      </w:pPr>
    </w:p>
    <w:p>
      <w:pPr>
        <w:ind w:left="760" w:hanging="247"/>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and the competitive environment; and</w:t>
      </w:r>
    </w:p>
    <w:p>
      <w:pPr>
        <w:spacing w:after="0" w:line="198" w:lineRule="exact"/>
        <w:rPr>
          <w:rFonts w:ascii="Times New Roman" w:cs="Times New Roman" w:eastAsia="Times New Roman" w:hAnsi="Times New Roman"/>
          <w:sz w:val="14"/>
          <w:szCs w:val="14"/>
          <w:color w:val="auto"/>
        </w:rPr>
      </w:pPr>
    </w:p>
    <w:p>
      <w:pPr>
        <w:ind w:left="760" w:hanging="247"/>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borrow additional funds and increasing the cost of any such borrowing.</w:t>
      </w:r>
    </w:p>
    <w:p>
      <w:pPr>
        <w:spacing w:after="0" w:line="199" w:lineRule="exact"/>
        <w:rPr>
          <w:sz w:val="20"/>
          <w:szCs w:val="20"/>
          <w:color w:val="auto"/>
        </w:rPr>
      </w:pPr>
    </w:p>
    <w:p>
      <w:pPr>
        <w:ind w:right="360" w:firstLine="508"/>
        <w:spacing w:after="0" w:line="269" w:lineRule="auto"/>
        <w:rPr>
          <w:sz w:val="20"/>
          <w:szCs w:val="20"/>
          <w:color w:val="auto"/>
        </w:rPr>
      </w:pPr>
      <w:r>
        <w:rPr>
          <w:rFonts w:ascii="Times New Roman" w:cs="Times New Roman" w:eastAsia="Times New Roman" w:hAnsi="Times New Roman"/>
          <w:sz w:val="14"/>
          <w:szCs w:val="14"/>
          <w:color w:val="auto"/>
        </w:rPr>
        <w:t>The interest rates in our credit facility are set based upon stated margins above lender’s base rate and the SOFR, an interest rate at which banks can borrow funds, which is subject to fluctuation. In addition, the interest rate margin applicable to our term loans and revolving loans can vary by one hundred (100) basis points depending on our total leverage ratio. An increase in interest rates would adversely affect our profitability.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Upon the occurrence of an event of default relating to our credit facility, the lenders could elect to accelerate payments due and terminate all commitments to extend further credit.</w:t>
      </w:r>
    </w:p>
    <w:p>
      <w:pPr>
        <w:spacing w:after="0" w:line="201" w:lineRule="exact"/>
        <w:rPr>
          <w:sz w:val="20"/>
          <w:szCs w:val="20"/>
          <w:color w:val="auto"/>
        </w:rPr>
      </w:pPr>
    </w:p>
    <w:p>
      <w:pPr>
        <w:jc w:val="both"/>
        <w:ind w:right="60" w:firstLine="508"/>
        <w:spacing w:after="0" w:line="269" w:lineRule="auto"/>
        <w:rPr>
          <w:sz w:val="20"/>
          <w:szCs w:val="20"/>
          <w:color w:val="auto"/>
        </w:rPr>
      </w:pPr>
      <w:r>
        <w:rPr>
          <w:rFonts w:ascii="Times New Roman" w:cs="Times New Roman" w:eastAsia="Times New Roman" w:hAnsi="Times New Roman"/>
          <w:sz w:val="14"/>
          <w:szCs w:val="14"/>
          <w:color w:val="auto"/>
        </w:rPr>
        <w:t>Under our credit facility,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spacing w:after="0" w:line="15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debt outstanding under our existing credit facility has a variable rate of interest that is based on the SOFR which may have consequences for us that cannot be reasonably predicted and may increase our cost of borrowing in the future.</w:t>
      </w:r>
    </w:p>
    <w:p>
      <w:pPr>
        <w:spacing w:after="0" w:line="143" w:lineRule="exact"/>
        <w:rPr>
          <w:sz w:val="20"/>
          <w:szCs w:val="20"/>
          <w:color w:val="auto"/>
        </w:rPr>
      </w:pPr>
    </w:p>
    <w:p>
      <w:pPr>
        <w:ind w:right="80" w:firstLine="508"/>
        <w:spacing w:after="0" w:line="263" w:lineRule="auto"/>
        <w:rPr>
          <w:sz w:val="20"/>
          <w:szCs w:val="20"/>
          <w:color w:val="auto"/>
        </w:rPr>
      </w:pPr>
      <w:r>
        <w:rPr>
          <w:rFonts w:ascii="Times New Roman" w:cs="Times New Roman" w:eastAsia="Times New Roman" w:hAnsi="Times New Roman"/>
          <w:sz w:val="14"/>
          <w:szCs w:val="14"/>
          <w:color w:val="auto"/>
        </w:rPr>
        <w:t>On February 28, 2023, we amended our credit facility to transition from bearing interest based on the London Interbank Offered Rate ("LIBOR") to SOFR. The future performance of SOFR cannot be predicted based on historical performance and the future level of SOFR may have little or no relation to historical levels of SOFR. Any patterns in market variable behaviors, such as correlations, may change in the future. Hypothetical or historical performance data are not indicative of, and have no bearing on, the potential performance of SOFR. The Company is not able to predict whether SOFR what the impact the transition to SOFR may be on the Company's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credit facility contains restrictive covenants that may impair our ability to conduct business.</w:t>
      </w:r>
    </w:p>
    <w:p>
      <w:pPr>
        <w:spacing w:after="0" w:line="201" w:lineRule="exact"/>
        <w:rPr>
          <w:sz w:val="20"/>
          <w:szCs w:val="20"/>
          <w:color w:val="auto"/>
        </w:rPr>
      </w:pPr>
    </w:p>
    <w:p>
      <w:pPr>
        <w:ind w:right="20" w:firstLine="508"/>
        <w:spacing w:after="0" w:line="258" w:lineRule="auto"/>
        <w:rPr>
          <w:sz w:val="20"/>
          <w:szCs w:val="20"/>
          <w:color w:val="auto"/>
        </w:rPr>
      </w:pPr>
      <w:r>
        <w:rPr>
          <w:rFonts w:ascii="Times New Roman" w:cs="Times New Roman" w:eastAsia="Times New Roman" w:hAnsi="Times New Roman"/>
          <w:sz w:val="14"/>
          <w:szCs w:val="14"/>
          <w:color w:val="auto"/>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that we will be able to obtain waivers from the lenders and/or amend the covenants, which may result in foreclosure of our assets.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Note 5 of Notes to Consolidated Financial Statements in the Unaudited Consolidated Financial Statements of the Company in this report for additional information.</w:t>
      </w:r>
    </w:p>
    <w:p>
      <w:pPr>
        <w:spacing w:after="0" w:line="19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guarantees of indebtedness and liabilities could limit the cash flow available for our operations, expose us to risks that could adversely affect our business, financial condition and results of operations and impair our ability to satisfy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950" w:right="339" w:bottom="1440" w:gutter="0" w:footer="0" w:header="0"/>
        </w:sectPr>
      </w:pPr>
    </w:p>
    <w:bookmarkStart w:id="51" w:name="page52"/>
    <w:bookmarkEnd w:id="51"/>
    <w:p>
      <w:pPr>
        <w:ind w:right="100" w:firstLine="508"/>
        <w:spacing w:after="0" w:line="269" w:lineRule="auto"/>
        <w:rPr>
          <w:sz w:val="20"/>
          <w:szCs w:val="20"/>
          <w:color w:val="auto"/>
        </w:rPr>
      </w:pPr>
      <w:r>
        <w:rPr>
          <w:rFonts w:ascii="Times New Roman" w:cs="Times New Roman" w:eastAsia="Times New Roman" w:hAnsi="Times New Roman"/>
          <w:sz w:val="14"/>
          <w:szCs w:val="14"/>
          <w:color w:val="auto"/>
        </w:rPr>
        <w:t>Holdings' notes are exchangeable into shares of our Class A Common Stock at an effective conversion price of $11.50 per share. The exchangeable notes are guaranteed by CompoSecure, L.L.C. Our guarantees of indebtedness could have significant negative consequences for our security holders, equity holders and our business, results of operations and financial condition by, among other things:</w:t>
      </w:r>
    </w:p>
    <w:p>
      <w:pPr>
        <w:spacing w:after="0" w:line="157" w:lineRule="exact"/>
        <w:rPr>
          <w:sz w:val="20"/>
          <w:szCs w:val="20"/>
          <w:color w:val="auto"/>
        </w:rPr>
      </w:pPr>
    </w:p>
    <w:p>
      <w:pPr>
        <w:ind w:left="500" w:hanging="241"/>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economic and industry conditions;</w:t>
      </w:r>
    </w:p>
    <w:p>
      <w:pPr>
        <w:spacing w:after="0" w:line="198" w:lineRule="exact"/>
        <w:rPr>
          <w:rFonts w:ascii="Times New Roman" w:cs="Times New Roman" w:eastAsia="Times New Roman" w:hAnsi="Times New Roman"/>
          <w:sz w:val="14"/>
          <w:szCs w:val="14"/>
          <w:color w:val="auto"/>
        </w:rPr>
      </w:pPr>
    </w:p>
    <w:p>
      <w:pPr>
        <w:ind w:left="500" w:hanging="241"/>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w:t>
      </w:r>
    </w:p>
    <w:p>
      <w:pPr>
        <w:spacing w:after="0" w:line="198" w:lineRule="exact"/>
        <w:rPr>
          <w:rFonts w:ascii="Times New Roman" w:cs="Times New Roman" w:eastAsia="Times New Roman" w:hAnsi="Times New Roman"/>
          <w:sz w:val="14"/>
          <w:szCs w:val="14"/>
          <w:color w:val="auto"/>
        </w:rPr>
      </w:pPr>
    </w:p>
    <w:p>
      <w:pPr>
        <w:ind w:left="500" w:hanging="241"/>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dedication of a substantial portion of our cash flow from operations to service our guarantees of indebtedness, which reduces the amount of cash available for other purposes;</w:t>
      </w:r>
    </w:p>
    <w:p>
      <w:pPr>
        <w:spacing w:after="0" w:line="198" w:lineRule="exact"/>
        <w:rPr>
          <w:rFonts w:ascii="Times New Roman" w:cs="Times New Roman" w:eastAsia="Times New Roman" w:hAnsi="Times New Roman"/>
          <w:sz w:val="14"/>
          <w:szCs w:val="14"/>
          <w:color w:val="auto"/>
        </w:rPr>
      </w:pPr>
    </w:p>
    <w:p>
      <w:pPr>
        <w:ind w:left="500" w:hanging="241"/>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to plan for, or react to, changes in our business;</w:t>
      </w:r>
    </w:p>
    <w:p>
      <w:pPr>
        <w:spacing w:after="0" w:line="198" w:lineRule="exact"/>
        <w:rPr>
          <w:rFonts w:ascii="Times New Roman" w:cs="Times New Roman" w:eastAsia="Times New Roman" w:hAnsi="Times New Roman"/>
          <w:sz w:val="14"/>
          <w:szCs w:val="14"/>
          <w:color w:val="auto"/>
        </w:rPr>
      </w:pPr>
    </w:p>
    <w:p>
      <w:pPr>
        <w:ind w:left="500" w:hanging="241"/>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diluting the interests of our stockholders as a result of the issuance shares of our Class A Common Stock upon conversion of the exchangeable notes; and</w:t>
      </w:r>
    </w:p>
    <w:p>
      <w:pPr>
        <w:spacing w:after="0" w:line="198" w:lineRule="exact"/>
        <w:rPr>
          <w:rFonts w:ascii="Times New Roman" w:cs="Times New Roman" w:eastAsia="Times New Roman" w:hAnsi="Times New Roman"/>
          <w:sz w:val="14"/>
          <w:szCs w:val="14"/>
          <w:color w:val="auto"/>
        </w:rPr>
      </w:pPr>
    </w:p>
    <w:p>
      <w:pPr>
        <w:ind w:left="500" w:hanging="241"/>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possible competitive disadvantage with competitors that are less leveraged than us or have better access to capital.</w:t>
      </w:r>
    </w:p>
    <w:p>
      <w:pPr>
        <w:spacing w:after="0" w:line="199" w:lineRule="exact"/>
        <w:rPr>
          <w:sz w:val="20"/>
          <w:szCs w:val="20"/>
          <w:color w:val="auto"/>
        </w:rPr>
      </w:pPr>
    </w:p>
    <w:p>
      <w:pPr>
        <w:ind w:firstLine="508"/>
        <w:spacing w:after="0" w:line="260" w:lineRule="auto"/>
        <w:rPr>
          <w:sz w:val="20"/>
          <w:szCs w:val="20"/>
          <w:color w:val="auto"/>
        </w:rPr>
      </w:pPr>
      <w:r>
        <w:rPr>
          <w:rFonts w:ascii="Times New Roman" w:cs="Times New Roman" w:eastAsia="Times New Roman" w:hAnsi="Times New Roman"/>
          <w:sz w:val="14"/>
          <w:szCs w:val="14"/>
          <w:color w:val="auto"/>
        </w:rPr>
        <w:t>Our business may not generate sufficient funds, and we may otherwise be unable to maintain sufficient cash reserves, to pay amounts that may become due under our guarantees of indebtedness, including in connection with the exchangeable notes, and our cash needs may increase in the future. In addition, any future indebtedness or guarantees of indebtedness that we may incur may contain financial and other restrictive covenants that limit our ability to operate our business, raise capital or make payments under our other indebtedness. If we fail to comply with these covenants or to make payments under our guarantees of indebtedness if and when due, then we could be in default under those guarantees of indebtedness, which could, in turn, result in that and our other indebtedness becoming immediately payable in full.</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General Risks Related to Ownership of our Securities</w:t>
      </w:r>
    </w:p>
    <w:p>
      <w:pPr>
        <w:spacing w:after="0" w:line="199"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only significant asset will be our ownership of our subsidiaries’ business. If the business of our subsidiaries is not profitably operated, we may be unable to pay us dividends or make distributions to enable us to pay any dividends on our common stock or satisfy our other financial obligations.</w:t>
      </w:r>
    </w:p>
    <w:p>
      <w:pPr>
        <w:spacing w:after="0" w:line="143" w:lineRule="exact"/>
        <w:rPr>
          <w:sz w:val="20"/>
          <w:szCs w:val="20"/>
          <w:color w:val="auto"/>
        </w:rPr>
      </w:pPr>
    </w:p>
    <w:p>
      <w:pPr>
        <w:ind w:right="120" w:firstLine="508"/>
        <w:spacing w:after="0" w:line="263" w:lineRule="auto"/>
        <w:rPr>
          <w:sz w:val="20"/>
          <w:szCs w:val="20"/>
          <w:color w:val="auto"/>
        </w:rPr>
      </w:pPr>
      <w:r>
        <w:rPr>
          <w:rFonts w:ascii="Times New Roman" w:cs="Times New Roman" w:eastAsia="Times New Roman" w:hAnsi="Times New Roman"/>
          <w:sz w:val="14"/>
          <w:szCs w:val="14"/>
          <w:color w:val="auto"/>
        </w:rPr>
        <w:t>CompoSecure, Inc. has no direct operations and no significant assets other than the ownership of its subsidiaries, which operate the Company’s business. CompoSecure, Inc. will depend on profits generated by its subsidiaries’ business for debt repayment and other payments to generate the funds necessary to meet its financial obligations, including its expenses as a publicly traded company, to pay any dividends with respect to its capital 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spacing w:after="0" w:line="160"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Charter and Delaware law may inhibit a takeover of us, which could limit the price investors might be willing to pay in the future for our Class A Common Stock and could entrench management.</w:t>
      </w:r>
    </w:p>
    <w:p>
      <w:pPr>
        <w:spacing w:after="0" w:line="143" w:lineRule="exact"/>
        <w:rPr>
          <w:sz w:val="20"/>
          <w:szCs w:val="20"/>
          <w:color w:val="auto"/>
        </w:rPr>
      </w:pPr>
    </w:p>
    <w:p>
      <w:pPr>
        <w:ind w:right="20" w:firstLine="508"/>
        <w:spacing w:after="0" w:line="269" w:lineRule="auto"/>
        <w:rPr>
          <w:sz w:val="20"/>
          <w:szCs w:val="20"/>
          <w:color w:val="auto"/>
        </w:rPr>
      </w:pPr>
      <w:r>
        <w:rPr>
          <w:rFonts w:ascii="Times New Roman" w:cs="Times New Roman" w:eastAsia="Times New Roman" w:hAnsi="Times New Roman"/>
          <w:sz w:val="14"/>
          <w:szCs w:val="14"/>
          <w:color w:val="auto"/>
        </w:rPr>
        <w:t>Our Charter contains provisions that may discourage unsolicited takeover proposals that stockholders may consider to be in their best interests. These provisions include the classification of our Board, the ability of our Board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57" w:lineRule="exact"/>
        <w:rPr>
          <w:sz w:val="20"/>
          <w:szCs w:val="20"/>
          <w:color w:val="auto"/>
        </w:rPr>
      </w:pPr>
    </w:p>
    <w:p>
      <w:pPr>
        <w:ind w:right="320" w:firstLine="508"/>
        <w:spacing w:after="0" w:line="286" w:lineRule="auto"/>
        <w:rPr>
          <w:sz w:val="20"/>
          <w:szCs w:val="20"/>
          <w:color w:val="auto"/>
        </w:rPr>
      </w:pPr>
      <w:r>
        <w:rPr>
          <w:rFonts w:ascii="Times New Roman" w:cs="Times New Roman" w:eastAsia="Times New Roman" w:hAnsi="Times New Roman"/>
          <w:sz w:val="14"/>
          <w:szCs w:val="14"/>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52" w:name="page53"/>
    <w:bookmarkEnd w:id="52"/>
    <w:p>
      <w:pPr>
        <w:ind w:left="500" w:hanging="241"/>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our Board approved either the business combination or the transaction that resulted in the stockholder becoming an interested stockholder;</w:t>
      </w:r>
    </w:p>
    <w:p>
      <w:pPr>
        <w:spacing w:after="0" w:line="198" w:lineRule="exact"/>
        <w:rPr>
          <w:rFonts w:ascii="Times New Roman" w:cs="Times New Roman" w:eastAsia="Times New Roman" w:hAnsi="Times New Roman"/>
          <w:sz w:val="14"/>
          <w:szCs w:val="14"/>
          <w:color w:val="auto"/>
        </w:rPr>
      </w:pPr>
    </w:p>
    <w:p>
      <w:pPr>
        <w:ind w:left="520" w:hanging="261"/>
        <w:spacing w:after="0" w:line="286"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45" w:lineRule="exact"/>
        <w:rPr>
          <w:rFonts w:ascii="Times New Roman" w:cs="Times New Roman" w:eastAsia="Times New Roman" w:hAnsi="Times New Roman"/>
          <w:sz w:val="14"/>
          <w:szCs w:val="14"/>
          <w:color w:val="auto"/>
        </w:rPr>
      </w:pPr>
    </w:p>
    <w:p>
      <w:pPr>
        <w:ind w:left="520" w:right="60" w:hanging="261"/>
        <w:spacing w:after="0" w:line="286"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and by the affirmative vote of holders of at least two-thirds of our outstanding voting stock that is not owned by the interested stockholder.</w:t>
      </w:r>
    </w:p>
    <w:p>
      <w:pPr>
        <w:spacing w:after="0" w:line="145" w:lineRule="exact"/>
        <w:rPr>
          <w:sz w:val="20"/>
          <w:szCs w:val="20"/>
          <w:color w:val="auto"/>
        </w:rPr>
      </w:pPr>
    </w:p>
    <w:p>
      <w:pPr>
        <w:ind w:right="60" w:firstLine="508"/>
        <w:spacing w:after="0" w:line="286" w:lineRule="auto"/>
        <w:rPr>
          <w:sz w:val="20"/>
          <w:szCs w:val="20"/>
          <w:color w:val="auto"/>
        </w:rPr>
      </w:pPr>
      <w:r>
        <w:rPr>
          <w:rFonts w:ascii="Times New Roman" w:cs="Times New Roman" w:eastAsia="Times New Roman" w:hAnsi="Times New Roman"/>
          <w:sz w:val="14"/>
          <w:szCs w:val="14"/>
          <w:color w:val="auto"/>
        </w:rPr>
        <w:t>These anti-takeover defenses could discourage, delay or prevent a transaction involving a change in control of the Company. These provisions could also discourage proxy contests and make it more difficult for you and other stockholders to elect directors of your choosing and cause us to take corporate actions other than those you desire.</w:t>
      </w:r>
    </w:p>
    <w:p>
      <w:pPr>
        <w:spacing w:after="0" w:line="143"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satisfy the Nasdaq Global Market listing requirements in the future, which could limit investors’ ability to effect transactions in our securities and subject us to additional trading restrictions.</w:t>
      </w:r>
    </w:p>
    <w:p>
      <w:pPr>
        <w:spacing w:after="0" w:line="143" w:lineRule="exact"/>
        <w:rPr>
          <w:sz w:val="20"/>
          <w:szCs w:val="20"/>
          <w:color w:val="auto"/>
        </w:rPr>
      </w:pPr>
    </w:p>
    <w:p>
      <w:pPr>
        <w:ind w:right="120" w:firstLine="508"/>
        <w:spacing w:after="0" w:line="286" w:lineRule="auto"/>
        <w:rPr>
          <w:sz w:val="20"/>
          <w:szCs w:val="20"/>
          <w:color w:val="auto"/>
        </w:rPr>
      </w:pPr>
      <w:r>
        <w:rPr>
          <w:rFonts w:ascii="Times New Roman" w:cs="Times New Roman" w:eastAsia="Times New Roman" w:hAnsi="Times New Roman"/>
          <w:sz w:val="14"/>
          <w:szCs w:val="14"/>
          <w:color w:val="auto"/>
        </w:rPr>
        <w:t>We may be unable to maintain the listing of our securities on the Nasdaq Global Market in the future. If our securities are delisted from the Nasdaq Global Market, there could be significant material adverse consequences, including:</w:t>
      </w:r>
    </w:p>
    <w:p>
      <w:pPr>
        <w:spacing w:after="0" w:line="145" w:lineRule="exact"/>
        <w:rPr>
          <w:sz w:val="20"/>
          <w:szCs w:val="20"/>
          <w:color w:val="auto"/>
        </w:rPr>
      </w:pPr>
    </w:p>
    <w:p>
      <w:pPr>
        <w:ind w:left="500" w:hanging="241"/>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of market quotations for our securities;</w:t>
      </w:r>
    </w:p>
    <w:p>
      <w:pPr>
        <w:spacing w:after="0" w:line="198" w:lineRule="exact"/>
        <w:rPr>
          <w:rFonts w:ascii="Times New Roman" w:cs="Times New Roman" w:eastAsia="Times New Roman" w:hAnsi="Times New Roman"/>
          <w:sz w:val="14"/>
          <w:szCs w:val="14"/>
          <w:color w:val="auto"/>
        </w:rPr>
      </w:pPr>
    </w:p>
    <w:p>
      <w:pPr>
        <w:ind w:left="500" w:hanging="241"/>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news and analyst coverage about the Company; and</w:t>
      </w:r>
    </w:p>
    <w:p>
      <w:pPr>
        <w:spacing w:after="0" w:line="198" w:lineRule="exact"/>
        <w:rPr>
          <w:rFonts w:ascii="Times New Roman" w:cs="Times New Roman" w:eastAsia="Times New Roman" w:hAnsi="Times New Roman"/>
          <w:sz w:val="14"/>
          <w:szCs w:val="14"/>
          <w:color w:val="auto"/>
        </w:rPr>
      </w:pPr>
    </w:p>
    <w:p>
      <w:pPr>
        <w:ind w:left="500" w:hanging="241"/>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obtain capital or pursue acquisitions by issuing additional equity or convertible securities.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 significant costs and obligations as a result of being a public company.</w:t>
      </w:r>
    </w:p>
    <w:p>
      <w:pPr>
        <w:spacing w:after="0" w:line="201" w:lineRule="exact"/>
        <w:rPr>
          <w:sz w:val="20"/>
          <w:szCs w:val="20"/>
          <w:color w:val="auto"/>
        </w:rPr>
      </w:pPr>
    </w:p>
    <w:p>
      <w:pPr>
        <w:ind w:right="100" w:firstLine="508"/>
        <w:spacing w:after="0" w:line="260" w:lineRule="auto"/>
        <w:rPr>
          <w:sz w:val="20"/>
          <w:szCs w:val="20"/>
          <w:color w:val="auto"/>
        </w:rPr>
      </w:pPr>
      <w:r>
        <w:rPr>
          <w:rFonts w:ascii="Times New Roman" w:cs="Times New Roman" w:eastAsia="Times New Roman" w:hAnsi="Times New Roman"/>
          <w:sz w:val="14"/>
          <w:szCs w:val="14"/>
          <w:color w:val="auto"/>
        </w:rPr>
        <w:t>As a public company, we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hereto and the rules and regulations of the SEC and the Nasdaq Global Market,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65" w:lineRule="exact"/>
        <w:rPr>
          <w:sz w:val="20"/>
          <w:szCs w:val="20"/>
          <w:color w:val="auto"/>
        </w:rPr>
      </w:pPr>
    </w:p>
    <w:p>
      <w:pPr>
        <w:ind w:firstLine="508"/>
        <w:spacing w:after="0" w:line="260" w:lineRule="auto"/>
        <w:rPr>
          <w:sz w:val="20"/>
          <w:szCs w:val="20"/>
          <w:color w:val="auto"/>
        </w:rPr>
      </w:pPr>
      <w:r>
        <w:rPr>
          <w:rFonts w:ascii="Times New Roman" w:cs="Times New Roman" w:eastAsia="Times New Roman" w:hAnsi="Times New Roman"/>
          <w:sz w:val="14"/>
          <w:szCs w:val="14"/>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$1.23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163"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43" w:lineRule="exact"/>
        <w:rPr>
          <w:sz w:val="20"/>
          <w:szCs w:val="20"/>
          <w:color w:val="auto"/>
        </w:rPr>
      </w:pPr>
    </w:p>
    <w:p>
      <w:pPr>
        <w:ind w:right="140" w:firstLine="508"/>
        <w:spacing w:after="0" w:line="260" w:lineRule="auto"/>
        <w:rPr>
          <w:sz w:val="20"/>
          <w:szCs w:val="20"/>
          <w:color w:val="auto"/>
        </w:rPr>
      </w:pPr>
      <w:r>
        <w:rPr>
          <w:rFonts w:ascii="Times New Roman" w:cs="Times New Roman" w:eastAsia="Times New Roman" w:hAnsi="Times New Roman"/>
          <w:sz w:val="14"/>
          <w:szCs w:val="14"/>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auto"/>
        </w:rPr>
        <w:t>advantage of an extended transition period for complying with new or revised accounting standards, which we have elected to do.</w:t>
      </w:r>
    </w:p>
    <w:p>
      <w:pPr>
        <w:spacing w:after="0" w:line="199" w:lineRule="exact"/>
        <w:rPr>
          <w:sz w:val="20"/>
          <w:szCs w:val="20"/>
          <w:color w:val="auto"/>
        </w:rPr>
      </w:pPr>
    </w:p>
    <w:p>
      <w:pPr>
        <w:ind w:right="180" w:firstLine="508"/>
        <w:spacing w:after="0" w:line="286" w:lineRule="auto"/>
        <w:rPr>
          <w:sz w:val="20"/>
          <w:szCs w:val="20"/>
          <w:color w:val="auto"/>
        </w:rPr>
      </w:pPr>
      <w:r>
        <w:rPr>
          <w:rFonts w:ascii="Times New Roman" w:cs="Times New Roman" w:eastAsia="Times New Roman" w:hAnsi="Times New Roman"/>
          <w:sz w:val="14"/>
          <w:szCs w:val="14"/>
          <w:color w:val="auto"/>
        </w:rPr>
        <w:t>We cannot predict if investors will find our securities less attractive because we will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spacing w:after="0" w:line="143"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we do not properly maintain and implement all required accounting practices and policies, including new accounting practices and policies, as applicable, we may be unable to provide the financial information required of a United States publicly traded company in a timely and reliable manner.</w:t>
      </w:r>
    </w:p>
    <w:p>
      <w:pPr>
        <w:spacing w:after="0" w:line="143" w:lineRule="exact"/>
        <w:rPr>
          <w:sz w:val="20"/>
          <w:szCs w:val="20"/>
          <w:color w:val="auto"/>
        </w:rPr>
      </w:pPr>
    </w:p>
    <w:p>
      <w:pPr>
        <w:ind w:firstLine="508"/>
        <w:spacing w:after="0" w:line="260" w:lineRule="auto"/>
        <w:rPr>
          <w:sz w:val="20"/>
          <w:szCs w:val="20"/>
          <w:color w:val="auto"/>
        </w:rPr>
      </w:pPr>
      <w:r>
        <w:rPr>
          <w:rFonts w:ascii="Times New Roman" w:cs="Times New Roman" w:eastAsia="Times New Roman" w:hAnsi="Times New Roman"/>
          <w:sz w:val="14"/>
          <w:szCs w:val="14"/>
          <w:color w:val="auto"/>
        </w:rPr>
        <w:t>We are required to implement and maintain the financial reporting and disclosure procedures and controls required of a United States publicly traded company. If we fail to properly maintain and implement all required accounting practices and policies, including new accounting practices and policies, as applicable, or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or by damaging our reputation, which in either case, could impede our ability to implement our growth strategy. In addition, any such delays or deficiencies could result in our failure to meet the requirements for continued listing of our securities on the Nasdaq Global Market.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operating performance does not meet market expectations, the price of our securities may decline.</w:t>
      </w:r>
    </w:p>
    <w:p>
      <w:pPr>
        <w:spacing w:after="0" w:line="201" w:lineRule="exact"/>
        <w:rPr>
          <w:sz w:val="20"/>
          <w:szCs w:val="20"/>
          <w:color w:val="auto"/>
        </w:rPr>
      </w:pPr>
    </w:p>
    <w:p>
      <w:pPr>
        <w:ind w:right="20" w:firstLine="508"/>
        <w:spacing w:after="0" w:line="269" w:lineRule="auto"/>
        <w:rPr>
          <w:sz w:val="20"/>
          <w:szCs w:val="20"/>
          <w:color w:val="auto"/>
        </w:rPr>
      </w:pPr>
      <w:r>
        <w:rPr>
          <w:rFonts w:ascii="Times New Roman" w:cs="Times New Roman" w:eastAsia="Times New Roman" w:hAnsi="Times New Roman"/>
          <w:sz w:val="14"/>
          <w:szCs w:val="14"/>
          <w:color w:val="auto"/>
        </w:rPr>
        <w:t>The trading price of our securities could be volatile and subject to wide fluctuations in response to various factors, some of which are beyond our control. Fluctuations in the price of our securities could result in the loss of all or part of your investment. Any of the factors listed below could have a material adverse effect on your investment in our securities and our securities may trade at prices significantly below the price you paid for them.</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affecting the trading price of our securities may include:</w:t>
      </w:r>
    </w:p>
    <w:p>
      <w:pPr>
        <w:spacing w:after="0" w:line="199" w:lineRule="exact"/>
        <w:rPr>
          <w:sz w:val="20"/>
          <w:szCs w:val="20"/>
          <w:color w:val="auto"/>
        </w:rPr>
      </w:pPr>
    </w:p>
    <w:p>
      <w:pPr>
        <w:ind w:left="760" w:right="2260" w:firstLine="6"/>
        <w:spacing w:after="0" w:line="536" w:lineRule="auto"/>
        <w:tabs>
          <w:tab w:leader="none" w:pos="101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results or the quarterly financial results of companies perceived to be similar to us; ◦ changes in the market’s expectations about our operating results;</w:t>
      </w: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success of competitors;</w:t>
      </w:r>
    </w:p>
    <w:p>
      <w:pPr>
        <w:spacing w:after="0" w:line="198"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our operating results failing to meet market expectations in a particular period;</w:t>
      </w:r>
    </w:p>
    <w:p>
      <w:pPr>
        <w:spacing w:after="0" w:line="198" w:lineRule="exact"/>
        <w:rPr>
          <w:rFonts w:ascii="Times New Roman" w:cs="Times New Roman" w:eastAsia="Times New Roman" w:hAnsi="Times New Roman"/>
          <w:sz w:val="14"/>
          <w:szCs w:val="14"/>
          <w:color w:val="auto"/>
        </w:rPr>
      </w:pPr>
    </w:p>
    <w:p>
      <w:pPr>
        <w:ind w:left="760" w:right="660"/>
        <w:spacing w:after="0" w:line="5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changes in financial estimates and recommendations by securities analysts concerning us or the financial payment card and digital asset industries and markets in general; ◦ operating and stock price performance of other companies that investors deem comparable to us;</w:t>
      </w:r>
    </w:p>
    <w:p>
      <w:pPr>
        <w:ind w:left="760" w:right="6460"/>
        <w:spacing w:after="0" w:line="5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our ability to market new and enhanced products on a timely basis; ◦ changes in laws and regulations affecting our business;</w:t>
      </w: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commencement of, or involvement in, litigation involving us;</w:t>
      </w:r>
    </w:p>
    <w:p>
      <w:pPr>
        <w:spacing w:after="0" w:line="198" w:lineRule="exact"/>
        <w:rPr>
          <w:rFonts w:ascii="Times New Roman" w:cs="Times New Roman" w:eastAsia="Times New Roman" w:hAnsi="Times New Roman"/>
          <w:sz w:val="14"/>
          <w:szCs w:val="14"/>
          <w:color w:val="auto"/>
        </w:rPr>
      </w:pPr>
    </w:p>
    <w:p>
      <w:pPr>
        <w:ind w:left="760" w:right="4280"/>
        <w:spacing w:after="0" w:line="5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changes in our capital structure, such as future issuances of securities or the incurrence of additional debt; ◦ the volume of shares of our securities available for public sale;</w:t>
      </w: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any significant change in our board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54" w:name="page55"/>
    <w:bookmarkEnd w:id="54"/>
    <w:p>
      <w:pPr>
        <w:ind w:left="1020" w:hanging="254"/>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our securities by our directors, executive officers or significant stockholders or the perception that such sales could occur; and</w:t>
      </w:r>
    </w:p>
    <w:p>
      <w:pPr>
        <w:spacing w:after="0" w:line="198" w:lineRule="exact"/>
        <w:rPr>
          <w:rFonts w:ascii="Times New Roman" w:cs="Times New Roman" w:eastAsia="Times New Roman" w:hAnsi="Times New Roman"/>
          <w:sz w:val="14"/>
          <w:szCs w:val="14"/>
          <w:color w:val="auto"/>
        </w:rPr>
      </w:pPr>
    </w:p>
    <w:p>
      <w:pPr>
        <w:ind w:left="1020" w:hanging="254"/>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recessions, interest rates, fuel prices, international currency fluctuations and acts of war or terrorism.</w:t>
      </w:r>
    </w:p>
    <w:p>
      <w:pPr>
        <w:spacing w:after="0" w:line="199" w:lineRule="exact"/>
        <w:rPr>
          <w:sz w:val="20"/>
          <w:szCs w:val="20"/>
          <w:color w:val="auto"/>
        </w:rPr>
      </w:pPr>
    </w:p>
    <w:p>
      <w:pPr>
        <w:ind w:right="120" w:firstLine="508"/>
        <w:spacing w:after="0" w:line="260" w:lineRule="auto"/>
        <w:rPr>
          <w:sz w:val="20"/>
          <w:szCs w:val="20"/>
          <w:color w:val="auto"/>
        </w:rPr>
      </w:pPr>
      <w:r>
        <w:rPr>
          <w:rFonts w:ascii="Times New Roman" w:cs="Times New Roman" w:eastAsia="Times New Roman" w:hAnsi="Times New Roman"/>
          <w:sz w:val="14"/>
          <w:szCs w:val="14"/>
          <w:color w:val="auto"/>
        </w:rPr>
        <w:t>Broad market and industry factors may depress the market price of our securities irrespective of our operating performance. The stock market in general and the Nasdaq Global Market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Warrants may never be in the money, and they may expire worthless.</w:t>
      </w:r>
    </w:p>
    <w:p>
      <w:pPr>
        <w:spacing w:after="0" w:line="201" w:lineRule="exact"/>
        <w:rPr>
          <w:sz w:val="20"/>
          <w:szCs w:val="20"/>
          <w:color w:val="auto"/>
        </w:rPr>
      </w:pPr>
    </w:p>
    <w:p>
      <w:pPr>
        <w:ind w:right="300" w:firstLine="508"/>
        <w:spacing w:after="0" w:line="286" w:lineRule="auto"/>
        <w:rPr>
          <w:sz w:val="20"/>
          <w:szCs w:val="20"/>
          <w:color w:val="auto"/>
        </w:rPr>
      </w:pPr>
      <w:r>
        <w:rPr>
          <w:rFonts w:ascii="Times New Roman" w:cs="Times New Roman" w:eastAsia="Times New Roman" w:hAnsi="Times New Roman"/>
          <w:sz w:val="14"/>
          <w:szCs w:val="14"/>
          <w:color w:val="auto"/>
        </w:rPr>
        <w:t>The exercise price for our Warrants is $11.50 per share, which exceeds the market price of our Class A Common Stock, which was $7.02 per share based on the closing price on May 01, 2024. There can be no assurance that the Warrants will ever be in the money prior to their expiration on December 26, 2026, and, as such, the Warrants may expire worthless.</w:t>
      </w:r>
    </w:p>
    <w:p>
      <w:pPr>
        <w:spacing w:after="0" w:line="145" w:lineRule="exact"/>
        <w:rPr>
          <w:sz w:val="20"/>
          <w:szCs w:val="20"/>
          <w:color w:val="auto"/>
        </w:rPr>
      </w:pPr>
    </w:p>
    <w:p>
      <w:pPr>
        <w:ind w:firstLine="508"/>
        <w:spacing w:after="0" w:line="259" w:lineRule="auto"/>
        <w:rPr>
          <w:sz w:val="20"/>
          <w:szCs w:val="20"/>
          <w:color w:val="auto"/>
        </w:rPr>
      </w:pPr>
      <w:r>
        <w:rPr>
          <w:rFonts w:ascii="Times New Roman" w:cs="Times New Roman" w:eastAsia="Times New Roman" w:hAnsi="Times New Roman"/>
          <w:sz w:val="14"/>
          <w:szCs w:val="14"/>
          <w:color w:val="auto"/>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Warrants to make any change that adversely affects the interests of the registered holders. Accordingly, we may amend the terms of the Warrants in a manner adverse to a holder if holders of at least a majority of the then outstanding Warrants approve of such amendment. Our ability to amend the terms of the Warrants with the consent of at least a majority of the then outstanding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redeem your unexpired Warrants prior to their exercise at a time that is disadvantageous to you, thereby making your Warrants worthless.</w:t>
      </w:r>
    </w:p>
    <w:p>
      <w:pPr>
        <w:spacing w:after="0" w:line="201" w:lineRule="exact"/>
        <w:rPr>
          <w:sz w:val="20"/>
          <w:szCs w:val="20"/>
          <w:color w:val="auto"/>
        </w:rPr>
      </w:pPr>
    </w:p>
    <w:p>
      <w:pPr>
        <w:ind w:right="60" w:firstLine="508"/>
        <w:spacing w:after="0" w:line="256" w:lineRule="auto"/>
        <w:rPr>
          <w:sz w:val="20"/>
          <w:szCs w:val="20"/>
          <w:color w:val="auto"/>
        </w:rPr>
      </w:pPr>
      <w:r>
        <w:rPr>
          <w:rFonts w:ascii="Times New Roman" w:cs="Times New Roman" w:eastAsia="Times New Roman" w:hAnsi="Times New Roman"/>
          <w:sz w:val="14"/>
          <w:szCs w:val="14"/>
          <w:color w:val="auto"/>
        </w:rPr>
        <w:t>We have the ability to redeem outstanding Warrants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your Warrants and pay the exercise price therefore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could be substantially less than the market value of your Warrants.</w:t>
      </w:r>
    </w:p>
    <w:p>
      <w:pPr>
        <w:spacing w:after="0" w:line="16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Warrants to purchase our Class A Common Stock are presently exercisable, which could increase the number of shares of Class A Common Stock eligible for future resale in the public market and result in dilution to our stockholders.</w:t>
      </w:r>
    </w:p>
    <w:p>
      <w:pPr>
        <w:spacing w:after="0" w:line="143" w:lineRule="exact"/>
        <w:rPr>
          <w:sz w:val="20"/>
          <w:szCs w:val="20"/>
          <w:color w:val="auto"/>
        </w:rPr>
      </w:pPr>
    </w:p>
    <w:p>
      <w:pPr>
        <w:ind w:right="140" w:firstLine="508"/>
        <w:spacing w:after="0" w:line="269" w:lineRule="auto"/>
        <w:rPr>
          <w:sz w:val="20"/>
          <w:szCs w:val="20"/>
          <w:color w:val="auto"/>
        </w:rPr>
      </w:pPr>
      <w:r>
        <w:rPr>
          <w:rFonts w:ascii="Times New Roman" w:cs="Times New Roman" w:eastAsia="Times New Roman" w:hAnsi="Times New Roman"/>
          <w:sz w:val="14"/>
          <w:szCs w:val="14"/>
          <w:color w:val="auto"/>
        </w:rPr>
        <w:t>Our outstanding Warrants to purchase an aggregate of 22,415,400 shares of our common stock are exercisable in accordance with the terms of the warrant agreement governing those securities. Each Warrant entitles its holder to purchase one share of our common stock at an exercise price of $11.50 per share and will expire at 5:00 p.m., New York time, on December 27, 2026 or earlier upon redemption of our Class A Common Stock or our liquidation. To the extent Warrants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5" w:name="page56"/>
    <w:bookmarkEnd w:id="55"/>
    <w:p>
      <w:pPr>
        <w:ind w:right="260"/>
        <w:spacing w:after="0" w:line="263" w:lineRule="auto"/>
        <w:rPr>
          <w:sz w:val="20"/>
          <w:szCs w:val="20"/>
          <w:color w:val="auto"/>
        </w:rPr>
      </w:pPr>
      <w:r>
        <w:rPr>
          <w:rFonts w:ascii="Times New Roman" w:cs="Times New Roman" w:eastAsia="Times New Roman" w:hAnsi="Times New Roman"/>
          <w:sz w:val="14"/>
          <w:szCs w:val="14"/>
          <w:color w:val="auto"/>
        </w:rPr>
        <w:t>are exercised, additional shares of our Class A Common Stock will be issued, which will result in dilution to our then existing stockholders and increase the number of shares of Class A Common Stock eligible for resale in the public market. Sales of substantial numbers of such shares in the public market could depress the market price of our securities.</w:t>
      </w:r>
    </w:p>
    <w:p>
      <w:pPr>
        <w:ind w:right="24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timely and effectively implement controls and procedures required by Section 404 of the Sarbanes-Oxley Act of 2002, which could have a material adverse effect on our business.</w:t>
      </w:r>
    </w:p>
    <w:p>
      <w:pPr>
        <w:spacing w:after="0" w:line="160" w:lineRule="exact"/>
        <w:rPr>
          <w:sz w:val="20"/>
          <w:szCs w:val="20"/>
          <w:color w:val="auto"/>
        </w:rPr>
      </w:pPr>
    </w:p>
    <w:p>
      <w:pPr>
        <w:ind w:right="140" w:firstLine="508"/>
        <w:spacing w:after="0" w:line="260" w:lineRule="auto"/>
        <w:rPr>
          <w:sz w:val="20"/>
          <w:szCs w:val="20"/>
          <w:color w:val="auto"/>
        </w:rPr>
      </w:pPr>
      <w:r>
        <w:rPr>
          <w:rFonts w:ascii="Times New Roman" w:cs="Times New Roman" w:eastAsia="Times New Roman" w:hAnsi="Times New Roman"/>
          <w:sz w:val="14"/>
          <w:szCs w:val="14"/>
          <w:color w:val="auto"/>
        </w:rPr>
        <w:t>Under the Sarbanes-Oxley Act of 2002, 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 timely implement controls and procedures that adequately respond to the increased regulatory compliance and reporting requirements that are applicable to us as a public company.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16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43" w:lineRule="exact"/>
        <w:rPr>
          <w:sz w:val="20"/>
          <w:szCs w:val="20"/>
          <w:color w:val="auto"/>
        </w:rPr>
      </w:pPr>
    </w:p>
    <w:p>
      <w:pPr>
        <w:ind w:firstLine="508"/>
        <w:spacing w:after="0" w:line="257" w:lineRule="auto"/>
        <w:rPr>
          <w:sz w:val="20"/>
          <w:szCs w:val="20"/>
          <w:color w:val="auto"/>
        </w:rPr>
      </w:pPr>
      <w:r>
        <w:rPr>
          <w:rFonts w:ascii="Times New Roman" w:cs="Times New Roman" w:eastAsia="Times New Roman" w:hAnsi="Times New Roman"/>
          <w:sz w:val="14"/>
          <w:szCs w:val="14"/>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$1.23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successfully operate our business largely depends upon the efforts of certain key personnel. The loss of such key personnel could adversely affect our operations and profitability.</w:t>
      </w:r>
    </w:p>
    <w:p>
      <w:pPr>
        <w:spacing w:after="0" w:line="201" w:lineRule="exact"/>
        <w:rPr>
          <w:sz w:val="20"/>
          <w:szCs w:val="20"/>
          <w:color w:val="auto"/>
        </w:rPr>
      </w:pPr>
    </w:p>
    <w:p>
      <w:pPr>
        <w:ind w:right="40" w:firstLine="508"/>
        <w:spacing w:after="0" w:line="263" w:lineRule="auto"/>
        <w:rPr>
          <w:sz w:val="20"/>
          <w:szCs w:val="20"/>
          <w:color w:val="auto"/>
        </w:rPr>
      </w:pPr>
      <w:r>
        <w:rPr>
          <w:rFonts w:ascii="Times New Roman" w:cs="Times New Roman" w:eastAsia="Times New Roman" w:hAnsi="Times New Roman"/>
          <w:sz w:val="14"/>
          <w:szCs w:val="14"/>
          <w:color w:val="auto"/>
        </w:rPr>
        <w:t>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abilities we expect or those necessary to manage a public company, the operations and profitability of our business may be adversely impacted.</w:t>
      </w:r>
    </w:p>
    <w:p>
      <w:pPr>
        <w:spacing w:after="0" w:line="16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143" w:lineRule="exact"/>
        <w:rPr>
          <w:sz w:val="20"/>
          <w:szCs w:val="20"/>
          <w:color w:val="auto"/>
        </w:rPr>
      </w:pPr>
    </w:p>
    <w:p>
      <w:pPr>
        <w:ind w:right="80" w:firstLine="508"/>
        <w:spacing w:after="0" w:line="260" w:lineRule="auto"/>
        <w:rPr>
          <w:sz w:val="20"/>
          <w:szCs w:val="20"/>
          <w:color w:val="auto"/>
        </w:rPr>
      </w:pPr>
      <w:r>
        <w:rPr>
          <w:rFonts w:ascii="Times New Roman" w:cs="Times New Roman" w:eastAsia="Times New Roman" w:hAnsi="Times New Roman"/>
          <w:sz w:val="14"/>
          <w:szCs w:val="14"/>
          <w:color w:val="auto"/>
        </w:rPr>
        <w:t>The trading market for our securities will be influenced by the research and reports that industry or securities analysts may publish about us, our business, our market, or our competitors. If no securities or industry analysts commence coverage of us, prices for our securities would likely be less than that which would obtain if we had such coverage and the liquidity, or trading volume of our securities may be limited, making it more difficult for a holder to sell securities at an acceptable price or amount. If any analysts do cover us, their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color w:val="auto"/>
        </w:rPr>
        <w:t>these analysts ceases coverage of us or fails to publish reports on us regularly, prices for our securities or trading volume could decline.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securities, including resale of securities issued to the certain stockholders, may reduce the market price of our securities that you might otherwise obtain.</w:t>
      </w:r>
    </w:p>
    <w:p>
      <w:pPr>
        <w:spacing w:after="0" w:line="201" w:lineRule="exact"/>
        <w:rPr>
          <w:sz w:val="20"/>
          <w:szCs w:val="20"/>
          <w:color w:val="auto"/>
        </w:rPr>
      </w:pPr>
    </w:p>
    <w:p>
      <w:pPr>
        <w:ind w:firstLine="508"/>
        <w:spacing w:after="0" w:line="269" w:lineRule="auto"/>
        <w:rPr>
          <w:sz w:val="20"/>
          <w:szCs w:val="20"/>
          <w:color w:val="auto"/>
        </w:rPr>
      </w:pPr>
      <w:r>
        <w:rPr>
          <w:rFonts w:ascii="Times New Roman" w:cs="Times New Roman" w:eastAsia="Times New Roman" w:hAnsi="Times New Roman"/>
          <w:sz w:val="14"/>
          <w:szCs w:val="14"/>
          <w:color w:val="auto"/>
        </w:rPr>
        <w:t>Our stockholders may sell large amounts of our securities in the open market or in privately negotiated transactions. The registration and availability of such a significant number of securities for trading in the public market may increase the volatility in the price of our securities or put significant downward pressure on the price of our securities. In addition, we may use shares of our common stock as consideration for future acquisitions, which could further dilute our stockholders.</w:t>
      </w:r>
    </w:p>
    <w:p>
      <w:pPr>
        <w:spacing w:after="0" w:line="155"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Because certain significant shareholders control a significant percentage of our common stock, such shareholders may influence major corporate decisions of the Company and our interests may conflict with the interests of other holders of our common stock.</w:t>
      </w:r>
    </w:p>
    <w:p>
      <w:pPr>
        <w:spacing w:after="0" w:line="143" w:lineRule="exact"/>
        <w:rPr>
          <w:sz w:val="20"/>
          <w:szCs w:val="20"/>
          <w:color w:val="auto"/>
        </w:rPr>
      </w:pPr>
    </w:p>
    <w:p>
      <w:pPr>
        <w:ind w:firstLine="508"/>
        <w:spacing w:after="0" w:line="258" w:lineRule="auto"/>
        <w:rPr>
          <w:sz w:val="20"/>
          <w:szCs w:val="20"/>
          <w:color w:val="auto"/>
        </w:rPr>
      </w:pPr>
      <w:r>
        <w:rPr>
          <w:rFonts w:ascii="Times New Roman" w:cs="Times New Roman" w:eastAsia="Times New Roman" w:hAnsi="Times New Roman"/>
          <w:sz w:val="14"/>
          <w:szCs w:val="14"/>
          <w:color w:val="auto"/>
        </w:rPr>
        <w:t>At May 01, 2024, LLR Equity Partners IV, L.P. and LLR Equity Partners Parallel IV, L.P. (the “LLR Parties”) and Michele D. Logan and any trust, entity or other similar vehicle or account affiliated with Michele D. Logan (the “Logan Parties”) beneficially own approximately 43% and 27%, respectively of the voting power of our outstanding common stock. As a result of this control, the LLR Parties and the Logan Parties will be able to influence matters requiring approval by our stockholders and/or our Board, including the election of directors and the approval of business combinations or dispositions and other extraordinary transactions. The LLR Parties and the Logan Parties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the LLR Parties or the Logan Parties may in the future own businesses that directly compete with the business of the Company.</w:t>
      </w:r>
    </w:p>
    <w:p>
      <w:pPr>
        <w:spacing w:after="0" w:line="162"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spacing w:after="0" w:line="143" w:lineRule="exact"/>
        <w:rPr>
          <w:sz w:val="20"/>
          <w:szCs w:val="20"/>
          <w:color w:val="auto"/>
        </w:rPr>
      </w:pPr>
    </w:p>
    <w:p>
      <w:pPr>
        <w:ind w:right="20" w:firstLine="508"/>
        <w:spacing w:after="0" w:line="256" w:lineRule="auto"/>
        <w:rPr>
          <w:sz w:val="20"/>
          <w:szCs w:val="20"/>
          <w:color w:val="auto"/>
        </w:rPr>
      </w:pPr>
      <w:r>
        <w:rPr>
          <w:rFonts w:ascii="Times New Roman" w:cs="Times New Roman" w:eastAsia="Times New Roman" w:hAnsi="Times New Roman"/>
          <w:sz w:val="14"/>
          <w:szCs w:val="14"/>
          <w:color w:val="auto"/>
        </w:rPr>
        <w:t>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spacing w:after="0" w:line="164" w:lineRule="exact"/>
        <w:rPr>
          <w:sz w:val="20"/>
          <w:szCs w:val="20"/>
          <w:color w:val="auto"/>
        </w:rPr>
      </w:pPr>
    </w:p>
    <w:p>
      <w:pPr>
        <w:ind w:right="6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Bylaws designate the courts of the Court of Chancery in the State of Delaware as the sole and exclusive forum for certain types of actions and proceedings that may be initiated by stockholders, which could limit the ability of stockholders to obtain a favorable judicial forum for disputes.</w:t>
      </w:r>
    </w:p>
    <w:p>
      <w:pPr>
        <w:spacing w:after="0" w:line="143" w:lineRule="exact"/>
        <w:rPr>
          <w:sz w:val="20"/>
          <w:szCs w:val="20"/>
          <w:color w:val="auto"/>
        </w:rPr>
      </w:pPr>
    </w:p>
    <w:p>
      <w:pPr>
        <w:ind w:right="20" w:firstLine="508"/>
        <w:spacing w:after="0" w:line="286"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(a) any derivative action or proceeding brought on behalf of us, (b) any action asserting a claim of breach of fiduciary duty owed by any of our directors, officers or employees to us or our stockholders, (c) any action asserting a claim against us, our directors,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57" w:name="page58"/>
    <w:bookmarkEnd w:id="57"/>
    <w:p>
      <w:pPr>
        <w:ind w:right="360"/>
        <w:spacing w:after="0" w:line="286" w:lineRule="auto"/>
        <w:rPr>
          <w:sz w:val="20"/>
          <w:szCs w:val="20"/>
          <w:color w:val="auto"/>
        </w:rPr>
      </w:pPr>
      <w:r>
        <w:rPr>
          <w:rFonts w:ascii="Times New Roman" w:cs="Times New Roman" w:eastAsia="Times New Roman" w:hAnsi="Times New Roman"/>
          <w:sz w:val="14"/>
          <w:szCs w:val="14"/>
          <w:color w:val="auto"/>
        </w:rPr>
        <w:t>officers or employees arising pursuant to any provision of the DGCL or our Charter or Bylaws or (d) any action asserting a claim against us, our directors, officers or employees governed by the internal affairs doctrine.</w:t>
      </w:r>
    </w:p>
    <w:p>
      <w:pPr>
        <w:spacing w:after="0" w:line="145" w:lineRule="exact"/>
        <w:rPr>
          <w:sz w:val="20"/>
          <w:szCs w:val="20"/>
          <w:color w:val="auto"/>
        </w:rPr>
      </w:pPr>
    </w:p>
    <w:p>
      <w:pPr>
        <w:ind w:firstLine="508"/>
        <w:spacing w:after="0" w:line="258" w:lineRule="auto"/>
        <w:rPr>
          <w:sz w:val="20"/>
          <w:szCs w:val="20"/>
          <w:color w:val="auto"/>
        </w:rPr>
      </w:pPr>
      <w:r>
        <w:rPr>
          <w:rFonts w:ascii="Times New Roman" w:cs="Times New Roman" w:eastAsia="Times New Roman" w:hAnsi="Times New Roman"/>
          <w:sz w:val="14"/>
          <w:szCs w:val="14"/>
          <w:color w:val="auto"/>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4" w:lineRule="exact"/>
        <w:rPr>
          <w:sz w:val="20"/>
          <w:szCs w:val="20"/>
          <w:color w:val="auto"/>
        </w:rPr>
      </w:pPr>
    </w:p>
    <w:p>
      <w:pPr>
        <w:ind w:right="240" w:firstLine="508"/>
        <w:spacing w:after="0" w:line="263" w:lineRule="auto"/>
        <w:rPr>
          <w:sz w:val="20"/>
          <w:szCs w:val="20"/>
          <w:color w:val="auto"/>
        </w:rPr>
      </w:pPr>
      <w:r>
        <w:rPr>
          <w:rFonts w:ascii="Times New Roman" w:cs="Times New Roman" w:eastAsia="Times New Roman" w:hAnsi="Times New Roman"/>
          <w:sz w:val="14"/>
          <w:szCs w:val="14"/>
          <w:color w:val="auto"/>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16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spacing w:after="0" w:line="143" w:lineRule="exact"/>
        <w:rPr>
          <w:sz w:val="20"/>
          <w:szCs w:val="20"/>
          <w:color w:val="auto"/>
        </w:rPr>
      </w:pPr>
    </w:p>
    <w:p>
      <w:pPr>
        <w:ind w:right="60" w:firstLine="508"/>
        <w:spacing w:after="0" w:line="263" w:lineRule="auto"/>
        <w:rPr>
          <w:sz w:val="20"/>
          <w:szCs w:val="20"/>
          <w:color w:val="auto"/>
        </w:rPr>
      </w:pPr>
      <w:r>
        <w:rPr>
          <w:rFonts w:ascii="Times New Roman" w:cs="Times New Roman" w:eastAsia="Times New Roman" w:hAnsi="Times New Roman"/>
          <w:sz w:val="14"/>
          <w:szCs w:val="14"/>
          <w:color w:val="auto"/>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securities litigation, which is expensive and could divert management attention.</w:t>
      </w:r>
    </w:p>
    <w:p>
      <w:pPr>
        <w:spacing w:after="0" w:line="201" w:lineRule="exact"/>
        <w:rPr>
          <w:sz w:val="20"/>
          <w:szCs w:val="20"/>
          <w:color w:val="auto"/>
        </w:rPr>
      </w:pPr>
    </w:p>
    <w:p>
      <w:pPr>
        <w:ind w:right="80" w:firstLine="508"/>
        <w:spacing w:after="0" w:line="269" w:lineRule="auto"/>
        <w:rPr>
          <w:sz w:val="20"/>
          <w:szCs w:val="20"/>
          <w:color w:val="auto"/>
        </w:rPr>
      </w:pPr>
      <w:r>
        <w:rPr>
          <w:rFonts w:ascii="Times New Roman" w:cs="Times New Roman" w:eastAsia="Times New Roman" w:hAnsi="Times New Roman"/>
          <w:sz w:val="14"/>
          <w:szCs w:val="14"/>
          <w:color w:val="auto"/>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future exercise of registration rights may adversely affect the market price of our securities.</w:t>
      </w:r>
    </w:p>
    <w:p>
      <w:pPr>
        <w:spacing w:after="0" w:line="201" w:lineRule="exact"/>
        <w:rPr>
          <w:sz w:val="20"/>
          <w:szCs w:val="20"/>
          <w:color w:val="auto"/>
        </w:rPr>
      </w:pPr>
    </w:p>
    <w:p>
      <w:pPr>
        <w:ind w:right="40" w:firstLine="508"/>
        <w:spacing w:after="0" w:line="286" w:lineRule="auto"/>
        <w:rPr>
          <w:sz w:val="20"/>
          <w:szCs w:val="20"/>
          <w:color w:val="auto"/>
        </w:rPr>
      </w:pPr>
      <w:r>
        <w:rPr>
          <w:rFonts w:ascii="Times New Roman" w:cs="Times New Roman" w:eastAsia="Times New Roman" w:hAnsi="Times New Roman"/>
          <w:sz w:val="14"/>
          <w:szCs w:val="14"/>
          <w:color w:val="auto"/>
        </w:rPr>
        <w:t>Sales of a substantial number of shares of common stock in the public market could occur at any time. In addition, certain registration rights holders can request underwritten offerings to sell their securities. These sales, or the perception in the market that the holders of a large number of securities intend to sell securities, could reduce the market price of our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u w:val="single" w:color="auto"/>
          <w:color w:val="auto"/>
        </w:rPr>
        <w:t>Unregistered Sales of Equity Securities</w:t>
      </w:r>
      <w:r>
        <w:rPr>
          <w:rFonts w:ascii="Times New Roman" w:cs="Times New Roman" w:eastAsia="Times New Roman" w:hAnsi="Times New Roman"/>
          <w:sz w:val="14"/>
          <w:szCs w:val="14"/>
          <w:color w:val="auto"/>
        </w:rPr>
        <w:t>. In accordance with the Holdings Second Amended and Restated LLC Agreement and the terms of the Exchange Agreement entered into in connection with the Business Combination, the Class B Units of Holdings may each be exchanged at the option of the holder, together with a corresponding cancellation of the corresponding number of shares of Class B Common Stock of the Company, on a one-for-one basis for shares of Class A Common Stock of the Company. There is no cash or other consideration paid by the holder in these transactions and,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760" w:right="339" w:bottom="1440" w:gutter="0" w:footer="0" w:header="0"/>
        </w:sectPr>
      </w:pPr>
    </w:p>
    <w:bookmarkStart w:id="58" w:name="page59"/>
    <w:bookmarkEnd w:id="58"/>
    <w:p>
      <w:pPr>
        <w:ind w:right="120"/>
        <w:spacing w:after="0" w:line="286" w:lineRule="auto"/>
        <w:rPr>
          <w:sz w:val="20"/>
          <w:szCs w:val="20"/>
          <w:color w:val="auto"/>
        </w:rPr>
      </w:pPr>
      <w:r>
        <w:rPr>
          <w:rFonts w:ascii="Times New Roman" w:cs="Times New Roman" w:eastAsia="Times New Roman" w:hAnsi="Times New Roman"/>
          <w:sz w:val="14"/>
          <w:szCs w:val="14"/>
          <w:color w:val="auto"/>
        </w:rPr>
        <w:t>therefore, there is no cash or other consideration received by the Company. The shares of Class A Common Stock issued by the Company in such exchanges are exempt from registration pursuant to Section 4(a)(2) of the Securities Act. During the quarter ended March 31, 2024, no Class B Units were tendered to the Company for exchange into shares of Class A Common Stock.</w:t>
      </w:r>
    </w:p>
    <w:p>
      <w:pPr>
        <w:spacing w:after="0" w:line="1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u w:val="single" w:color="auto"/>
          <w:color w:val="auto"/>
        </w:rPr>
        <w:t>Repurchases of Equity Securities</w:t>
      </w:r>
      <w:r>
        <w:rPr>
          <w:rFonts w:ascii="Times New Roman" w:cs="Times New Roman" w:eastAsia="Times New Roman" w:hAnsi="Times New Roman"/>
          <w:sz w:val="14"/>
          <w:szCs w:val="14"/>
          <w:color w:val="auto"/>
        </w:rPr>
        <w:t>. On March 6, 2024, we announced that our Board of Directors (“Board”) had authorized a program to repurchase (“Repurchase Program”) up to $40.0 million in the aggregate of shares of our outstanding shares of common stock, par value $0.0001 per share (“Common Stock”), warrants and/or notes exchangeable for shares of Common Stock (collectively, the “Securities”). Repurchases under the Repurchase Program may be made from time to time, on the open market, in privately negotiated transactions, tender offers, or by other methods, at the discretion of the management of the Company in accordance with our senior credit facility and indenture for its exchangeable notes, as applicable, and other applicable legal requirements. Repurchases of Common Stock will be in accordance with the limitations set forth in Rule 10b-18 promulgated under the Securities Exchange Act of 1934, as amended. The timing and amount of the repurchases will depend on market conditions and other requirements. The Repurchase Program does not obligate the Company to repurchase any dollar amount of Securities and the Repurchase Program may be extended, modified, suspended, or discontinued at any time. Any shares of Common Stock repurchased under the program may either be returned to the status of authorized but unissued shares of Common Stock or held as treasury stock. The Repurchase Program is effective March 7, 2024 through March 7, 2027. There was no repurchase activity during the quarter ended March 31, 2024. As of March 31, 2024, $40.0 million of the repurchase authorization under the Repurchase Program remained available.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4"/>
          <w:szCs w:val="14"/>
          <w:u w:val="single" w:color="auto"/>
          <w:color w:val="auto"/>
        </w:rPr>
        <w:t>Rule 10b5-1 Trading Plans</w:t>
      </w:r>
      <w:r>
        <w:rPr>
          <w:rFonts w:ascii="Times New Roman" w:cs="Times New Roman" w:eastAsia="Times New Roman" w:hAnsi="Times New Roman"/>
          <w:sz w:val="14"/>
          <w:szCs w:val="14"/>
          <w:color w:val="auto"/>
        </w:rPr>
        <w:t>. During the quarter ended March 31, 2024, none of the Company’s directors or officers informed the Company of the adoption or termination of a “Rule 10b5-1 trading arrangement” or “non-Rule 10b5-1 trading arrangement,” as those terms are defined in Regulation S-K, Item 408.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Exhibit Index immediately following the signature page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9" w:name="page60"/>
    <w:bookmarkEnd w:id="59"/>
    <w:p>
      <w:pPr>
        <w:ind w:left="530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the requirements of the Exchange Act, the registrant caused this report to be signed on its behalf by the undersigned, thereunto duly authorized.</w:t>
      </w:r>
    </w:p>
    <w:p>
      <w:pPr>
        <w:spacing w:after="0" w:line="38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CompoSecure, Inc.</w:t>
      </w:r>
    </w:p>
    <w:p>
      <w:pPr>
        <w:spacing w:after="0" w:line="389"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4"/>
          <w:szCs w:val="14"/>
          <w:color w:val="auto"/>
        </w:rPr>
        <w:t>Date: May 6, 2024</w:t>
      </w:r>
      <w:r>
        <w:rPr>
          <w:sz w:val="20"/>
          <w:szCs w:val="20"/>
          <w:color w:val="auto"/>
        </w:rPr>
        <w:tab/>
      </w: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Jonathan C. Wilk</w:t>
      </w:r>
    </w:p>
    <w:p>
      <w:pPr>
        <w:spacing w:after="0" w:line="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Name: Jonathan C. Wilk</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00" w:lineRule="exact"/>
        <w:rPr>
          <w:sz w:val="20"/>
          <w:szCs w:val="20"/>
          <w:color w:val="auto"/>
        </w:rPr>
      </w:pPr>
    </w:p>
    <w:p>
      <w:pPr>
        <w:spacing w:after="0" w:line="365"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4"/>
          <w:szCs w:val="14"/>
          <w:color w:val="auto"/>
        </w:rPr>
        <w:t>Date: May 6, 2024</w:t>
      </w:r>
      <w:r>
        <w:rPr>
          <w:sz w:val="20"/>
          <w:szCs w:val="20"/>
          <w:color w:val="auto"/>
        </w:rPr>
        <w:tab/>
      </w: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Timothy Fitzsimmons</w:t>
      </w:r>
    </w:p>
    <w:p>
      <w:pPr>
        <w:spacing w:after="0" w:line="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Name: Timothy Fitzsimmons</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75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159"/>
          </w:cols>
          <w:pgMar w:left="300" w:top="754" w:right="1440" w:bottom="1440" w:gutter="0" w:footer="0" w:header="0"/>
        </w:sectPr>
      </w:pPr>
    </w:p>
    <w:bookmarkStart w:id="60" w:name="page61"/>
    <w:bookmarkEnd w:id="60"/>
    <w:tbl>
      <w:tblPr>
        <w:tblLayout w:type="fixed"/>
        <w:tblInd w:w="101" w:type="dxa"/>
        <w:tblCellMar>
          <w:top w:w="0" w:type="dxa"/>
          <w:left w:w="0" w:type="dxa"/>
          <w:bottom w:w="0" w:type="dxa"/>
          <w:right w:w="0" w:type="dxa"/>
        </w:tblCellMar>
      </w:tblPr>
      <w:tr>
        <w:trPr>
          <w:trHeight w:val="204"/>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5"/>
          </w:tcPr>
          <w:p>
            <w:pPr>
              <w:ind w:left="378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0" w:type="dxa"/>
            <w:vAlign w:val="bottom"/>
          </w:tcPr>
          <w:p>
            <w:pPr>
              <w:spacing w:after="0"/>
              <w:rPr>
                <w:sz w:val="1"/>
                <w:szCs w:val="1"/>
                <w:color w:val="auto"/>
              </w:rPr>
            </w:pPr>
          </w:p>
        </w:tc>
      </w:tr>
      <w:tr>
        <w:trPr>
          <w:trHeight w:val="219"/>
        </w:trPr>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1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0" w:type="dxa"/>
            <w:vAlign w:val="bottom"/>
            <w:gridSpan w:val="2"/>
          </w:tcPr>
          <w:p>
            <w:pPr>
              <w:jc w:val="center"/>
              <w:ind w:left="109"/>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p>
        </w:tc>
        <w:tc>
          <w:tcPr>
            <w:tcW w:w="620" w:type="dxa"/>
            <w:vAlign w:val="bottom"/>
          </w:tcPr>
          <w:p>
            <w:pPr>
              <w:spacing w:after="0"/>
              <w:rPr>
                <w:sz w:val="14"/>
                <w:szCs w:val="14"/>
                <w:color w:val="auto"/>
              </w:rPr>
            </w:pPr>
          </w:p>
        </w:tc>
        <w:tc>
          <w:tcPr>
            <w:tcW w:w="97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Amendment No. 2, dated March 1, 2024, to Third Amended and Restated Credit Agreement, dated as of December 21, 2021, by and among CompoSecure, L.L.C., Arculus</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4"/>
          </w:tcPr>
          <w:p>
            <w:pPr>
              <w:spacing w:after="0" w:line="139" w:lineRule="exact"/>
              <w:rPr>
                <w:sz w:val="20"/>
                <w:szCs w:val="20"/>
                <w:color w:val="auto"/>
              </w:rPr>
            </w:pPr>
            <w:r>
              <w:rPr>
                <w:rFonts w:ascii="Times New Roman" w:cs="Times New Roman" w:eastAsia="Times New Roman" w:hAnsi="Times New Roman"/>
                <w:sz w:val="14"/>
                <w:szCs w:val="14"/>
                <w:color w:val="0000FF"/>
              </w:rPr>
              <w:t>Holdings, L.L.C., CompoSecure Holdings, L.L.C., the Lenders (as defined therein) parties thereto and JPMorgan Chase Bank, 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2"/>
        </w:trPr>
        <w:tc>
          <w:tcPr>
            <w:tcW w:w="1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p>
        </w:tc>
        <w:tc>
          <w:tcPr>
            <w:tcW w:w="620" w:type="dxa"/>
            <w:vAlign w:val="bottom"/>
          </w:tcPr>
          <w:p>
            <w:pPr>
              <w:spacing w:after="0"/>
              <w:rPr>
                <w:sz w:val="24"/>
                <w:szCs w:val="24"/>
                <w:color w:val="auto"/>
              </w:rPr>
            </w:pPr>
          </w:p>
        </w:tc>
        <w:tc>
          <w:tcPr>
            <w:tcW w:w="74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 Act of 2002.</w:t>
            </w:r>
          </w:p>
        </w:tc>
        <w:tc>
          <w:tcPr>
            <w:tcW w:w="2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shd w:val="clear" w:color="auto" w:fill="0000FF"/>
          </w:tcPr>
          <w:p>
            <w:pPr>
              <w:spacing w:after="0" w:line="20" w:lineRule="exact"/>
              <w:rPr>
                <w:sz w:val="1"/>
                <w:szCs w:val="1"/>
                <w:color w:val="auto"/>
              </w:rPr>
            </w:pPr>
          </w:p>
        </w:tc>
        <w:tc>
          <w:tcPr>
            <w:tcW w:w="2660" w:type="dxa"/>
            <w:vAlign w:val="bottom"/>
            <w:tcBorders>
              <w:left w:val="single" w:sz="8" w:color="0000FF"/>
            </w:tcBorders>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62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3"/>
              </w:rPr>
              <w:t>32.</w:t>
            </w:r>
            <w:r>
              <w:rPr>
                <w:rFonts w:ascii="Times New Roman" w:cs="Times New Roman" w:eastAsia="Times New Roman" w:hAnsi="Times New Roman"/>
                <w:sz w:val="14"/>
                <w:szCs w:val="14"/>
                <w:u w:val="single" w:color="auto"/>
                <w:color w:val="0000FF"/>
                <w:w w:val="93"/>
              </w:rPr>
              <w:t>1**</w:t>
            </w:r>
          </w:p>
        </w:tc>
        <w:tc>
          <w:tcPr>
            <w:tcW w:w="62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80" w:type="dxa"/>
            <w:vAlign w:val="bottom"/>
            <w:gridSpan w:val="3"/>
            <w:shd w:val="clear" w:color="auto" w:fill="0000FF"/>
          </w:tcPr>
          <w:p>
            <w:pPr>
              <w:spacing w:after="0" w:line="20" w:lineRule="exact"/>
              <w:rPr>
                <w:sz w:val="1"/>
                <w:szCs w:val="1"/>
                <w:color w:val="auto"/>
              </w:rPr>
            </w:pPr>
          </w:p>
        </w:tc>
        <w:tc>
          <w:tcPr>
            <w:tcW w:w="14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3"/>
              </w:rPr>
              <w:t>32.</w:t>
            </w:r>
            <w:r>
              <w:rPr>
                <w:rFonts w:ascii="Times New Roman" w:cs="Times New Roman" w:eastAsia="Times New Roman" w:hAnsi="Times New Roman"/>
                <w:sz w:val="14"/>
                <w:szCs w:val="14"/>
                <w:u w:val="single" w:color="auto"/>
                <w:color w:val="0000FF"/>
                <w:w w:val="93"/>
              </w:rPr>
              <w:t>2**</w:t>
            </w:r>
          </w:p>
        </w:tc>
        <w:tc>
          <w:tcPr>
            <w:tcW w:w="62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1221" w:right="180" w:hanging="886"/>
        <w:spacing w:after="0"/>
        <w:tabs>
          <w:tab w:leader="none" w:pos="122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materials from CompoSecure, Inc.'s Form 10-Q for the quarter ended March 31, 2024, formatted in Extensible Business Reporting Language (XBRL): (i) Consolidated Balance Sheets as of March 31, 2024 (Unaudited) and December 31, 2023, (ii) Consolidated Statements of Operations (Unaudited) for the three months ended March 31, 2024 and March 31, 2023, (iii) Consolidated Statements of Comprehensive Income (Unaudited) for the three months ended March 31, 2024 and March 31, 2023 (iv) Consolidated Statements of Stockholders’ Equity (Unaudited) for the three months ended March 31, 2024 and March 31, 2023, as well as the year ended December 31, 2023, (v) Consolidated Statements of Cash Flows (Unaudited) for the three months ended March 31, 2024 and March 31, 2023, and (vi) Notes to Consolidated Financial Statements - Unaudited.</w:t>
      </w:r>
    </w:p>
    <w:p>
      <w:pPr>
        <w:spacing w:after="0" w:line="240" w:lineRule="exact"/>
        <w:rPr>
          <w:sz w:val="20"/>
          <w:szCs w:val="20"/>
          <w:color w:val="auto"/>
        </w:rPr>
      </w:pPr>
    </w:p>
    <w:p>
      <w:pPr>
        <w:ind w:left="1221" w:hanging="886"/>
        <w:spacing w:after="0"/>
        <w:tabs>
          <w:tab w:leader="none" w:pos="1221"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19" w:lineRule="exact"/>
        <w:rPr>
          <w:rFonts w:ascii="Times New Roman" w:cs="Times New Roman" w:eastAsia="Times New Roman" w:hAnsi="Times New Roman"/>
          <w:sz w:val="14"/>
          <w:szCs w:val="14"/>
          <w:color w:val="auto"/>
        </w:rPr>
      </w:pPr>
    </w:p>
    <w:p>
      <w:pPr>
        <w:ind w:left="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40" w:lineRule="exact"/>
        <w:rPr>
          <w:rFonts w:ascii="Times New Roman" w:cs="Times New Roman" w:eastAsia="Times New Roman" w:hAnsi="Times New Roman"/>
          <w:sz w:val="14"/>
          <w:szCs w:val="14"/>
          <w:color w:val="auto"/>
        </w:rPr>
      </w:pPr>
    </w:p>
    <w:p>
      <w:pPr>
        <w:ind w:left="181" w:hanging="181"/>
        <w:spacing w:after="0"/>
        <w:tabs>
          <w:tab w:leader="none" w:pos="181"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SEC Release 33-8238, Exhibits 32.1 and 32.2 are being furnished and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941"/>
          </w:cols>
          <w:pgMar w:left="319" w:top="754" w:right="639" w:bottom="1440"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304165</wp:posOffset>
            </wp:positionV>
            <wp:extent cx="7106285" cy="9308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6285" cy="9308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8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6285" cy="9308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8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6285" cy="9308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8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6285" cy="9308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8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6285" cy="9308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6285"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6285"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294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9294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294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6285" cy="9294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294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9294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294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6285" cy="9294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294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9294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294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6285" cy="9294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Jonathan C. Wilk, certify that:</w:t>
      </w:r>
    </w:p>
    <w:p>
      <w:pPr>
        <w:spacing w:after="0" w:line="8" w:lineRule="exact"/>
        <w:rPr>
          <w:sz w:val="20"/>
          <w:szCs w:val="20"/>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CompoSecure, Inc.</w:t>
      </w:r>
    </w:p>
    <w:p>
      <w:pPr>
        <w:spacing w:after="0" w:line="8" w:lineRule="exact"/>
        <w:rPr>
          <w:rFonts w:ascii="Times New Roman" w:cs="Times New Roman" w:eastAsia="Times New Roman" w:hAnsi="Times New Roman"/>
          <w:sz w:val="14"/>
          <w:szCs w:val="14"/>
          <w:color w:val="auto"/>
        </w:rPr>
      </w:pPr>
    </w:p>
    <w:p>
      <w:pPr>
        <w:ind w:right="180" w:firstLine="5"/>
        <w:spacing w:after="0" w:line="252" w:lineRule="auto"/>
        <w:tabs>
          <w:tab w:leader="none" w:pos="24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40" w:firstLine="5"/>
        <w:spacing w:after="0" w:line="252" w:lineRule="auto"/>
        <w:tabs>
          <w:tab w:leader="none" w:pos="24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100" w:firstLine="5"/>
        <w:spacing w:after="0" w:line="252" w:lineRule="auto"/>
        <w:tabs>
          <w:tab w:leader="none" w:pos="24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right="60" w:hanging="7"/>
        <w:spacing w:after="0" w:line="252" w:lineRule="auto"/>
        <w:tabs>
          <w:tab w:leader="none" w:pos="77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right="260" w:hanging="7"/>
        <w:spacing w:after="0" w:line="252" w:lineRule="auto"/>
        <w:tabs>
          <w:tab w:leader="none" w:pos="778"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right="460" w:hanging="7"/>
        <w:spacing w:after="0" w:line="252" w:lineRule="auto"/>
        <w:tabs>
          <w:tab w:leader="none" w:pos="77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100" w:hanging="7"/>
        <w:spacing w:after="0" w:line="252" w:lineRule="auto"/>
        <w:tabs>
          <w:tab w:leader="none" w:pos="778"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0" w:firstLine="5"/>
        <w:spacing w:after="0" w:line="252" w:lineRule="auto"/>
        <w:tabs>
          <w:tab w:leader="none" w:pos="24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right="140" w:hanging="7"/>
        <w:spacing w:after="0" w:line="252" w:lineRule="auto"/>
        <w:tabs>
          <w:tab w:leader="none" w:pos="76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247"/>
        <w:spacing w:after="0"/>
        <w:tabs>
          <w:tab w:leader="none" w:pos="76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4"/>
          <w:szCs w:val="14"/>
          <w:color w:val="auto"/>
        </w:rPr>
        <w:t>Date: May 6, 2024</w:t>
      </w:r>
      <w:r>
        <w:rPr>
          <w:sz w:val="20"/>
          <w:szCs w:val="20"/>
          <w:color w:val="auto"/>
        </w:rPr>
        <w:tab/>
      </w: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Jonathan C. Wilk</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Name: Jonathan C. Wilk</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25" w:right="3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Timothy Fitzsimmons, certify that:</w:t>
      </w:r>
    </w:p>
    <w:p>
      <w:pPr>
        <w:spacing w:after="0" w:line="8" w:lineRule="exact"/>
        <w:rPr>
          <w:sz w:val="20"/>
          <w:szCs w:val="20"/>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CompoSecure, Inc.</w:t>
      </w:r>
    </w:p>
    <w:p>
      <w:pPr>
        <w:spacing w:after="0" w:line="8" w:lineRule="exact"/>
        <w:rPr>
          <w:rFonts w:ascii="Times New Roman" w:cs="Times New Roman" w:eastAsia="Times New Roman" w:hAnsi="Times New Roman"/>
          <w:sz w:val="14"/>
          <w:szCs w:val="14"/>
          <w:color w:val="auto"/>
        </w:rPr>
      </w:pPr>
    </w:p>
    <w:p>
      <w:pPr>
        <w:ind w:right="180" w:firstLine="5"/>
        <w:spacing w:after="0" w:line="252" w:lineRule="auto"/>
        <w:tabs>
          <w:tab w:leader="none" w:pos="24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40" w:firstLine="5"/>
        <w:spacing w:after="0" w:line="252" w:lineRule="auto"/>
        <w:tabs>
          <w:tab w:leader="none" w:pos="24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100" w:firstLine="5"/>
        <w:spacing w:after="0" w:line="252" w:lineRule="auto"/>
        <w:tabs>
          <w:tab w:leader="none" w:pos="24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right="60" w:hanging="7"/>
        <w:spacing w:after="0" w:line="252" w:lineRule="auto"/>
        <w:tabs>
          <w:tab w:leader="none" w:pos="77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right="260" w:hanging="7"/>
        <w:spacing w:after="0" w:line="252" w:lineRule="auto"/>
        <w:tabs>
          <w:tab w:leader="none" w:pos="77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right="460" w:hanging="7"/>
        <w:spacing w:after="0" w:line="252" w:lineRule="auto"/>
        <w:tabs>
          <w:tab w:leader="none" w:pos="77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100" w:hanging="7"/>
        <w:spacing w:after="0" w:line="252" w:lineRule="auto"/>
        <w:tabs>
          <w:tab w:leader="none" w:pos="77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0" w:firstLine="5"/>
        <w:spacing w:after="0" w:line="252" w:lineRule="auto"/>
        <w:tabs>
          <w:tab w:leader="none" w:pos="24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right="140" w:hanging="7"/>
        <w:spacing w:after="0" w:line="252" w:lineRule="auto"/>
        <w:tabs>
          <w:tab w:leader="none" w:pos="76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247"/>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4"/>
          <w:szCs w:val="14"/>
          <w:color w:val="auto"/>
        </w:rPr>
        <w:t>Date: May 6, 2024</w:t>
      </w:r>
      <w:r>
        <w:rPr>
          <w:sz w:val="20"/>
          <w:szCs w:val="20"/>
          <w:color w:val="auto"/>
        </w:rPr>
        <w:tab/>
      </w: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Timothy Fitzsimmons</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Name: Timothy Fitzsimmons</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1280"/>
          </w:cols>
          <w:pgMar w:left="300" w:top="125" w:right="3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4"/>
          <w:szCs w:val="14"/>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8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In connection with the Quarterly Report of CompoSecure, Inc., a Delaware corporation (the “Company”), on Form 10-Q for the quarter ended March 31, 2024, as filed with the Securities and Exchange Commission on the date hereof (the “Report”), I, Jonathan C. Wilk, President and Chief Executive Officer of the Company, hereby certify, pursuant to 18 U.S.C. § 1350, as adopted pursuant to Section 906 of the Sarbanes-Oxley Act of 2002, that to my knowledge:</w:t>
      </w:r>
    </w:p>
    <w:p>
      <w:pPr>
        <w:spacing w:after="0" w:line="157" w:lineRule="exact"/>
        <w:rPr>
          <w:sz w:val="20"/>
          <w:szCs w:val="20"/>
          <w:color w:val="auto"/>
        </w:rPr>
      </w:pPr>
    </w:p>
    <w:p>
      <w:pPr>
        <w:ind w:left="240" w:hanging="235"/>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4"/>
          <w:szCs w:val="14"/>
          <w:color w:val="auto"/>
        </w:rPr>
        <w:t>Date: May 6, 2024</w:t>
      </w:r>
      <w:r>
        <w:rPr>
          <w:sz w:val="20"/>
          <w:szCs w:val="20"/>
          <w:color w:val="auto"/>
        </w:rPr>
        <w:tab/>
      </w: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Jonathan C. Wilk</w:t>
      </w:r>
    </w:p>
    <w:p>
      <w:pPr>
        <w:spacing w:after="0" w:line="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Name: Jonathan C. Wilk</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25" w:right="3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4"/>
          <w:szCs w:val="14"/>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84"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4"/>
          <w:szCs w:val="14"/>
          <w:color w:val="auto"/>
        </w:rPr>
        <w:t>In connection with the Quarterly Report of CompoSecure, Inc., a Delaware corporation (the “Company”), on Form 10-Q for the quarter ended March 31, 2024, as filed with the Securities and Exchange Commission on the date hereof (the “Report”), I, Timothy Fitzsimmons, Chief Financial Officer of the Company, hereby certify, pursuant to 18 U.S.C. § 1350, as adopted pursuant to Section 906 of the Sarbanes-Oxley Act of 2002, that to my knowledge:</w:t>
      </w:r>
    </w:p>
    <w:p>
      <w:pPr>
        <w:spacing w:after="0" w:line="157" w:lineRule="exact"/>
        <w:rPr>
          <w:sz w:val="20"/>
          <w:szCs w:val="20"/>
          <w:color w:val="auto"/>
        </w:rPr>
      </w:pPr>
    </w:p>
    <w:p>
      <w:pPr>
        <w:ind w:left="240" w:hanging="235"/>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4"/>
          <w:szCs w:val="14"/>
          <w:color w:val="auto"/>
        </w:rPr>
        <w:t>Date: May 6, 2024</w:t>
      </w:r>
      <w:r>
        <w:rPr>
          <w:sz w:val="20"/>
          <w:szCs w:val="20"/>
          <w:color w:val="auto"/>
        </w:rPr>
        <w:tab/>
      </w: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Timothy Fitzsimmons</w:t>
      </w:r>
    </w:p>
    <w:p>
      <w:pPr>
        <w:spacing w:after="0" w:line="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Name: Timothy Fitzsimmons</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(Principal Financial and Accounting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1."/>
      <w:numFmt w:val="decimal"/>
      <w:start w:val="8"/>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lvl w:ilvl="1">
      <w:lvlJc w:val="left"/>
      <w:lvlText w:val="◦"/>
      <w:numFmt w:val="bullet"/>
      <w:start w:val="1"/>
    </w:lvl>
  </w:abstractNum>
  <w:abstractNum w:abstractNumId="10">
    <w:nsid w:val="7C83E458"/>
    <w:multiLevelType w:val="hybridMultilevel"/>
    <w:lvl w:ilvl="0">
      <w:lvlJc w:val="left"/>
      <w:lvlText w:val="•"/>
      <w:numFmt w:val="bullet"/>
      <w:start w:val="1"/>
    </w:lvl>
    <w:lvl w:ilvl="1">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01"/>
    </w:lvl>
  </w:abstractNum>
  <w:abstractNum w:abstractNumId="21">
    <w:nsid w:val="8EDBDAB"/>
    <w:multiLevelType w:val="hybridMultilevel"/>
    <w:lvl w:ilvl="0">
      <w:lvlJc w:val="left"/>
      <w:lvlText w:val="*"/>
      <w:numFmt w:val="bullet"/>
      <w:start w:val="1"/>
    </w:lvl>
    <w:lvl w:ilvl="1">
      <w:lvlJc w:val="left"/>
      <w:lvlText w:val="%2"/>
      <w:numFmt w:val="decimal"/>
      <w:start w:val="104"/>
    </w:lvl>
  </w:abstractNum>
  <w:abstractNum w:abstractNumId="22">
    <w:nsid w:val="79838CB2"/>
    <w:multiLevelType w:val="hybridMultilevel"/>
    <w:lvl w:ilvl="0">
      <w:lvlJc w:val="left"/>
      <w:lvlText w:val="**"/>
      <w:numFmt w:val="bullet"/>
      <w:start w:val="1"/>
    </w:lvl>
    <w:lvl w:ilvl="1">
      <w:lvlJc w:val="left"/>
      <w:lvlText w:val="%2"/>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2024-05-06T15:41:05Z</dcterms:created>
  <dcterms:modified xsi:type="dcterms:W3CDTF">2024-05-06T15:41:05Z</dcterms:modified>
</cp:coreProperties>
</file>