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158750</wp:posOffset>
            </wp:positionV>
            <wp:extent cx="2228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173355</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6"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2" w:lineRule="exact"/>
        <w:rPr>
          <w:sz w:val="24"/>
          <w:szCs w:val="24"/>
          <w:color w:val="auto"/>
        </w:rPr>
      </w:pPr>
    </w:p>
    <w:tbl>
      <w:tblPr>
        <w:tblLayout w:type="fixed"/>
        <w:tblInd w:w="3860" w:type="dxa"/>
        <w:tblCellMar>
          <w:top w:w="0" w:type="dxa"/>
          <w:left w:w="0" w:type="dxa"/>
          <w:bottom w:w="0" w:type="dxa"/>
          <w:right w:w="0" w:type="dxa"/>
        </w:tblCellMar>
      </w:tblPr>
      <w:tr>
        <w:trPr>
          <w:trHeight w:val="212"/>
        </w:trPr>
        <w:tc>
          <w:tcPr>
            <w:tcW w:w="262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For transition period from</w:t>
            </w: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83"/>
        </w:trPr>
        <w:tc>
          <w:tcPr>
            <w:tcW w:w="35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Commission File Number 001-39687</w:t>
            </w:r>
          </w:p>
        </w:tc>
      </w:tr>
      <w:tr>
        <w:trPr>
          <w:trHeight w:val="195"/>
        </w:trPr>
        <w:tc>
          <w:tcPr>
            <w:tcW w:w="2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bl>
    <w:p>
      <w:pPr>
        <w:spacing w:after="0" w:line="290" w:lineRule="exact"/>
        <w:rPr>
          <w:sz w:val="24"/>
          <w:szCs w:val="24"/>
          <w:color w:val="auto"/>
        </w:rPr>
      </w:pPr>
    </w:p>
    <w:tbl>
      <w:tblPr>
        <w:tblLayout w:type="fixed"/>
        <w:tblInd w:w="1700" w:type="dxa"/>
        <w:tblCellMar>
          <w:top w:w="0" w:type="dxa"/>
          <w:left w:w="0" w:type="dxa"/>
          <w:bottom w:w="0" w:type="dxa"/>
          <w:right w:w="0" w:type="dxa"/>
        </w:tblCellMar>
      </w:tblPr>
      <w:tr>
        <w:trPr>
          <w:trHeight w:val="429"/>
        </w:trPr>
        <w:tc>
          <w:tcPr>
            <w:tcW w:w="2160" w:type="dxa"/>
            <w:vAlign w:val="bottom"/>
          </w:tcPr>
          <w:p>
            <w:pPr>
              <w:spacing w:after="0"/>
              <w:rPr>
                <w:sz w:val="24"/>
                <w:szCs w:val="24"/>
                <w:color w:val="auto"/>
              </w:rPr>
            </w:pPr>
          </w:p>
        </w:tc>
        <w:tc>
          <w:tcPr>
            <w:tcW w:w="5440" w:type="dxa"/>
            <w:vAlign w:val="bottom"/>
            <w:gridSpan w:val="2"/>
          </w:tcPr>
          <w:p>
            <w:pPr>
              <w:jc w:val="center"/>
              <w:ind w:right="1830"/>
              <w:spacing w:after="0"/>
              <w:rPr>
                <w:sz w:val="20"/>
                <w:szCs w:val="20"/>
                <w:color w:val="auto"/>
              </w:rPr>
            </w:pPr>
            <w:r>
              <w:rPr>
                <w:rFonts w:ascii="Times New Roman" w:cs="Times New Roman" w:eastAsia="Times New Roman" w:hAnsi="Times New Roman"/>
                <w:sz w:val="32"/>
                <w:szCs w:val="32"/>
                <w:b w:val="1"/>
                <w:bCs w:val="1"/>
                <w:color w:val="auto"/>
              </w:rPr>
              <w:t>CompoSecure, Inc.</w:t>
            </w:r>
          </w:p>
        </w:tc>
      </w:tr>
      <w:tr>
        <w:trPr>
          <w:trHeight w:val="203"/>
        </w:trPr>
        <w:tc>
          <w:tcPr>
            <w:tcW w:w="2160" w:type="dxa"/>
            <w:vAlign w:val="bottom"/>
          </w:tcPr>
          <w:p>
            <w:pPr>
              <w:spacing w:after="0"/>
              <w:rPr>
                <w:sz w:val="17"/>
                <w:szCs w:val="17"/>
                <w:color w:val="auto"/>
              </w:rPr>
            </w:pPr>
          </w:p>
        </w:tc>
        <w:tc>
          <w:tcPr>
            <w:tcW w:w="5440" w:type="dxa"/>
            <w:vAlign w:val="bottom"/>
            <w:gridSpan w:val="2"/>
          </w:tcPr>
          <w:p>
            <w:pPr>
              <w:jc w:val="center"/>
              <w:ind w:right="181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66"/>
        </w:trPr>
        <w:tc>
          <w:tcPr>
            <w:tcW w:w="2160" w:type="dxa"/>
            <w:vAlign w:val="bottom"/>
          </w:tcPr>
          <w:p>
            <w:pPr>
              <w:spacing w:after="0"/>
              <w:rPr>
                <w:sz w:val="23"/>
                <w:szCs w:val="23"/>
                <w:color w:val="auto"/>
              </w:rPr>
            </w:pPr>
          </w:p>
        </w:tc>
        <w:tc>
          <w:tcPr>
            <w:tcW w:w="3520" w:type="dxa"/>
            <w:vAlign w:val="bottom"/>
            <w:tcBorders>
              <w:bottom w:val="single" w:sz="8" w:color="auto"/>
            </w:tcBorders>
          </w:tcPr>
          <w:p>
            <w:pPr>
              <w:spacing w:after="0"/>
              <w:rPr>
                <w:sz w:val="23"/>
                <w:szCs w:val="23"/>
                <w:color w:val="auto"/>
              </w:rPr>
            </w:pPr>
          </w:p>
        </w:tc>
        <w:tc>
          <w:tcPr>
            <w:tcW w:w="1920" w:type="dxa"/>
            <w:vAlign w:val="bottom"/>
          </w:tcPr>
          <w:p>
            <w:pPr>
              <w:spacing w:after="0"/>
              <w:rPr>
                <w:sz w:val="23"/>
                <w:szCs w:val="23"/>
                <w:color w:val="auto"/>
              </w:rPr>
            </w:pPr>
          </w:p>
        </w:tc>
      </w:tr>
      <w:tr>
        <w:trPr>
          <w:trHeight w:val="507"/>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gridSpan w:val="2"/>
          </w:tcPr>
          <w:p>
            <w:pPr>
              <w:jc w:val="center"/>
              <w:ind w:left="3661"/>
              <w:spacing w:after="0"/>
              <w:rPr>
                <w:sz w:val="20"/>
                <w:szCs w:val="20"/>
                <w:color w:val="auto"/>
              </w:rPr>
            </w:pPr>
            <w:r>
              <w:rPr>
                <w:rFonts w:ascii="Times New Roman" w:cs="Times New Roman" w:eastAsia="Times New Roman" w:hAnsi="Times New Roman"/>
                <w:sz w:val="18"/>
                <w:szCs w:val="18"/>
                <w:b w:val="1"/>
                <w:bCs w:val="1"/>
                <w:color w:val="auto"/>
              </w:rPr>
              <w:t>85-2749902</w:t>
            </w:r>
          </w:p>
        </w:tc>
      </w:tr>
      <w:tr>
        <w:trPr>
          <w:trHeight w:val="30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tcPr>
          <w:p>
            <w:pPr>
              <w:spacing w:after="0"/>
              <w:rPr>
                <w:sz w:val="24"/>
                <w:szCs w:val="24"/>
                <w:color w:val="auto"/>
              </w:rPr>
            </w:pPr>
          </w:p>
        </w:tc>
        <w:tc>
          <w:tcPr>
            <w:tcW w:w="1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spacing w:after="0"/>
              <w:rPr>
                <w:sz w:val="20"/>
                <w:szCs w:val="20"/>
                <w:color w:val="auto"/>
              </w:rPr>
            </w:pPr>
          </w:p>
        </w:tc>
        <w:tc>
          <w:tcPr>
            <w:tcW w:w="1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64"/>
        </w:trPr>
        <w:tc>
          <w:tcPr>
            <w:tcW w:w="2160" w:type="dxa"/>
            <w:vAlign w:val="bottom"/>
          </w:tcPr>
          <w:p>
            <w:pPr>
              <w:spacing w:after="0"/>
              <w:rPr>
                <w:sz w:val="24"/>
                <w:szCs w:val="24"/>
                <w:color w:val="auto"/>
              </w:rPr>
            </w:pPr>
          </w:p>
        </w:tc>
        <w:tc>
          <w:tcPr>
            <w:tcW w:w="544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309 Pierce St.</w:t>
            </w:r>
          </w:p>
        </w:tc>
      </w:tr>
      <w:tr>
        <w:trPr>
          <w:trHeight w:val="230"/>
        </w:trPr>
        <w:tc>
          <w:tcPr>
            <w:tcW w:w="2160" w:type="dxa"/>
            <w:vAlign w:val="bottom"/>
          </w:tcPr>
          <w:p>
            <w:pPr>
              <w:spacing w:after="0"/>
              <w:rPr>
                <w:sz w:val="19"/>
                <w:szCs w:val="19"/>
                <w:color w:val="auto"/>
              </w:rPr>
            </w:pPr>
          </w:p>
        </w:tc>
        <w:tc>
          <w:tcPr>
            <w:tcW w:w="544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Somerset, NJ 08873</w:t>
            </w:r>
          </w:p>
        </w:tc>
      </w:tr>
      <w:tr>
        <w:trPr>
          <w:trHeight w:val="238"/>
        </w:trPr>
        <w:tc>
          <w:tcPr>
            <w:tcW w:w="21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(908) 518-0500</w:t>
            </w:r>
          </w:p>
        </w:tc>
        <w:tc>
          <w:tcPr>
            <w:tcW w:w="1920" w:type="dxa"/>
            <w:vAlign w:val="bottom"/>
          </w:tcPr>
          <w:p>
            <w:pPr>
              <w:spacing w:after="0"/>
              <w:rPr>
                <w:sz w:val="20"/>
                <w:szCs w:val="20"/>
                <w:color w:val="auto"/>
              </w:rPr>
            </w:pPr>
          </w:p>
        </w:tc>
      </w:tr>
    </w:tbl>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205740</wp:posOffset>
            </wp:positionV>
            <wp:extent cx="2228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3900" w:type="dxa"/>
            <w:vAlign w:val="bottom"/>
            <w:gridSpan w:val="2"/>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0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40"/>
        </w:trPr>
        <w:tc>
          <w:tcPr>
            <w:tcW w:w="63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190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color w:val="auto"/>
              </w:rPr>
              <w:t>CMPO</w:t>
            </w:r>
          </w:p>
        </w:tc>
        <w:tc>
          <w:tcPr>
            <w:tcW w:w="3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The Nasdaq Global Market</w:t>
            </w:r>
          </w:p>
        </w:tc>
      </w:tr>
      <w:tr>
        <w:trPr>
          <w:trHeight w:val="229"/>
        </w:trPr>
        <w:tc>
          <w:tcPr>
            <w:tcW w:w="63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Redeemable Warrants, each whole warrant exercisable for one share of Class A Common Stock</w:t>
            </w:r>
          </w:p>
        </w:tc>
        <w:tc>
          <w:tcPr>
            <w:tcW w:w="190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color w:val="auto"/>
              </w:rPr>
              <w:t>CMPOW</w:t>
            </w:r>
          </w:p>
        </w:tc>
        <w:tc>
          <w:tcPr>
            <w:tcW w:w="3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The Nasdaq Global Market</w:t>
            </w:r>
          </w:p>
        </w:tc>
      </w:tr>
      <w:tr>
        <w:trPr>
          <w:trHeight w:val="1624"/>
        </w:trPr>
        <w:tc>
          <w:tcPr>
            <w:tcW w:w="2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50" w:lineRule="exact"/>
        <w:rPr>
          <w:sz w:val="20"/>
          <w:szCs w:val="20"/>
          <w:color w:val="auto"/>
        </w:rPr>
      </w:pPr>
    </w:p>
    <w:p>
      <w:pPr>
        <w:jc w:val="both"/>
        <w:spacing w:after="0" w:line="27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3" w:lineRule="exact"/>
        <w:rPr>
          <w:sz w:val="20"/>
          <w:szCs w:val="20"/>
          <w:color w:val="auto"/>
        </w:rPr>
      </w:pPr>
    </w:p>
    <w:p>
      <w:pPr>
        <w:jc w:val="both"/>
        <w:ind w:firstLine="364"/>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3" w:lineRule="exact"/>
        <w:rPr>
          <w:sz w:val="20"/>
          <w:szCs w:val="20"/>
          <w:color w:val="auto"/>
        </w:rPr>
      </w:pPr>
    </w:p>
    <w:p>
      <w:pPr>
        <w:jc w:val="both"/>
        <w:ind w:firstLine="364"/>
        <w:spacing w:after="0" w:line="30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8" w:lineRule="exact"/>
        <w:rPr>
          <w:sz w:val="20"/>
          <w:szCs w:val="20"/>
          <w:color w:val="auto"/>
        </w:rPr>
      </w:pPr>
    </w:p>
    <w:p>
      <w:pPr>
        <w:ind w:firstLine="364"/>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1" w:lineRule="exact"/>
        <w:rPr>
          <w:sz w:val="20"/>
          <w:szCs w:val="20"/>
          <w:color w:val="auto"/>
        </w:rPr>
      </w:pPr>
    </w:p>
    <w:p>
      <w:pPr>
        <w:ind w:left="38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77" w:lineRule="exact"/>
        <w:rPr>
          <w:sz w:val="20"/>
          <w:szCs w:val="20"/>
          <w:color w:val="auto"/>
        </w:rPr>
      </w:pPr>
    </w:p>
    <w:p>
      <w:pPr>
        <w:ind w:firstLine="364"/>
        <w:spacing w:after="0" w:line="329" w:lineRule="auto"/>
        <w:rPr>
          <w:sz w:val="20"/>
          <w:szCs w:val="20"/>
          <w:color w:val="auto"/>
        </w:rPr>
      </w:pPr>
      <w:r>
        <w:rPr>
          <w:rFonts w:ascii="Times New Roman" w:cs="Times New Roman" w:eastAsia="Times New Roman" w:hAnsi="Times New Roman"/>
          <w:sz w:val="18"/>
          <w:szCs w:val="18"/>
          <w:color w:val="auto"/>
        </w:rPr>
        <w:t>As of August 07, 2024, there were 30,000,843 shares of the registrant's Class A common stock outstanding and 51,908,422 shares of the registrant's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4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gridSpan w:val="6"/>
            <w:vMerge w:val="continue"/>
          </w:tcPr>
          <w:p>
            <w:pPr>
              <w:spacing w:after="0"/>
              <w:rPr>
                <w:sz w:val="17"/>
                <w:szCs w:val="17"/>
                <w:color w:val="auto"/>
              </w:rPr>
            </w:pPr>
          </w:p>
        </w:tc>
        <w:tc>
          <w:tcPr>
            <w:tcW w:w="9460" w:type="dxa"/>
            <w:vAlign w:val="bottom"/>
            <w:gridSpan w:val="19"/>
            <w:vMerge w:val="continue"/>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 1.</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Balance Sheets (Unaudited)</w:t>
            </w:r>
          </w:p>
        </w:tc>
        <w:tc>
          <w:tcPr>
            <w:tcW w:w="6180" w:type="dxa"/>
            <w:vAlign w:val="bottom"/>
            <w:gridSpan w:val="9"/>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(Unaudited)</w:t>
            </w:r>
          </w:p>
        </w:tc>
        <w:tc>
          <w:tcPr>
            <w:tcW w:w="5460" w:type="dxa"/>
            <w:vAlign w:val="bottom"/>
            <w:gridSpan w:val="8"/>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 (Unaudited)</w:t>
            </w:r>
          </w:p>
        </w:tc>
        <w:tc>
          <w:tcPr>
            <w:tcW w:w="160" w:type="dxa"/>
            <w:vAlign w:val="bottom"/>
            <w:tcBorders>
              <w:top w:val="single" w:sz="8" w:color="0000FF"/>
            </w:tcBorders>
          </w:tcPr>
          <w:p>
            <w:pPr>
              <w:spacing w:after="0"/>
              <w:rPr>
                <w:sz w:val="22"/>
                <w:szCs w:val="22"/>
                <w:color w:val="auto"/>
              </w:rPr>
            </w:pPr>
          </w:p>
        </w:tc>
        <w:tc>
          <w:tcPr>
            <w:tcW w:w="4540" w:type="dxa"/>
            <w:vAlign w:val="bottom"/>
            <w:gridSpan w:val="2"/>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(Unaudited)</w:t>
            </w:r>
          </w:p>
        </w:tc>
        <w:tc>
          <w:tcPr>
            <w:tcW w:w="5400" w:type="dxa"/>
            <w:vAlign w:val="bottom"/>
            <w:gridSpan w:val="7"/>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5120" w:type="dxa"/>
            <w:vAlign w:val="bottom"/>
            <w:gridSpan w:val="6"/>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2.</w:t>
            </w: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0000FF"/>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3.</w:t>
            </w:r>
          </w:p>
        </w:tc>
        <w:tc>
          <w:tcPr>
            <w:tcW w:w="280" w:type="dxa"/>
            <w:vAlign w:val="bottom"/>
          </w:tcPr>
          <w:p>
            <w:pPr>
              <w:spacing w:after="0"/>
              <w:rPr>
                <w:sz w:val="22"/>
                <w:szCs w:val="22"/>
                <w:color w:val="auto"/>
              </w:rPr>
            </w:pPr>
          </w:p>
        </w:tc>
        <w:tc>
          <w:tcPr>
            <w:tcW w:w="43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080" w:type="dxa"/>
            <w:vAlign w:val="bottom"/>
            <w:tcBorders>
              <w:top w:val="single" w:sz="8" w:color="0000FF"/>
            </w:tcBorders>
            <w:gridSpan w:val="3"/>
          </w:tcPr>
          <w:p>
            <w:pPr>
              <w:spacing w:after="0"/>
              <w:rPr>
                <w:sz w:val="22"/>
                <w:szCs w:val="22"/>
                <w:color w:val="auto"/>
              </w:rPr>
            </w:pPr>
          </w:p>
        </w:tc>
        <w:tc>
          <w:tcPr>
            <w:tcW w:w="28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 4.</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Controls and Procedures</w:t>
            </w:r>
          </w:p>
        </w:tc>
        <w:tc>
          <w:tcPr>
            <w:tcW w:w="7460" w:type="dxa"/>
            <w:vAlign w:val="bottom"/>
            <w:gridSpan w:val="11"/>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00" w:type="dxa"/>
            <w:vAlign w:val="bottom"/>
            <w:gridSpan w:val="2"/>
          </w:tcPr>
          <w:p>
            <w:pPr>
              <w:spacing w:after="0"/>
              <w:rPr>
                <w:sz w:val="22"/>
                <w:szCs w:val="22"/>
                <w:color w:val="auto"/>
              </w:rPr>
            </w:pPr>
          </w:p>
        </w:tc>
        <w:tc>
          <w:tcPr>
            <w:tcW w:w="1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8000" w:type="dxa"/>
            <w:vAlign w:val="bottom"/>
            <w:gridSpan w:val="15"/>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1.</w:t>
            </w:r>
          </w:p>
        </w:tc>
        <w:tc>
          <w:tcPr>
            <w:tcW w:w="280" w:type="dxa"/>
            <w:vAlign w:val="bottom"/>
          </w:tcPr>
          <w:p>
            <w:pPr>
              <w:spacing w:after="0"/>
              <w:rPr>
                <w:sz w:val="22"/>
                <w:szCs w:val="22"/>
                <w:color w:val="auto"/>
              </w:rPr>
            </w:pPr>
          </w:p>
        </w:tc>
        <w:tc>
          <w:tcPr>
            <w:tcW w:w="1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900" w:type="dxa"/>
            <w:vAlign w:val="bottom"/>
            <w:gridSpan w:val="13"/>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 1A.</w:t>
            </w: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2.</w:t>
            </w: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3.</w:t>
            </w:r>
          </w:p>
        </w:tc>
        <w:tc>
          <w:tcPr>
            <w:tcW w:w="280" w:type="dxa"/>
            <w:vAlign w:val="bottom"/>
          </w:tcPr>
          <w:p>
            <w:pPr>
              <w:spacing w:after="0"/>
              <w:rPr>
                <w:sz w:val="22"/>
                <w:szCs w:val="22"/>
                <w:color w:val="auto"/>
              </w:rPr>
            </w:pPr>
          </w:p>
        </w:tc>
        <w:tc>
          <w:tcPr>
            <w:tcW w:w="42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00" w:type="dxa"/>
            <w:vAlign w:val="bottom"/>
            <w:gridSpan w:val="5"/>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0000FF"/>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4.</w:t>
            </w:r>
          </w:p>
        </w:tc>
        <w:tc>
          <w:tcPr>
            <w:tcW w:w="280" w:type="dxa"/>
            <w:vAlign w:val="bottom"/>
          </w:tcPr>
          <w:p>
            <w:pPr>
              <w:spacing w:after="0"/>
              <w:rPr>
                <w:sz w:val="22"/>
                <w:szCs w:val="22"/>
                <w:color w:val="auto"/>
              </w:rPr>
            </w:pPr>
          </w:p>
        </w:tc>
        <w:tc>
          <w:tcPr>
            <w:tcW w:w="17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Mine Safety Disclosures</w:t>
            </w:r>
          </w:p>
        </w:tc>
        <w:tc>
          <w:tcPr>
            <w:tcW w:w="540" w:type="dxa"/>
            <w:vAlign w:val="bottom"/>
            <w:tcBorders>
              <w:top w:val="single" w:sz="8" w:color="0000FF"/>
            </w:tcBorders>
          </w:tcPr>
          <w:p>
            <w:pPr>
              <w:spacing w:after="0"/>
              <w:rPr>
                <w:sz w:val="22"/>
                <w:szCs w:val="22"/>
                <w:color w:val="auto"/>
              </w:rPr>
            </w:pPr>
          </w:p>
        </w:tc>
        <w:tc>
          <w:tcPr>
            <w:tcW w:w="6920" w:type="dxa"/>
            <w:vAlign w:val="bottom"/>
            <w:gridSpan w:val="10"/>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5.</w:t>
            </w:r>
          </w:p>
        </w:tc>
        <w:tc>
          <w:tcPr>
            <w:tcW w:w="280" w:type="dxa"/>
            <w:vAlign w:val="bottom"/>
          </w:tcPr>
          <w:p>
            <w:pPr>
              <w:spacing w:after="0"/>
              <w:rPr>
                <w:sz w:val="22"/>
                <w:szCs w:val="22"/>
                <w:color w:val="auto"/>
              </w:rPr>
            </w:pP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Other Information</w:t>
            </w:r>
          </w:p>
        </w:tc>
        <w:tc>
          <w:tcPr>
            <w:tcW w:w="7920" w:type="dxa"/>
            <w:vAlign w:val="bottom"/>
            <w:gridSpan w:val="14"/>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 6.</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and the documents incorporated by reference herein, may contain forward-looking statements as defined by the Private Securities Litigation Reform Act of 1995. These statements are based on the beliefs and assumptions of management. Although CompoSecure, Inc. (the "Company") believes that its plans, intentions, and expectations reflected in or suggested by these forward-looking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spacing w:after="0" w:line="243" w:lineRule="exact"/>
        <w:rPr>
          <w:sz w:val="20"/>
          <w:szCs w:val="20"/>
          <w:color w:val="auto"/>
        </w:rPr>
      </w:pPr>
    </w:p>
    <w:p>
      <w:pPr>
        <w:ind w:left="660" w:right="22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the Company to grow and manage growth profitably, maintain relationships with customers, compete within its industry and retain its key employees;</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possibility that the Company may be adversely impacted by other global economic, business, and/or competitive factors;</w:t>
      </w:r>
    </w:p>
    <w:p>
      <w:pPr>
        <w:spacing w:after="0" w:line="22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Company or others;</w:t>
      </w:r>
    </w:p>
    <w:p>
      <w:pPr>
        <w:spacing w:after="0" w:line="2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future exchange and interest rates; and</w:t>
      </w:r>
    </w:p>
    <w:p>
      <w:pPr>
        <w:spacing w:after="0" w:line="265" w:lineRule="exact"/>
        <w:rPr>
          <w:rFonts w:ascii="Arial" w:cs="Arial" w:eastAsia="Arial" w:hAnsi="Arial"/>
          <w:sz w:val="22"/>
          <w:szCs w:val="22"/>
          <w:color w:val="auto"/>
        </w:rPr>
      </w:pPr>
    </w:p>
    <w:p>
      <w:pPr>
        <w:ind w:left="660" w:right="12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other risks and uncertainties indicated in this report, including those under “Risk Factors” herein, and other filings that have been made or will be made with the SEC.</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 w:name="page5"/>
    <w:bookmarkEnd w:id="4"/>
    <w:p>
      <w:pPr>
        <w:jc w:val="right"/>
        <w:ind w:right="3399"/>
        <w:spacing w:after="0"/>
        <w:rPr>
          <w:sz w:val="20"/>
          <w:szCs w:val="20"/>
          <w:color w:val="auto"/>
        </w:rPr>
      </w:pPr>
      <w:r>
        <w:rPr>
          <w:rFonts w:ascii="Times New Roman" w:cs="Times New Roman" w:eastAsia="Times New Roman" w:hAnsi="Times New Roman"/>
          <w:sz w:val="18"/>
          <w:szCs w:val="18"/>
          <w:b w:val="1"/>
          <w:bCs w:val="1"/>
          <w:color w:val="auto"/>
        </w:rPr>
        <w:t>Part I -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03"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0205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99"/>
        </w:trPr>
        <w:tc>
          <w:tcPr>
            <w:tcW w:w="7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41,216</w:t>
            </w: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40,488</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57,514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52,540</w:t>
            </w: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w:t>
            </w:r>
          </w:p>
        </w:tc>
      </w:tr>
      <w:tr>
        <w:trPr>
          <w:trHeight w:val="23"/>
        </w:trPr>
        <w:tc>
          <w:tcPr>
            <w:tcW w:w="7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136,481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139,377</w:t>
            </w:r>
          </w:p>
        </w:tc>
      </w:tr>
      <w:tr>
        <w:trPr>
          <w:trHeight w:val="203"/>
        </w:trPr>
        <w:tc>
          <w:tcPr>
            <w:tcW w:w="7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25,212</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net</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7,473</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23,697</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 - interest rate swap</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and other assets</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3"/>
        </w:trPr>
        <w:tc>
          <w:tcPr>
            <w:tcW w:w="7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213,355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201,041</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5"/>
        </w:trPr>
        <w:tc>
          <w:tcPr>
            <w:tcW w:w="77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11,986</w:t>
            </w: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Commission payable</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Bonus payable</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5,616</w:t>
            </w: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10,313</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Current portion of tax receivable agreement liability</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r>
      <w:tr>
        <w:trPr>
          <w:trHeight w:val="23"/>
        </w:trPr>
        <w:tc>
          <w:tcPr>
            <w:tcW w:w="7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40,910</w:t>
            </w:r>
          </w:p>
        </w:tc>
      </w:tr>
      <w:tr>
        <w:trPr>
          <w:trHeight w:val="203"/>
        </w:trPr>
        <w:tc>
          <w:tcPr>
            <w:tcW w:w="7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finance costs</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198,331</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127,832</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liability - convertible notes redemption make-whole provision</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8,294</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operating</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23,949</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consideration liability</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r>
      <w:tr>
        <w:trPr>
          <w:trHeight w:val="200"/>
        </w:trPr>
        <w:tc>
          <w:tcPr>
            <w:tcW w:w="7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422,471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406,814</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7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7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516,489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596,587</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62"/>
        </w:trPr>
        <w:tc>
          <w:tcPr>
            <w:tcW w:w="7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w:t>
            </w:r>
          </w:p>
        </w:tc>
        <w:tc>
          <w:tcPr>
            <w:tcW w:w="3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$0.0001 par value; 250,000,000 shares authorized, 29,847,338 and 19,415,123 shares issued and outstanding</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June 30, 2024 and December 31, 2023, respectively.</w:t>
            </w: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 $0.0001 par value; 75,000,000 shares authorized, 51,908,422 and 59,958,422 shares issued and outstanding</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June 30, 2024 and December 31, 2023, respectively.</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39,466</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4,991</w:t>
            </w:r>
          </w:p>
        </w:tc>
      </w:tr>
      <w:tr>
        <w:trPr>
          <w:trHeight w:val="24"/>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(766,719)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(846,825)</w:t>
            </w:r>
          </w:p>
        </w:tc>
      </w:tr>
      <w:tr>
        <w:trPr>
          <w:trHeight w:val="19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(725,605)</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(802,360)</w:t>
            </w:r>
          </w:p>
        </w:tc>
      </w:tr>
      <w:tr>
        <w:trPr>
          <w:trHeight w:val="24"/>
        </w:trPr>
        <w:tc>
          <w:tcPr>
            <w:tcW w:w="7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DEFICIT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201,041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unaudited consolidated financial statements.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 (Unaudited)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05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2"/>
                <w:szCs w:val="22"/>
                <w:color w:val="auto"/>
              </w:rPr>
            </w:pPr>
          </w:p>
        </w:tc>
        <w:tc>
          <w:tcPr>
            <w:tcW w:w="2800" w:type="dxa"/>
            <w:vAlign w:val="bottom"/>
            <w:gridSpan w:val="4"/>
          </w:tcPr>
          <w:p>
            <w:pPr>
              <w:jc w:val="right"/>
              <w:ind w:right="310"/>
              <w:spacing w:after="0"/>
              <w:rPr>
                <w:sz w:val="20"/>
                <w:szCs w:val="20"/>
                <w:color w:val="auto"/>
              </w:rPr>
            </w:pPr>
            <w:r>
              <w:rPr>
                <w:rFonts w:ascii="Times New Roman" w:cs="Times New Roman" w:eastAsia="Times New Roman" w:hAnsi="Times New Roman"/>
                <w:sz w:val="20"/>
                <w:szCs w:val="20"/>
                <w:b w:val="1"/>
                <w:bCs w:val="1"/>
                <w:color w:val="auto"/>
              </w:rPr>
              <w:t>Six months ended June 30,</w:t>
            </w:r>
          </w:p>
        </w:tc>
      </w:tr>
      <w:tr>
        <w:trPr>
          <w:trHeight w:val="264"/>
        </w:trPr>
        <w:tc>
          <w:tcPr>
            <w:tcW w:w="5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1"/>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212,577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193,843</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86,552</w:t>
            </w:r>
          </w:p>
        </w:tc>
      </w:tr>
      <w:tr>
        <w:trPr>
          <w:trHeight w:val="40"/>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107,291</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1"/>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3"/>
        </w:trPr>
        <w:tc>
          <w:tcPr>
            <w:tcW w:w="50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47,532</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59,759</w:t>
            </w:r>
          </w:p>
        </w:tc>
      </w:tr>
      <w:tr>
        <w:trPr>
          <w:trHeight w:val="40"/>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42"/>
        </w:trPr>
        <w:tc>
          <w:tcPr>
            <w:tcW w:w="5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1"/>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Revaluation of earnout consideration liability</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43"/>
        </w:trPr>
        <w:tc>
          <w:tcPr>
            <w:tcW w:w="5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Revaluation of warrant liability</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5"/>
        </w:trPr>
        <w:tc>
          <w:tcPr>
            <w:tcW w:w="5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Change in fair value of derivative liability - convertible notes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5"/>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redemption make-whole provision</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43"/>
        </w:trPr>
        <w:tc>
          <w:tcPr>
            <w:tcW w:w="5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r>
      <w:tr>
        <w:trPr>
          <w:trHeight w:val="41"/>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3"/>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37"/>
        </w:trPr>
        <w:tc>
          <w:tcPr>
            <w:tcW w:w="5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(16,605)</w:t>
            </w:r>
          </w:p>
        </w:tc>
      </w:tr>
      <w:tr>
        <w:trPr>
          <w:trHeight w:val="40"/>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43,154</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40"/>
        </w:trPr>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9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25"/>
        </w:trPr>
        <w:tc>
          <w:tcPr>
            <w:tcW w:w="5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income attributable to redeemable non-controlling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5"/>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w:t>
            </w:r>
          </w:p>
        </w:tc>
      </w:tr>
      <w:tr>
        <w:trPr>
          <w:trHeight w:val="243"/>
        </w:trPr>
        <w:tc>
          <w:tcPr>
            <w:tcW w:w="5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income attributable to CompoSecure,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5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Class A common stockholders -</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40"/>
        </w:trPr>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Class A common stockholders -</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70"/>
        </w:trPr>
        <w:tc>
          <w:tcPr>
            <w:tcW w:w="5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to compute net income per share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Class A common stockholders - basic (in thousands)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18,087</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to compute net income per share</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Class A common stockholders - diluted (in thousands)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unaudited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gridSpan w:val="4"/>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1"/>
        </w:trPr>
        <w:tc>
          <w:tcPr>
            <w:tcW w:w="39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7"/>
        </w:trPr>
        <w:tc>
          <w:tcPr>
            <w:tcW w:w="39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
        </w:trPr>
        <w:tc>
          <w:tcPr>
            <w:tcW w:w="39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40" w:type="dxa"/>
            <w:vAlign w:val="bottom"/>
            <w:tcBorders>
              <w:bottom w:val="single" w:sz="8" w:color="CCEEFF"/>
            </w:tcBorders>
            <w:shd w:val="clear" w:color="auto" w:fill="CCEEFF"/>
          </w:tcPr>
          <w:p>
            <w:pPr>
              <w:jc w:val="right"/>
              <w:ind w:right="95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43,447</w:t>
            </w:r>
          </w:p>
        </w:tc>
      </w:tr>
      <w:tr>
        <w:trPr>
          <w:trHeight w:val="204"/>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w:t>
            </w:r>
          </w:p>
        </w:tc>
        <w:tc>
          <w:tcPr>
            <w:tcW w:w="1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33"/>
        </w:trPr>
        <w:tc>
          <w:tcPr>
            <w:tcW w:w="3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3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Unrealized gain (loss) on derivative - interest rate swap,</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3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of tax)</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w:t>
            </w:r>
          </w:p>
        </w:tc>
        <w:tc>
          <w:tcPr>
            <w:tcW w:w="1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33"/>
        </w:trPr>
        <w:tc>
          <w:tcPr>
            <w:tcW w:w="3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33,002</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unaudited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340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5"/>
                <w:szCs w:val="15"/>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72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7"/>
                <w:szCs w:val="17"/>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2"/>
                <w:szCs w:val="2"/>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2"/>
                <w:szCs w:val="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2"/>
                <w:szCs w:val="2"/>
                <w:color w:val="auto"/>
              </w:rPr>
            </w:pPr>
          </w:p>
        </w:tc>
        <w:tc>
          <w:tcPr>
            <w:tcW w:w="84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2"/>
                <w:szCs w:val="2"/>
                <w:color w:val="auto"/>
              </w:rPr>
            </w:pPr>
          </w:p>
        </w:tc>
        <w:tc>
          <w:tcPr>
            <w:tcW w:w="8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19,415,123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59,958,422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(846,825)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(802,360)</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596,587</w:t>
            </w: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exercises of options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 net of shares withheld for taxes,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ESPP transactions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1,183,123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withheld related to net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settlement of equity awards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 exchanges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 interest rate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of redeemable non-controlling</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 to redemption value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20,598,246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59,958,422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(839,903)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(793,958)</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596,587</w:t>
            </w: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to Class A shareholders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exercises of options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11,099</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22,498</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 net of shares withheld for taxes,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ESPP transactions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1,199,092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withheld related to net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settlement of equity awards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exchanges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8,050,000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(8,050,000)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 interest rate</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of redeemable non-controlling</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 to redemption value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102,596</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(102,596)</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29,847,338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51,908,422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(766,719)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(725,605)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516,489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unaudited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3403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Redeemable</w:t>
            </w:r>
          </w:p>
        </w:tc>
      </w:tr>
      <w:tr>
        <w:trPr>
          <w:trHeight w:val="176"/>
        </w:trPr>
        <w:tc>
          <w:tcPr>
            <w:tcW w:w="2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5"/>
                <w:szCs w:val="15"/>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Non-</w:t>
            </w:r>
          </w:p>
        </w:tc>
      </w:tr>
      <w:tr>
        <w:trPr>
          <w:trHeight w:val="204"/>
        </w:trPr>
        <w:tc>
          <w:tcPr>
            <w:tcW w:w="2860" w:type="dxa"/>
            <w:vAlign w:val="bottom"/>
          </w:tcPr>
          <w:p>
            <w:pPr>
              <w:spacing w:after="0"/>
              <w:rPr>
                <w:sz w:val="17"/>
                <w:szCs w:val="17"/>
                <w:color w:val="auto"/>
              </w:rPr>
            </w:pPr>
          </w:p>
        </w:tc>
        <w:tc>
          <w:tcPr>
            <w:tcW w:w="172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7"/>
                <w:szCs w:val="17"/>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Controlling</w:t>
            </w:r>
          </w:p>
        </w:tc>
      </w:tr>
      <w:tr>
        <w:trPr>
          <w:trHeight w:val="23"/>
        </w:trPr>
        <w:tc>
          <w:tcPr>
            <w:tcW w:w="2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23"/>
        </w:trPr>
        <w:tc>
          <w:tcPr>
            <w:tcW w:w="28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19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16,446,748</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60,325,057</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24,107</w:t>
            </w:r>
          </w:p>
        </w:tc>
        <w:tc>
          <w:tcPr>
            <w:tcW w:w="8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8,283</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(924,630)</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(892,232)</w:t>
            </w:r>
          </w:p>
        </w:tc>
        <w:tc>
          <w:tcPr>
            <w:tcW w:w="100" w:type="dxa"/>
            <w:vAlign w:val="bottom"/>
            <w:tcBorders>
              <w:right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600,234</w:t>
            </w: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 net of shares withheld for taxes,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ESPP transactions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1,564,956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exercises of options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withheld related to net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settlement of equity awards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exchanges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366,635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(366,635)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 interest rate</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of redeemable non-controlling</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 to redemption value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(12,055)</w:t>
            </w:r>
          </w:p>
        </w:tc>
      </w:tr>
      <w:tr>
        <w:trPr>
          <w:trHeight w:val="23"/>
        </w:trPr>
        <w:tc>
          <w:tcPr>
            <w:tcW w:w="2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18,378,339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59,958,422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25,576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6,634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(919,960)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(887,742)</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596,587</w:t>
            </w:r>
          </w:p>
        </w:tc>
      </w:tr>
      <w:tr>
        <w:trPr>
          <w:trHeight w:val="20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(19,294)</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(19,294)</w:t>
            </w:r>
          </w:p>
        </w:tc>
        <w:tc>
          <w:tcPr>
            <w:tcW w:w="100" w:type="dxa"/>
            <w:vAlign w:val="bottom"/>
            <w:tcBorders>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26,973</w:t>
            </w: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 net of shares withheld for taxes,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employee stock purchase plan transactions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313,767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exercises of options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withheld related to net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settlement of equity awards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 interest rate</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swap, net of tax</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of redeemable non-controlling</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 to redemption value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(26,973)</w:t>
            </w:r>
          </w:p>
        </w:tc>
      </w:tr>
      <w:tr>
        <w:trPr>
          <w:trHeight w:val="23"/>
        </w:trPr>
        <w:tc>
          <w:tcPr>
            <w:tcW w:w="2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18,692,106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59,958,422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30,137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7,910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(906,544)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(868,489)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596,587</w:t>
            </w:r>
          </w:p>
        </w:tc>
      </w:tr>
      <w:tr>
        <w:trPr>
          <w:trHeight w:val="20"/>
        </w:trPr>
        <w:tc>
          <w:tcPr>
            <w:tcW w:w="2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unaudited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(Unaudited)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034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57"/>
        </w:trPr>
        <w:tc>
          <w:tcPr>
            <w:tcW w:w="8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8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50,670</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43,447</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by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r>
      <w:tr>
        <w:trPr>
          <w:trHeight w:val="224"/>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8,415</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deferred finance costs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 in fair value of earnout consideration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(4,221)</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Revaluation of warrant liability</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7,968</w:t>
            </w:r>
          </w:p>
        </w:tc>
      </w:tr>
      <w:tr>
        <w:trPr>
          <w:trHeight w:val="224"/>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tax (benefit)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24"/>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(6,515)</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24"/>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33"/>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52,981</w:t>
            </w:r>
          </w:p>
        </w:tc>
      </w:tr>
      <w:tr>
        <w:trPr>
          <w:trHeight w:val="128"/>
        </w:trPr>
        <w:tc>
          <w:tcPr>
            <w:tcW w:w="82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Capitalized software expenditures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(5,697)</w:t>
            </w:r>
          </w:p>
        </w:tc>
      </w:tr>
      <w:tr>
        <w:trPr>
          <w:trHeight w:val="33"/>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exercises of equity awards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Payment of tax receivable agreement liability</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 of term loan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Tax distributions to non-controlling members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(29,008)</w:t>
            </w: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Special distribution to non-controlling members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Dividend to Class A shareholders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(68,298)</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(38,312)</w:t>
            </w:r>
          </w:p>
        </w:tc>
      </w:tr>
      <w:tr>
        <w:trPr>
          <w:trHeight w:val="33"/>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2"/>
        </w:trPr>
        <w:tc>
          <w:tcPr>
            <w:tcW w:w="8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8,972</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9"/>
        </w:trPr>
        <w:tc>
          <w:tcPr>
            <w:tcW w:w="8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13,642</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82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r>
      <w:tr>
        <w:trPr>
          <w:trHeight w:val="24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22,614</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Supplementary disclosure of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 expense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12,890</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13,626</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asset - interest rate swap</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unaudited consolidated financial statements.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ORGANIZATION AND BUSINESS OPERATIONS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CompoSecure, Inc. (“CompoSecure” or the “Company”) is a manufacturer and designer of complex metal, composite and proprietary financial transaction cards. The Company was founded and commenced operations in 2000. It provides products and services primarily to global financial institutions, plastic card manufacturers, system integrators, and security specialists. The Company is located in Somerset, New Jersey. Since its inception, the Company has established itself as a technology partner to market leaders, fintechs and consumers enabling trust for millions of people around the globe. The Company combines elegance, simplicity and security to deliver exceptional experiences and peace of mind in the physical and digital world. The Company’s innovative payment card technology and metal cards with Arculus secure authentication and digital asset storage capabilities deliver unique, premium branded experiences, enable people to access and use their financial and digital assets, and ensure trust at the point of a transaction.</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creates newly innovated, highly differentiated and customized quality financial payment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with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21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CompoSecure is operated as an umbrella partnership C corporation (“Up-C”) meaning that the sole asset of CompoSecure, Inc. is its interest in CompoSecure Holdings, L.L.C. ("Holdings") and the related deferred tax asset. Holdings is an entity taxed as a partnership for U.S. federal income tax purposes and owned by both the historical owners and CompoSecure, Inc. By virtue of control of the board of managers of Holdings, CompoSecure, Inc. operates and controls the business and affairs of CompoSecure. As a result, the Company consolidates the financial results of Holdings and reports a non-controlling interest related to the Holdings units not owned by CompoSecure, Inc.</w:t>
      </w:r>
    </w:p>
    <w:p>
      <w:pPr>
        <w:spacing w:after="0" w:line="179" w:lineRule="exact"/>
        <w:rPr>
          <w:sz w:val="20"/>
          <w:szCs w:val="20"/>
          <w:color w:val="auto"/>
        </w:rPr>
      </w:pPr>
    </w:p>
    <w:p>
      <w:pPr>
        <w:ind w:right="634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conformity with U.S. GAAP and pursuant to the rules and regulations of the U.S.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subsidiaries. All intercompany accounts and transactions have been eliminated in consolidation. Certain reclassifications have been made to conform to the current year presentation. All dollar amounts are in thousands, unless otherwise noted. Share and per share amounts are presented on a post-conversion basis for all periods presented, unless otherwise noted.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significant accounting policies are detailed in our Annual Report on Form 10-K for the year ended December 31, 2023 filed with the SEC.</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Interim Financial Statements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and Article 10 of Regulation S-X of the SEC for interim financial information. and should be read in conjunction with the Company’s Annual Report on Form 10-K for the year ended December 31, 2023. The financial statements presented in this Quarterly Report on Form 10-Q are unaudited; however, in the opinion of management, the financial statements reflect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adjustments, consisting solely of normal, recurring adjustments, necessary for the fair presentation of the financial statements for the periods presented. The results disclosed in the Consolidated Statements of Operations for the three and six months period ended June 30, 2024 are not necessarily indicative of the results to be expected for the full year.</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(as defined below), which are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June 30, 2024 or December 31, 2023.</w:t>
      </w:r>
    </w:p>
    <w:p>
      <w:pPr>
        <w:spacing w:after="0" w:line="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w:t>
      </w:r>
    </w:p>
    <w:p>
      <w:pPr>
        <w:spacing w:after="0" w:line="5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measured in an amount that reflects the consideration the Company expects to receive in exchange for those products or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net of variable consideration such as discounts, rebates, and returns.</w:t>
      </w:r>
    </w:p>
    <w:p>
      <w:pPr>
        <w:spacing w:after="0" w:line="9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is managed and operated as one business, as the entire business is managed by a single management team that reports to the Chief Executive Officer and President. The Company's chief operating decision-maker ("CODM") is its Chief Executive Officer and President, who makes resource allocation decisions and assesses performance based on financial information presented on an aggregate basis. The Company does not operate separate lines of business with respect to any of its products and does not review discrete financial information to allocate resources to separate products or by location. Accordingly, the Company views its business as one reportable operating segment.</w:t>
      </w:r>
    </w:p>
    <w:p>
      <w:pPr>
        <w:spacing w:after="0" w:line="21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Characteristics of the organization which were relied upon in making the determination that the Company operates in one reportable segment include the similar nature of all of the products that the Company sells, the functional alignment of the Company’s organizational structure, and the reports that are regularly reviewed by the CODM for the purpose of assessing performance and allocating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54" w:lineRule="exact"/>
        <w:rPr>
          <w:sz w:val="20"/>
          <w:szCs w:val="20"/>
          <w:color w:val="auto"/>
        </w:rPr>
      </w:pPr>
    </w:p>
    <w:p>
      <w:pPr>
        <w:ind w:right="300" w:firstLine="648"/>
        <w:spacing w:after="0" w:line="277" w:lineRule="auto"/>
        <w:rPr>
          <w:sz w:val="20"/>
          <w:szCs w:val="20"/>
          <w:color w:val="auto"/>
        </w:rPr>
      </w:pPr>
      <w:r>
        <w:rPr>
          <w:rFonts w:ascii="Times New Roman" w:cs="Times New Roman" w:eastAsia="Times New Roman" w:hAnsi="Times New Roman"/>
          <w:sz w:val="17"/>
          <w:szCs w:val="17"/>
          <w:color w:val="auto"/>
        </w:rPr>
        <w:t xml:space="preserve">The Company applies the principals of FASB ASC 350-40, </w:t>
      </w:r>
      <w:r>
        <w:rPr>
          <w:rFonts w:ascii="Times New Roman" w:cs="Times New Roman" w:eastAsia="Times New Roman" w:hAnsi="Times New Roman"/>
          <w:sz w:val="17"/>
          <w:szCs w:val="17"/>
          <w:i w:val="1"/>
          <w:iCs w:val="1"/>
          <w:color w:val="auto"/>
        </w:rPr>
        <w:t>Accounting for the Cost of Computer Software Developed or Obtained for 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Use </w:t>
      </w:r>
      <w:r>
        <w:rPr>
          <w:rFonts w:ascii="Times New Roman" w:cs="Times New Roman" w:eastAsia="Times New Roman" w:hAnsi="Times New Roman"/>
          <w:sz w:val="17"/>
          <w:szCs w:val="17"/>
          <w:color w:val="auto"/>
        </w:rPr>
        <w:t>("ASC 350-40"). ASC 350-40 requires that software development costs incurred before the preliminary project stage be expensed as incurred.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capitalizes development costs related to these software applications once the preliminary project stage is complete and it is probable that the project will be completed and the software will be used to perform the functions intended. During the six months ended June 30, 2024, the Company capitalized $398 of software development costs. No software development costs were capitalized during the six months ended June 30,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of the equity awards, exchange of the Class B units and Exchangeable Notes ("securities") only if the effect is not anti-dilutive.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Accounting Pronouncements – Adopted in current fiscal year</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December 2023, the FASB issued ASU 2023-09, Improvements to Income Tax Disclosures, which applies to all entities subject to income taxes. For public business entities (PBEs), the new requirements will be effective for annual periods beginning after December 15, 2024. For entities other than public business entities (non-PBEs), the requirements will be effective for annual periods beginning after December 15, 2025. The guidance will be applied on a prospective basis with the option to apply the standard retrospectively. Early adoption is permitted. The amendments in this update require that public business entities on an annual basis disclose specific categories in the rate reconciliation and provide additional information for reconciling items that meet a quantitative threshold if the effect of those reconciling items is equal to or greater than five percent of the amount computed by multiplying pretax income (or loss) by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statutory income tax rate. The new guidance focuses on two specific disclosure areas: rate reconciliation and income taxes paid. The rate reconciliation disclosure requirements differ for PBEs as compared to non-PBEs. The income taxes paid disclosures are the same for all entities. The adoption of these ASUs did not have a material impact to the Company's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24"/>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major classes of inventories were as follows: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8"/>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40"/>
        </w:trPr>
        <w:tc>
          <w:tcPr>
            <w:tcW w:w="7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57"/>
        </w:trPr>
        <w:tc>
          <w:tcPr>
            <w:tcW w:w="7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50,867</w:t>
            </w:r>
          </w:p>
        </w:tc>
      </w:tr>
      <w:tr>
        <w:trPr>
          <w:trHeight w:val="243"/>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40"/>
        </w:trPr>
        <w:tc>
          <w:tcPr>
            <w:tcW w:w="7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7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43"/>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reserve</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40"/>
        </w:trPr>
        <w:tc>
          <w:tcPr>
            <w:tcW w:w="7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302"/>
        </w:trPr>
        <w:tc>
          <w:tcPr>
            <w:tcW w:w="70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We monitor inventory costs relative to selling prices and perform physical cycle count procedures on inventories throughout the year to determine if a lower cost or net realizable value reserve is necessary. The Company reviews inventory for slow-moving or obsolete amounts based on expected product sales volume and provides reserves against the carrying amount of inventory as appropriate. This reserve may fluctuate as our assumptions change due to new information, discrete events, or changes in our business, such as entering new markets or discontinuing a specific product.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50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4"/>
                <w:szCs w:val="24"/>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0" w:type="dxa"/>
            <w:vAlign w:val="bottom"/>
          </w:tcPr>
          <w:p>
            <w:pPr>
              <w:spacing w:after="0"/>
              <w:rPr>
                <w:sz w:val="1"/>
                <w:szCs w:val="1"/>
                <w:color w:val="auto"/>
              </w:rPr>
            </w:pPr>
          </w:p>
        </w:tc>
      </w:tr>
      <w:tr>
        <w:trPr>
          <w:trHeight w:val="61"/>
        </w:trPr>
        <w:tc>
          <w:tcPr>
            <w:tcW w:w="4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7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w w:val="99"/>
              </w:rPr>
              <w:t>5 - 10 years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30,311</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80" w:type="dxa"/>
            <w:vAlign w:val="bottom"/>
          </w:tcPr>
          <w:p>
            <w:pPr>
              <w:spacing w:after="0"/>
              <w:rPr>
                <w:sz w:val="21"/>
                <w:szCs w:val="21"/>
                <w:color w:val="auto"/>
              </w:rPr>
            </w:pPr>
          </w:p>
        </w:tc>
        <w:tc>
          <w:tcPr>
            <w:tcW w:w="1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3 - 5 years</w:t>
            </w:r>
          </w:p>
        </w:tc>
        <w:tc>
          <w:tcPr>
            <w:tcW w:w="50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0"/>
        </w:trPr>
        <w:tc>
          <w:tcPr>
            <w:tcW w:w="4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7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rPr>
              <w:t>3 - 5 years</w:t>
            </w:r>
          </w:p>
        </w:tc>
        <w:tc>
          <w:tcPr>
            <w:tcW w:w="5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Shorter of lease term or</w:t>
            </w:r>
          </w:p>
        </w:tc>
        <w:tc>
          <w:tcPr>
            <w:tcW w:w="500" w:type="dxa"/>
            <w:vAlign w:val="bottom"/>
          </w:tcPr>
          <w:p>
            <w:pPr>
              <w:spacing w:after="0"/>
              <w:rPr>
                <w:sz w:val="20"/>
                <w:szCs w:val="20"/>
                <w:color w:val="auto"/>
              </w:rPr>
            </w:pPr>
          </w:p>
        </w:tc>
        <w:tc>
          <w:tcPr>
            <w:tcW w:w="1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10,609</w:t>
            </w:r>
          </w:p>
        </w:tc>
        <w:tc>
          <w:tcPr>
            <w:tcW w:w="0" w:type="dxa"/>
            <w:vAlign w:val="bottom"/>
          </w:tcPr>
          <w:p>
            <w:pPr>
              <w:spacing w:after="0"/>
              <w:rPr>
                <w:sz w:val="1"/>
                <w:szCs w:val="1"/>
                <w:color w:val="auto"/>
              </w:rPr>
            </w:pPr>
          </w:p>
        </w:tc>
      </w:tr>
      <w:tr>
        <w:trPr>
          <w:trHeight w:val="113"/>
        </w:trPr>
        <w:tc>
          <w:tcPr>
            <w:tcW w:w="4700" w:type="dxa"/>
            <w:vAlign w:val="bottom"/>
          </w:tcPr>
          <w:p>
            <w:pPr>
              <w:spacing w:after="0"/>
              <w:rPr>
                <w:sz w:val="9"/>
                <w:szCs w:val="9"/>
                <w:color w:val="auto"/>
              </w:rPr>
            </w:pPr>
          </w:p>
        </w:tc>
        <w:tc>
          <w:tcPr>
            <w:tcW w:w="24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estimated useful life</w:t>
            </w:r>
          </w:p>
        </w:tc>
        <w:tc>
          <w:tcPr>
            <w:tcW w:w="5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00" w:type="dxa"/>
            <w:vAlign w:val="bottom"/>
          </w:tcPr>
          <w:p>
            <w:pPr>
              <w:spacing w:after="0"/>
              <w:rPr>
                <w:sz w:val="10"/>
                <w:szCs w:val="10"/>
                <w:color w:val="auto"/>
              </w:rPr>
            </w:pPr>
          </w:p>
        </w:tc>
        <w:tc>
          <w:tcPr>
            <w:tcW w:w="240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rPr>
              <w:t>1 - 3 years</w:t>
            </w:r>
          </w:p>
        </w:tc>
        <w:tc>
          <w:tcPr>
            <w:tcW w:w="5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40"/>
        </w:trPr>
        <w:tc>
          <w:tcPr>
            <w:tcW w:w="470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46,862</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(21,650)</w:t>
            </w:r>
          </w:p>
        </w:tc>
        <w:tc>
          <w:tcPr>
            <w:tcW w:w="0" w:type="dxa"/>
            <w:vAlign w:val="bottom"/>
          </w:tcPr>
          <w:p>
            <w:pPr>
              <w:spacing w:after="0"/>
              <w:rPr>
                <w:sz w:val="1"/>
                <w:szCs w:val="1"/>
                <w:color w:val="auto"/>
              </w:rPr>
            </w:pPr>
          </w:p>
        </w:tc>
      </w:tr>
      <w:tr>
        <w:trPr>
          <w:trHeight w:val="40"/>
        </w:trPr>
        <w:tc>
          <w:tcPr>
            <w:tcW w:w="470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25,212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$2,380 and $2,131 for the three months ended June 30, 2024 and 2023, respectively. Depreciation and amortization expense on property and equipment was $4,601 and $4,171 for the six months ended June 30,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Exchangeable Senior Notes</w:t>
      </w:r>
    </w:p>
    <w:p>
      <w:pPr>
        <w:spacing w:after="0" w:line="256" w:lineRule="exact"/>
        <w:rPr>
          <w:sz w:val="20"/>
          <w:szCs w:val="20"/>
          <w:color w:val="auto"/>
        </w:rPr>
      </w:pPr>
    </w:p>
    <w:p>
      <w:pPr>
        <w:ind w:right="340" w:firstLine="648"/>
        <w:spacing w:after="0" w:line="281" w:lineRule="auto"/>
        <w:rPr>
          <w:sz w:val="20"/>
          <w:szCs w:val="20"/>
          <w:color w:val="auto"/>
        </w:rPr>
      </w:pPr>
      <w:r>
        <w:rPr>
          <w:rFonts w:ascii="Times New Roman" w:cs="Times New Roman" w:eastAsia="Times New Roman" w:hAnsi="Times New Roman"/>
          <w:sz w:val="17"/>
          <w:szCs w:val="17"/>
          <w:color w:val="auto"/>
        </w:rPr>
        <w:t>On December 27, 2021, the Company merged with Roman DBDR Tech Acquisition Corp ("Roman DBDR") pursuant to a merger agreement dated April 19, 2021 (the "Merger Agreement"), by and among Roman DBDR, Roman Parent Merger Sub, LLC, a wholly-owned subsidiary of Roman DBDR incorporated in the State of Delaware ("Merger Sub"), and Holdings. Pursuant to the terms of the Merger Agreement, a business combination between the Company and Holdings was effected through the merger of Merger Sub with and into Holdings, with Holdings as the surviving company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and as a wholly-owned subsidiary of Roman DBDR, now named CompoSecure, Inc. (the "Business Combination"). On April 19, 2021, concurrent with the execution of the Merger Agreement, the Company and its subsidiary, Holdings, entered into subscription agreements (the “Note Subscription Agreements”) with certain investors ("Notes Investors") pursuant to which such Notes Investors, severally and not jointly, purchased on December 27, 2021, the closing date of the Business Combination (the "Closing Date"), senior notes (the “Exchangeable Notes”) issued by Holdings and guaranteed by its operating subsidiaries, CompoSecure, L.L.C. and Arculus Holdings, L.L.C., in an aggregate principal amount of up to $130,000 that were exchangeable into shares of Class A common stock at a conversion price of $11.50 per share, subject to the terms and conditions of an indenture (the "Indenture") entered into by the Company and its subsidiary, Holdings, and the trustee under the Indenture. On June 11, 2024, the Company paid a special cash dividend to Class A shareholders of CompoSecure, Inc., and made a corresponding distribution to Class B unitholders of Holdings. See Note 6 for additional information. As a result of the special cash dividend and distribution, the conversion price was adjusted to $10.98 per share. The Exchangeable Notes bear interest at a rate of 7% per year, payable semiannually in arrears on each June 15 and December 15, commencing on June 15, 2022, to holders of record at the close of business on the preceding June 1 and December 1 (whether or not such day is a Business Day), respectively. The Exchangeable Notes mature on December 27, 2026. The Company will settle any exchange of the Exchangeable Notes in shares of Class A common stock, with cash payable in lieu of any fractional shares. In connection with the issuance of the Exchangeable Notes, the Company entered into a Registration Rights Agreement, pursuant to which the Notes Investors received certain registration rights with respect to the Class A common stock.</w:t>
      </w:r>
    </w:p>
    <w:p>
      <w:pPr>
        <w:spacing w:after="0" w:line="22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After the three-year anniversary of the Closing Date, which will occur on December 27, 2024, the Exchangeable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so long as a registration statement registering the resale of all Exchange Shares is effective and available for use by holders of 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w:t>
      </w:r>
    </w:p>
    <w:p>
      <w:pPr>
        <w:spacing w:after="0" w:line="215"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Volume Weighed Average Price ("VWAP") with regard to the Class A common stock during the five trading period beginning on the trading day immediately following the notice of redemption.</w:t>
      </w:r>
    </w:p>
    <w:p>
      <w:pPr>
        <w:spacing w:after="0" w:line="19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w:t>
      </w:r>
    </w:p>
    <w:p>
      <w:pPr>
        <w:spacing w:after="0" w:line="203"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Exchangeable Notes contain customary anti-dilution adjustments, taking into account the agreed terms in the Indenture. To avoid doubt, among other customary adjustments, this includes anti-dilution protections for dividends and distributions of the Company's capital stock, assets and indebtedness. Per the terms of the Indenture, the following are the anti-dilution adjustments of the exchange rate:</w:t>
      </w:r>
    </w:p>
    <w:p>
      <w:pPr>
        <w:spacing w:after="0" w:line="203" w:lineRule="exact"/>
        <w:rPr>
          <w:sz w:val="20"/>
          <w:szCs w:val="20"/>
          <w:color w:val="auto"/>
        </w:rPr>
      </w:pPr>
    </w:p>
    <w:p>
      <w:pPr>
        <w:ind w:left="660" w:right="60" w:hanging="328"/>
        <w:spacing w:after="0" w:line="282"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shares of common stock as a dividend or distribution on shares of the common stock, or if the Company effects a share split or share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line="281"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spacing w:after="0" w:line="191" w:lineRule="exact"/>
        <w:rPr>
          <w:rFonts w:ascii="Times New Roman" w:cs="Times New Roman" w:eastAsia="Times New Roman" w:hAnsi="Times New Roman"/>
          <w:sz w:val="17"/>
          <w:szCs w:val="17"/>
          <w:color w:val="auto"/>
        </w:rPr>
      </w:pPr>
    </w:p>
    <w:p>
      <w:pPr>
        <w:ind w:left="660" w:right="160" w:hanging="328"/>
        <w:spacing w:after="0" w:line="282"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cash dividend or distribution is made to all or substantially all holders of the common stock;</w:t>
      </w:r>
    </w:p>
    <w:p>
      <w:pPr>
        <w:spacing w:after="0" w:line="252"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exchange rate will in no event be adjusted down pursuant to the provisions described above, except to the extent a tender or exchange offer is announced but not consummated.</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subject to certain conditions, the exchange rate will be adjusted per the adjustment table included in the Indenture. If a fundamental change occurs at any time prior to the maturity date, each holder shall have the right, at such holder’s option, to require the Company to repurchase for cash all of such holder’s Exchangeable Notes at a repurchase price equal to 100% of the principal amount of the Exchangeable Notes to be repurchased, plus accrued and unpaid interest thereon. There is no make-whole payment associated with a fundamental change redemption.</w:t>
      </w:r>
    </w:p>
    <w:p>
      <w:pPr>
        <w:spacing w:after="0" w:line="21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Holders of Exchangeable Notes will be entitled to the resale registration rights under the resale Registration Rights Agreement. If a Registration default occurs, additional interest will accrue, equal to 0.25% in the first 90 days and 0.50% after the 91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after the Registration Default (which includes that the Registration Statement has not been filed, or deemed effective or ceases to be effective).</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Exchangeable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days 91-180 after the occurrence of such an event of default.</w:t>
      </w:r>
    </w:p>
    <w:p>
      <w:pPr>
        <w:spacing w:after="0" w:line="2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assessed all of the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it is a derivative. The fair value of this derivative was determined based on the difference between the fair value of the Exchangeable Notes with the redemption with a make-whole provision feature and the fair value of the Exchangeable Notes without the redemption with a make-whole provision feature. The Company employed a Lattice model to determine the fair value of the derivative upon issuance of the Exchangeable Notes was $552 and recorded this amount as derivative liability with an offsetting amount as a debt discount as a reduction to the carrying value of the Exchangeable Notes on the Closing Date, or December 27, 2021. The optional redemption with a make-whole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feature is measured at fair value on a quarterly basis and the change in the fair value for the period is recorded on the consolidated statements of operations. The Company determined that the change in fair value from December 27, 2021 to December 31, 2021 was not material. The Company performed a valuation of the derivative liability and determined that the fair value of the derivative liability was $544 at June 30, 2024 and $425 at December 31, 2023. The Company recorded a favorable change in fair value of $178 and $195 for the three months ended June 30, 2024 and June 30, 2023, respectively. The Company recorded an unfavorable change in fair value of $119 and $513 for the six months ended June 30, 2024 and June 30, 2023, respectively.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term of the Exchangeable Notes was equal for the period through December 27, 2026 as this represents the point at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Notes will mature unless earlier exchanged in accordance with their terms prior to such date. For the quarter ended June 30,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the Company recognized $2,398 and $2,389 of interest expense related to the Exchangeable Notes at the effective interest rate of 7.4%.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 months ended June 30, 2024 and June 30, 2023, the Company recognized $4,794 and $4,751 of interest expense related to the Exchangeable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interest rate of 7.4%. The fair value of the Company’s Exchangeable Notes without the make-whole feature, was approximately $124,000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$118,000, as of June 30, 2024 and December 31, 2023 respectively.</w:t>
      </w:r>
    </w:p>
    <w:p>
      <w:pPr>
        <w:spacing w:after="0" w:line="234"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 Exchangeable Notes is amortized to interest expense over the expected term of the Exchangeable Notes using the effective interest method.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November of 2020, the Company through its subsidiary, Holdings, entered into a new agreement</w:t>
      </w:r>
    </w:p>
    <w:p>
      <w:pPr>
        <w:spacing w:after="0" w:line="27"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8"/>
          <w:szCs w:val="18"/>
          <w:color w:val="auto"/>
        </w:rPr>
        <w:t>with JPMC to refinance its then existing July 2019 credit facility, increasing the maximum aggregate amount available under the term loan to $240,000 bringing the total credit facility to $300,000. In addition, the maturity date of both the revolver and term loan was amended to November 5, 2023. This amendment was accounted for as a modification and approximately $3,200 of additional costs incurred in connection with the modification were capitalized as debt issuance costs.</w:t>
      </w: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December 2021, the Company entered into a new agreement with JPMC to refinance its then-existing November 2020 credit facility (the "2021 Credit Facility"), increasing the maximum aggregate amount available under the Term Loan (as defined in the 2021 Credit Facility) to $250,000, bringing the total credit facility, together with the commitment amount available for any Revolving Loan (as defined in the 2021 Credit Facility) (the “Revolver”) to $310,000. In addition, the maturity dates of both the Revolver and Term Loan were amended to December 16, 2025. This amendment was accounted for as a modification and approximately $1,800 of additional costs incurred in connection with the modification were capitalized as debt issuance costs.</w:t>
      </w:r>
    </w:p>
    <w:p>
      <w:pPr>
        <w:spacing w:after="0" w:line="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2023, the Company amended the 2021 Credit Facility to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as determined by the Company’s prevailing Leverage Ratio for the revolving and term loan Term Benchmark and RFR Spread debt (as each term is defined in the 2021 Credit Facility).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May 2023, certain lenders under the Company's 2021 Credit Facility transferred their debt to certain other</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lenders. Approximately $257 of additional costs incurred by the Company in connection with the transfers were capitalized as debt issuance costs. In addition, approximately $589 in deferred finance fees incurred by the Company at the inception of the 2021 Credit Facility and relating to the transferring lenders were written off by the Company at the time of the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March 2024, the Company and the lenders entered into a further amendment to the 2021 Credit Facility. This amendment allowed the Company (or the applicable subsidiary) to repurchase outstanding shares of common stock, outstanding warrants to purchase shares of common stock and/or outstanding Exchangeable Notes in an aggregate amount not to exceed $40,000 at any time, subject to the terms and conditions contained therein.</w:t>
      </w:r>
    </w:p>
    <w:p>
      <w:pPr>
        <w:spacing w:after="0" w:line="21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Interest on the Revolver and Term Loan are based on the outstanding principal amount during the interest period multiplied by the fluctuating bank prime rate plus the applicable margin of 1.75% or for portions of the debt converted to Term Benchmark Loan, the quoted SOFR rate plus the applicable margin of 2.75%. At June 30, 2024 and 2023, the effective interest rate on the Revolver and Term Loan was 7.80% and 7.99% per year, respectively. Interest is payable monthly in arrears or upon maturity of the Euro loans that can run 30, 90, 120, 180 day time periods. The Company must pay quarterly an annual commitment fee of 0.35% on the unused portion of the $60,000 Revolver.</w:t>
      </w:r>
    </w:p>
    <w:p>
      <w:pPr>
        <w:spacing w:after="0" w:line="7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credit facility is secured by substantially all of the assets of the Company. The Company recognized $4,361 and $4,712 of interest expense related to the Revolver and the Term Loan for the quarter ended June 30, 2024 and 2023, respectively. The Company recognized $8,820 and $9,873 of interest expense related to the Revolver and the Term Loan for the six months ended June 30, 2024 and 2023, respectively.</w:t>
      </w:r>
    </w:p>
    <w:p>
      <w:pPr>
        <w:spacing w:after="0" w:line="6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terms of the credit facilities contain certain financial covenants including a minimum interest coverage ratio, a maximum total debt to EBITDA ratio and a minimum fixed charge coverage ratio. At June 30, 2024 and December 31, 2023, the Company was in compliance with all financial covenants. The fair value of the Company's debt approximates the carrying value for all periods presented.</w:t>
      </w:r>
    </w:p>
    <w:p>
      <w:pPr>
        <w:spacing w:after="0" w:line="6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there were no balances outstanding on the Revolver. At June 30, 2024, there was $60,000 available for borrowing under the Revolver.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balances payable under all borrowing facilities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Exchangeable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Term Loan</w:t>
            </w:r>
          </w:p>
        </w:tc>
        <w:tc>
          <w:tcPr>
            <w:tcW w:w="1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Exchangeable Notes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Term Loan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 Balance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200,938</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210,313</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$340,313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term loan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(scheduled payments)</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7"/>
              </w:rPr>
              <w:t>(10,313)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deferred financing costs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(3,837)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 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198,331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 liability - redemption with</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make-whole provision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48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maturity of all the borrowings facilities is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330,938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is exposed to interest rate risk on variable interest rate debt obligations. To manage interest rate risk, the Company had entered into an interest rate swap agreement on November 5, 2020 to hedge forecasted interest rate payments on its variable rate debt. In January 2022, the Company cancelled the November 2020 swap agreement and entered into a new interest rate swap agreement. At June 30, 2024, the Company’s interest rate swap contract outstanding had a notional amount of $125,000, maturing in December 2025. The Company has designated the interest rate swap agreement as a cash flow hedge for accounting purposes, that was determined to be effective. The Company determined the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fair value of the interest rate swap to be zero at the inception of the agreement and $5,182 and $5,258 at June 30, 2024 and December 31, 2023, respectively. The Company reflects the realized gains and losses of the actual monthly settlement activity of the interest rate swap through interest income or expense in its consolidated statements of operations. The Company reflects the unrealized changes in fair value of the interest rate swap at each reporting period in other comprehensive income and a derivative asset or liability will be recognized at each reporting period in the Company’s financial statements. The interest rate swap converted to SOFR from LIBOR at the same time as the amendment of 2021 Credit Facility in February 2023.</w:t>
      </w:r>
    </w:p>
    <w:p>
      <w:pPr>
        <w:spacing w:after="0" w:line="179" w:lineRule="exact"/>
        <w:rPr>
          <w:sz w:val="20"/>
          <w:szCs w:val="20"/>
          <w:color w:val="auto"/>
        </w:rPr>
      </w:pPr>
    </w:p>
    <w:p>
      <w:pPr>
        <w:ind w:right="9180" w:firstLine="8"/>
        <w:spacing w:after="0" w:line="412"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STRUCTURE Shares Authorized</w:t>
      </w:r>
    </w:p>
    <w:p>
      <w:pPr>
        <w:spacing w:after="0" w:line="76"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authorized a total of 250,000,000 shares for issuance designated as Class A common stock, 75,000,000 designated as Class B common stock and 10,000,000 shares designated as preferred stock. As of June 30, 2024, there were 29,847,338 shares of Class A common stock issued and outstanding, 51,908,422 shares of Class B common stock issued and outstanding and no shares of Preferred Stock issued and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the quarter ended June 30, 2024, the Company issued 1,199,092 new shares of Class A common stock pursuant primarily to the vesting of certain restricted stock units ("RSUs"), and exercises of stock options, as well as employee stock purchase plan transactions ("ESPP") during the quarter. The Class A common stock issued pursuant to the vesting of RSUs were issued net of shares withheld for applicable taxes.</w:t>
      </w:r>
    </w:p>
    <w:p>
      <w:pPr>
        <w:spacing w:after="0" w:line="6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2024, the Company issued 2,382,215 new shares of Class A common stock pursuant primarily to the vesting of certain RSUs, and exercises of stock options, as well as ESPP during the quarter. The Class A common stock issued pursuant to the vesting of RSUs were issued net of shares withheld for applicable taxes.</w:t>
      </w:r>
    </w:p>
    <w:p>
      <w:pPr>
        <w:spacing w:after="0" w:line="311"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Additionally, during May 2024, certain holders of the shares of Class B common stock exchanged an aggregate of 8,050,000 Class B units in Holdings (together with the corresponding number of shares of the Company's Class B common stock) in exchange for 8,050,000 shares of Class A common stock (the "Exchange"). Upon the Exchange, the exchanged shares of Class B common stock and the corresponding number of shares of Class B units were canceled. Immediately following the Exchange, pursuant to the Underwriting Agreement, dated as of May 8, 2024, (the “Underwriting Agreement”), by and among the Company, Holdings, the Representatives, the Underwriters and the Selling Stockholders named therein, the Selling Stockholders sold 8,050,000 shares of the Company’s Class A common stock to the Underwriters (the "Secondary Offering"). The Company did not receive any proceeds from the sale of the shares of Class A common stock by the selling stockholders. As a result of these transactions, the number of outstanding shares of the Company’s Class B common stock decreased by 8,050,000 and the number of outstanding shares of the Company’s Class A common stock increased by 8,050,000.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22,415,389 public warrants outstanding. Until the expiration date of December 27, 2026,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Dividend and Distribution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6, 2024, the Company announced a special cash dividend of $0.30 per share to Class A stockholders. A corresponding distribution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 per share was also announced for Class B unitholders of Holdings. Both the dividend and the distribution were paid on June 11, 2024. Dividends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$8,922 were disbursed to Class A stockholders and distributions of $15,573 were disbursed to Class B unitholders.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Non-controlling interests represent direct interests held in Holdings other than by the Company immediately after the Business Combination. The non-controlling interests in the Company are represented by Class B units, or such other equity securities in the Company as the Board may establish in accordance with the terms hereof. Since the potential cash redemptions of the non-controlling interests are outside the control of the Company, such non-controlling interests are classified as temporary equity on the consolidated balance sheet in accordance with ASC 480. Income tax benefit or expense is applied to the income attributable to the controlling interest as the income attributable to the non-controlling interest is pass-through income. The non-controlling interest has been adjusted to redemption value as of June 30, 2024, in accordance with ASC 480-10. This measurement adjustment results in a corresponding adjustment to shareholders’ deficit through adjustments to additional paid-in capital and retained earnings. The redemption value of the Class B units was 516,489 on June 30, 2024. The redemption value was calculated by multiplying the 51,908,422 Class B units outstanding at June 30, 2024 by the $9.95 trading price of our Class A common stock on December 27,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56"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share-based compensation expense included in Selling, general and administrative expenses within the consolidated statements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1"/>
        </w:trPr>
        <w:tc>
          <w:tcPr>
            <w:tcW w:w="40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77"/>
        </w:trPr>
        <w:tc>
          <w:tcPr>
            <w:tcW w:w="40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 expense</w:t>
            </w: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40"/>
        </w:trPr>
        <w:tc>
          <w:tcPr>
            <w:tcW w:w="4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 expense</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stock unit expense</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40"/>
        </w:trPr>
        <w:tc>
          <w:tcPr>
            <w:tcW w:w="4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83"/>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8,415</w:t>
            </w:r>
          </w:p>
        </w:tc>
      </w:tr>
      <w:tr>
        <w:trPr>
          <w:trHeight w:val="40"/>
        </w:trPr>
        <w:tc>
          <w:tcPr>
            <w:tcW w:w="40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0"/>
        </w:trPr>
        <w:tc>
          <w:tcPr>
            <w:tcW w:w="4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options activity under the Holdings' equity plan, which was assumed by the Company, for the six month period ended June 30, 2024:</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 Price Per</w:t>
            </w:r>
          </w:p>
        </w:tc>
        <w:tc>
          <w:tcPr>
            <w:tcW w:w="19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220" w:type="dxa"/>
            <w:vAlign w:val="bottom"/>
          </w:tcPr>
          <w:p>
            <w:pPr>
              <w:spacing w:after="0"/>
              <w:rPr>
                <w:sz w:val="19"/>
                <w:szCs w:val="19"/>
                <w:color w:val="auto"/>
              </w:rPr>
            </w:pP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8"/>
        </w:trPr>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20"/>
                <w:szCs w:val="20"/>
                <w:color w:val="auto"/>
              </w:rPr>
            </w:pP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40"/>
        </w:trPr>
        <w:tc>
          <w:tcPr>
            <w:tcW w:w="36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3,278,463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(1,822,553)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1,455,910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0"/>
                <w:szCs w:val="20"/>
                <w:color w:val="auto"/>
              </w:rPr>
            </w:pPr>
          </w:p>
        </w:tc>
        <w:tc>
          <w:tcPr>
            <w:tcW w:w="1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0" w:type="dxa"/>
            <w:vAlign w:val="bottom"/>
          </w:tcPr>
          <w:p>
            <w:pPr>
              <w:spacing w:after="0"/>
              <w:rPr>
                <w:sz w:val="1"/>
                <w:szCs w:val="1"/>
                <w:color w:val="auto"/>
              </w:rPr>
            </w:pPr>
          </w:p>
        </w:tc>
      </w:tr>
      <w:tr>
        <w:trPr>
          <w:trHeight w:val="810"/>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0" w:type="dxa"/>
            <w:vAlign w:val="bottom"/>
          </w:tcPr>
          <w:p>
            <w:pPr>
              <w:spacing w:after="0"/>
              <w:rPr>
                <w:sz w:val="1"/>
                <w:szCs w:val="1"/>
                <w:color w:val="auto"/>
              </w:rPr>
            </w:pPr>
          </w:p>
        </w:tc>
      </w:tr>
      <w:tr>
        <w:trPr>
          <w:trHeight w:val="40"/>
        </w:trPr>
        <w:tc>
          <w:tcPr>
            <w:tcW w:w="3820" w:type="dxa"/>
            <w:vAlign w:val="bottom"/>
            <w:tcBorders>
              <w:bottom w:val="single" w:sz="8" w:color="CCEEFF"/>
            </w:tcBorders>
            <w:gridSpan w:val="2"/>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5,651,895</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2,106,575</w:t>
            </w:r>
          </w:p>
        </w:tc>
        <w:tc>
          <w:tcPr>
            <w:tcW w:w="0" w:type="dxa"/>
            <w:vAlign w:val="bottom"/>
          </w:tcPr>
          <w:p>
            <w:pPr>
              <w:spacing w:after="0"/>
              <w:rPr>
                <w:sz w:val="1"/>
                <w:szCs w:val="1"/>
                <w:color w:val="auto"/>
              </w:rPr>
            </w:pPr>
          </w:p>
        </w:tc>
      </w:tr>
      <w:tr>
        <w:trPr>
          <w:trHeight w:val="40"/>
        </w:trPr>
        <w:tc>
          <w:tcPr>
            <w:tcW w:w="382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Equivalent Units on Deferred RSU's</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(1,900,931)</w:t>
            </w:r>
          </w:p>
        </w:tc>
        <w:tc>
          <w:tcPr>
            <w:tcW w:w="0" w:type="dxa"/>
            <w:vAlign w:val="bottom"/>
          </w:tcPr>
          <w:p>
            <w:pPr>
              <w:spacing w:after="0"/>
              <w:rPr>
                <w:sz w:val="1"/>
                <w:szCs w:val="1"/>
                <w:color w:val="auto"/>
              </w:rPr>
            </w:pPr>
          </w:p>
        </w:tc>
      </w:tr>
      <w:tr>
        <w:trPr>
          <w:trHeight w:val="40"/>
        </w:trPr>
        <w:tc>
          <w:tcPr>
            <w:tcW w:w="382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0" w:type="dxa"/>
            <w:vAlign w:val="bottom"/>
          </w:tcPr>
          <w:p>
            <w:pPr>
              <w:spacing w:after="0"/>
              <w:rPr>
                <w:sz w:val="1"/>
                <w:szCs w:val="1"/>
                <w:color w:val="auto"/>
              </w:rPr>
            </w:pPr>
          </w:p>
        </w:tc>
      </w:tr>
      <w:tr>
        <w:trPr>
          <w:trHeight w:val="27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5,812,524</w:t>
            </w: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Market based Stock Unit Activity</w:t>
            </w: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382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0" w:type="dxa"/>
            <w:vAlign w:val="bottom"/>
          </w:tcPr>
          <w:p>
            <w:pPr>
              <w:spacing w:after="0"/>
              <w:rPr>
                <w:sz w:val="1"/>
                <w:szCs w:val="1"/>
                <w:color w:val="auto"/>
              </w:rPr>
            </w:pPr>
          </w:p>
        </w:tc>
      </w:tr>
      <w:tr>
        <w:trPr>
          <w:trHeight w:val="40"/>
        </w:trPr>
        <w:tc>
          <w:tcPr>
            <w:tcW w:w="3820" w:type="dxa"/>
            <w:vAlign w:val="bottom"/>
            <w:tcBorders>
              <w:bottom w:val="single" w:sz="8" w:color="CCEEFF"/>
            </w:tcBorders>
            <w:gridSpan w:val="2"/>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1,107,536</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872,685</w:t>
            </w:r>
          </w:p>
        </w:tc>
        <w:tc>
          <w:tcPr>
            <w:tcW w:w="0" w:type="dxa"/>
            <w:vAlign w:val="bottom"/>
          </w:tcPr>
          <w:p>
            <w:pPr>
              <w:spacing w:after="0"/>
              <w:rPr>
                <w:sz w:val="1"/>
                <w:szCs w:val="1"/>
                <w:color w:val="auto"/>
              </w:rPr>
            </w:pPr>
          </w:p>
        </w:tc>
      </w:tr>
      <w:tr>
        <w:trPr>
          <w:trHeight w:val="40"/>
        </w:trPr>
        <w:tc>
          <w:tcPr>
            <w:tcW w:w="382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1,980,221</w:t>
            </w: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Earnouts</w:t>
            </w: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382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0" w:type="dxa"/>
            <w:vAlign w:val="bottom"/>
          </w:tcPr>
          <w:p>
            <w:pPr>
              <w:spacing w:after="0"/>
              <w:rPr>
                <w:sz w:val="1"/>
                <w:szCs w:val="1"/>
                <w:color w:val="auto"/>
              </w:rPr>
            </w:pPr>
          </w:p>
        </w:tc>
      </w:tr>
      <w:tr>
        <w:trPr>
          <w:trHeight w:val="40"/>
        </w:trPr>
        <w:tc>
          <w:tcPr>
            <w:tcW w:w="3820" w:type="dxa"/>
            <w:vAlign w:val="bottom"/>
            <w:tcBorders>
              <w:bottom w:val="single" w:sz="8" w:color="CCEEFF"/>
            </w:tcBorders>
            <w:gridSpan w:val="2"/>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657,160</w:t>
            </w:r>
          </w:p>
        </w:tc>
        <w:tc>
          <w:tcPr>
            <w:tcW w:w="0" w:type="dxa"/>
            <w:vAlign w:val="bottom"/>
          </w:tcPr>
          <w:p>
            <w:pPr>
              <w:spacing w:after="0"/>
              <w:rPr>
                <w:sz w:val="1"/>
                <w:szCs w:val="1"/>
                <w:color w:val="auto"/>
              </w:rPr>
            </w:pPr>
          </w:p>
        </w:tc>
      </w:tr>
      <w:tr>
        <w:trPr>
          <w:trHeight w:val="24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820" w:type="dxa"/>
            <w:vAlign w:val="bottom"/>
            <w:gridSpan w:val="2"/>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657,160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Units</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and such shares of converted Class B common stock outstanding were 1,236,027 as of June 30, 2024.</w:t>
      </w:r>
    </w:p>
    <w:p>
      <w:pPr>
        <w:spacing w:after="0" w:line="6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Unrecognized compensation cost for restricted stock awards and performance and market based stock units as of June 30, 2024 totaled $37,877, and is expected to be recognized over a weighted average period of approximately 1.9 years. No unrecognized compensation expense remained for the incentive units as of June 30, 2024.</w:t>
      </w:r>
    </w:p>
    <w:p>
      <w:pPr>
        <w:spacing w:after="0" w:line="172" w:lineRule="exact"/>
        <w:rPr>
          <w:sz w:val="20"/>
          <w:szCs w:val="20"/>
          <w:color w:val="auto"/>
        </w:rPr>
      </w:pPr>
    </w:p>
    <w:p>
      <w:pPr>
        <w:jc w:val="both"/>
        <w:ind w:right="9180" w:firstLine="8"/>
        <w:spacing w:after="0" w:line="412"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 Defined Contribution Plan</w:t>
      </w:r>
    </w:p>
    <w:p>
      <w:pPr>
        <w:spacing w:after="0" w:line="76" w:lineRule="exact"/>
        <w:rPr>
          <w:sz w:val="20"/>
          <w:szCs w:val="20"/>
          <w:color w:val="auto"/>
        </w:rPr>
      </w:pPr>
    </w:p>
    <w:p>
      <w:pPr>
        <w:ind w:left="20"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has a 401(k) profit sharing plan for all full-time employees who have attained the age of 21 and completed 90 days of service. The Company matches 100% of the first 1% and then 50% of the next 5% of employee contributions. Retirement plan expense for the three months ended June 30, 2024 and 2023 was approximately $461 and $396, respectively. Retirement plan expense for the six months ended June 30, 2024 and 2023 was approximately $1,052 and $921,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ASC 820-10, 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consisted of the following types of instruments as of the following dates: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5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37"/>
        </w:trPr>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 Carried at Fair 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 - interest rate swap</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Carried at Fair Value:</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consideration</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redemption with make-whole provision</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0"/>
        </w:trPr>
        <w:tc>
          <w:tcPr>
            <w:tcW w:w="5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r>
      <w:tr>
        <w:trPr>
          <w:trHeight w:val="25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Carried at Fair Value:</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 - interest rate swap</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Carried at Fair Value:</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w:t>
            </w: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consideration</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redemption with make-whole provision</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bl>
    <w:p>
      <w:pPr>
        <w:spacing w:after="0" w:line="36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is provided below about assets and liabilities remeasured at fair value on a recurring basis and for which the Company utilizes Level 3 inputs to determine fair value.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asset - interest rate swap</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is exposed to interest rate risk on variable interest rate debt obligations. To manage interest rate risk, the Company entered into an interest rate swap agreement on January 5, 2022. See Note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the Company assumed warrant liability related to previously issued warrants in connection with Roman DBDR's initial public offering. The warrants were accounted for as liabilities in accordance with ASC 815-40 and are presented within warrant liabilities on our consolidated balance sheet. The warrant liabilities were remeasured at June 30, 2024, with changes in fair value presented within revaluation of warrant liabilities in the consolidated statement of operations.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ending balances for the warrant liabilities remeasured at fair value: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Warrant Liabilities</w:t>
            </w:r>
          </w:p>
        </w:tc>
      </w:tr>
      <w:tr>
        <w:trPr>
          <w:trHeight w:val="40"/>
        </w:trPr>
        <w:tc>
          <w:tcPr>
            <w:tcW w:w="8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7"/>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at December 31, 2023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3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40"/>
        </w:trPr>
        <w:tc>
          <w:tcPr>
            <w:tcW w:w="8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95"/>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at June 30, 2024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were valued using the quoted market price as the fair value at the end of each balance sheet date.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Consideration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Holdings' equity holders have the right to receive an aggregate of up to 7,500,000 additional (i) shares of the Company's Class A common stock or</w:t>
      </w:r>
    </w:p>
    <w:p>
      <w:pPr>
        <w:spacing w:after="0" w:line="27" w:lineRule="exact"/>
        <w:rPr>
          <w:sz w:val="20"/>
          <w:szCs w:val="20"/>
          <w:color w:val="auto"/>
        </w:rPr>
      </w:pPr>
    </w:p>
    <w:p>
      <w:pPr>
        <w:ind w:firstLine="8"/>
        <w:spacing w:after="0" w:line="252"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Units (and a corresponding number of shares of the Company's Class B common stock), as applicable, in earnout consideration based on the achievement of certain stock price thresholds. Earnout consideration (not including the holders under ASC 718) was determined to be a derivative instrument in accordance with ASC 815 and were accounted as derivative liabilities, initially valued at fair value in accordance with ASC 815-40-30-1. The liability for earnout consideration is remeasured at each reporting period at fair value, with changes in fair value recorded in earnings in accordance with ASC 815. The Company established the initial fair value for the earnout consideration at the Closing Date on December 27, 2021 using a Monte Carlo simulation model. The following table provides a reconciliation of the ending balances for the earnout consideration liabilities remeasured at fair value: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Earnout Consideration Liability</w:t>
            </w:r>
          </w:p>
        </w:tc>
      </w:tr>
      <w:tr>
        <w:trPr>
          <w:trHeight w:val="40"/>
        </w:trPr>
        <w:tc>
          <w:tcPr>
            <w:tcW w:w="7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at December 31, 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CCEEFF"/>
            </w:tcBorders>
            <w:shd w:val="clear" w:color="auto" w:fill="CCEEFF"/>
          </w:tcPr>
          <w:p>
            <w:pPr>
              <w:jc w:val="center"/>
              <w:ind w:left="2530"/>
              <w:spacing w:after="0"/>
              <w:rPr>
                <w:sz w:val="20"/>
                <w:szCs w:val="20"/>
                <w:color w:val="auto"/>
              </w:rPr>
            </w:pPr>
            <w:r>
              <w:rPr>
                <w:rFonts w:ascii="Times New Roman" w:cs="Times New Roman" w:eastAsia="Times New Roman" w:hAnsi="Times New Roman"/>
                <w:sz w:val="18"/>
                <w:szCs w:val="18"/>
                <w:color w:val="auto"/>
                <w:w w:val="96"/>
              </w:rPr>
              <w:t>853</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60" w:type="dxa"/>
            <w:vAlign w:val="bottom"/>
          </w:tcPr>
          <w:p>
            <w:pPr>
              <w:spacing w:after="0"/>
              <w:rPr>
                <w:sz w:val="21"/>
                <w:szCs w:val="21"/>
                <w:color w:val="auto"/>
              </w:rPr>
            </w:pPr>
          </w:p>
        </w:tc>
        <w:tc>
          <w:tcPr>
            <w:tcW w:w="3040" w:type="dxa"/>
            <w:vAlign w:val="bottom"/>
          </w:tcPr>
          <w:p>
            <w:pPr>
              <w:jc w:val="center"/>
              <w:ind w:left="2510"/>
              <w:spacing w:after="0"/>
              <w:rPr>
                <w:sz w:val="20"/>
                <w:szCs w:val="20"/>
                <w:color w:val="auto"/>
              </w:rPr>
            </w:pPr>
            <w:r>
              <w:rPr>
                <w:rFonts w:ascii="Times New Roman" w:cs="Times New Roman" w:eastAsia="Times New Roman" w:hAnsi="Times New Roman"/>
                <w:sz w:val="18"/>
                <w:szCs w:val="18"/>
                <w:color w:val="auto"/>
              </w:rPr>
              <w:t>(470)</w:t>
            </w:r>
          </w:p>
        </w:tc>
      </w:tr>
      <w:tr>
        <w:trPr>
          <w:trHeight w:val="40"/>
        </w:trPr>
        <w:tc>
          <w:tcPr>
            <w:tcW w:w="7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29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at June 30, 2024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auto"/>
            </w:tcBorders>
            <w:shd w:val="clear" w:color="auto" w:fill="CCEEFF"/>
          </w:tcPr>
          <w:p>
            <w:pPr>
              <w:jc w:val="center"/>
              <w:ind w:left="2530"/>
              <w:spacing w:after="0"/>
              <w:rPr>
                <w:sz w:val="20"/>
                <w:szCs w:val="20"/>
                <w:color w:val="auto"/>
              </w:rPr>
            </w:pPr>
            <w:r>
              <w:rPr>
                <w:rFonts w:ascii="Times New Roman" w:cs="Times New Roman" w:eastAsia="Times New Roman" w:hAnsi="Times New Roman"/>
                <w:sz w:val="18"/>
                <w:szCs w:val="18"/>
                <w:color w:val="auto"/>
                <w:w w:val="96"/>
              </w:rPr>
              <w:t>383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determine the fair value of the Earnout considerations as of June 30, 2024:</w:t>
            </w: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0"/>
        </w:trPr>
        <w:tc>
          <w:tcPr>
            <w:tcW w:w="9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41"/>
        </w:trPr>
        <w:tc>
          <w:tcPr>
            <w:tcW w:w="92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57"/>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market value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6.80</w:t>
            </w:r>
          </w:p>
        </w:tc>
      </w:tr>
      <w:tr>
        <w:trPr>
          <w:trHeight w:val="24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- 5.34%</w:t>
            </w:r>
          </w:p>
        </w:tc>
      </w:tr>
      <w:tr>
        <w:trPr>
          <w:trHeight w:val="40"/>
        </w:trPr>
        <w:tc>
          <w:tcPr>
            <w:tcW w:w="9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64"/>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- 40.0%</w:t>
            </w:r>
          </w:p>
        </w:tc>
      </w:tr>
      <w:tr>
        <w:trPr>
          <w:trHeight w:val="24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41"/>
        </w:trPr>
        <w:tc>
          <w:tcPr>
            <w:tcW w:w="9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4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0.5-1.5 years</w:t>
            </w:r>
          </w:p>
        </w:tc>
      </w:tr>
      <w:tr>
        <w:trPr>
          <w:trHeight w:val="40"/>
        </w:trPr>
        <w:tc>
          <w:tcPr>
            <w:tcW w:w="9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r>
    </w:tbl>
    <w:p>
      <w:pPr>
        <w:spacing w:after="0" w:line="306" w:lineRule="exact"/>
        <w:rPr>
          <w:sz w:val="20"/>
          <w:szCs w:val="20"/>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18"/>
          <w:szCs w:val="18"/>
          <w:color w:val="auto"/>
        </w:rPr>
        <w:t>The fair value of Earnouts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GEOGRAPHIC INFORMATION AND CONCENTRATIONS</w:t>
      </w:r>
    </w:p>
    <w:p>
      <w:pPr>
        <w:spacing w:after="0" w:line="12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headquarters and substantially all of its operations, including its long-lived assets, are located in the United States. Geographical sales information based on the location of the customer was as follows: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1"/>
        </w:trPr>
        <w:tc>
          <w:tcPr>
            <w:tcW w:w="39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6"/>
        </w:trPr>
        <w:tc>
          <w:tcPr>
            <w:tcW w:w="39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
        </w:trPr>
        <w:tc>
          <w:tcPr>
            <w:tcW w:w="39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region: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85,184</w:t>
            </w:r>
          </w:p>
        </w:tc>
        <w:tc>
          <w:tcPr>
            <w:tcW w:w="100" w:type="dxa"/>
            <w:vAlign w:val="bottom"/>
          </w:tcPr>
          <w:p>
            <w:pPr>
              <w:spacing w:after="0"/>
              <w:rPr>
                <w:sz w:val="21"/>
                <w:szCs w:val="21"/>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151,656</w:t>
            </w:r>
          </w:p>
        </w:tc>
      </w:tr>
      <w:tr>
        <w:trPr>
          <w:trHeight w:val="40"/>
        </w:trPr>
        <w:tc>
          <w:tcPr>
            <w:tcW w:w="3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34,603</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42,187</w:t>
            </w: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108,567</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212,577</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193,843</w:t>
            </w:r>
          </w:p>
        </w:tc>
      </w:tr>
      <w:tr>
        <w:trPr>
          <w:trHeight w:val="40"/>
        </w:trPr>
        <w:tc>
          <w:tcPr>
            <w:tcW w:w="39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
        </w:trPr>
        <w:tc>
          <w:tcPr>
            <w:tcW w:w="3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Company’s principal direct customers as of June 30, 2024 consist primarily of leading international and domestic banks and other payment card issuers primarily within the U.S., with additional direct and indirect customers in Europe, Asia, Latin America, Canada, and the Middle East. The Company periodically assesses the financial strength of these customers and establishes allowances for anticipated losses, if necessary.</w:t>
      </w:r>
    </w:p>
    <w:p>
      <w:pPr>
        <w:spacing w:after="0" w:line="68"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Three customers individually accounted for more than 10% of the Company’s revenue or 76.7% combined, of total revenue for the three months ended June 30, 2024. Three customers individually accounted for more than 10% of the Company’s revenue or 76.0%, combined, of total revenue for the three months ended June 30, 2023. Two customers individually accounted for more than 10% of the Company’s revenue or 69.9% combined, of total revenue for the six months ended June 30, 2024. Three customers individually accounted for more than 10% of the Company’s revenue or 76.0%, combined, of total revenue for the six months ended June 30, 2023. Four customers individually accounted for more than 10% of the Company’s accounts receivable or approximately 79% and two customers individually accounted for more than 10% or approximately 73% of total accounts receivable as of June 30, 2024 and December 31, 2023, respectively.</w:t>
      </w:r>
    </w:p>
    <w:p>
      <w:pPr>
        <w:spacing w:after="0" w:line="8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Three individual vendors accounted for more than 10% of purchases of supplies, or approximately 35% of total purchases, for the six months ended June 30, 2024. One individual vendor accounted for more than 10% of purchases of supplies, or approximately 13% of total purchases, for the six months ended June 30, 2023.</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5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income tax provision of $258 and $970 for the three months ended June 30, 2024, and June 30, 2023, respectively. The Company recorded income tax benefit of $578 and $293 for the six months ended June 30, 2024, and June 30, 2023, respectively.</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federal tax authorities completed their audit of fiscal 2020. There were no proposed adjustments resulting from the examination.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interim effective tax rate, inclusive of any discrete items, was 3.94% and 12.65% for the three months ended June 30, 2024 and June 30, 2023, respectively. The Company's interim effective tax rate, inclusive of any discrete items, was (1.15)% and (0.68)% for the six months ended June 30, 2024 and June 30, 2023, respectively. The Company’s effective income tax rate differs from the U.S. statutory rate primarily due to the non-controlling interest adjustment as the income attributable to the non-controlling interest is pass-through income.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net income used to compute basic and diluted net earnings per share of Class A common stock for the three and six months ended June 30, 2024 and June 30, 2023, respectively. Shares of Class B common stock do not participate in the Company's income or loss and are, therefore, not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Pr>
          <w:p>
            <w:pPr>
              <w:spacing w:after="0"/>
              <w:rPr>
                <w:sz w:val="18"/>
                <w:szCs w:val="18"/>
                <w:color w:val="auto"/>
              </w:rPr>
            </w:pPr>
          </w:p>
        </w:tc>
        <w:tc>
          <w:tcPr>
            <w:tcW w:w="318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3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w:t>
            </w: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33"/>
        </w:trPr>
        <w:tc>
          <w:tcPr>
            <w:tcW w:w="3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33,597</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32,710</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43,447</w:t>
            </w:r>
          </w:p>
        </w:tc>
      </w:tr>
      <w:tr>
        <w:trPr>
          <w:trHeight w:val="22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(35,347)</w:t>
            </w:r>
          </w:p>
        </w:tc>
      </w:tr>
      <w:tr>
        <w:trPr>
          <w:trHeight w:val="33"/>
        </w:trPr>
        <w:tc>
          <w:tcPr>
            <w:tcW w:w="3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Class A Common</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 basic</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 adjustment to net income due to net effect of equity</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 exchangeable notes and Class B units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w:t>
            </w:r>
          </w:p>
        </w:tc>
      </w:tr>
      <w:tr>
        <w:trPr>
          <w:trHeight w:val="33"/>
        </w:trPr>
        <w:tc>
          <w:tcPr>
            <w:tcW w:w="3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Class A Common</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after adjustment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30,491</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10,147</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14,240</w:t>
            </w: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used in</w:t>
            </w: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computing net income per share - basic</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25,438,469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18,537,268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23,002,720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18,087,260</w:t>
            </w:r>
          </w:p>
        </w:tc>
      </w:tr>
      <w:tr>
        <w:trPr>
          <w:trHeight w:val="33"/>
        </w:trPr>
        <w:tc>
          <w:tcPr>
            <w:tcW w:w="3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 net effect of dilutive equity awards, exchangeable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and Class B units - diluted</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71,202,223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16,991,161</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73,435,361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17,068,029</w:t>
            </w: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used in</w:t>
            </w: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computing net income per share - diluted</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96,640,692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35,528,429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96,438,081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35,155,289</w:t>
            </w:r>
          </w:p>
        </w:tc>
      </w:tr>
      <w:tr>
        <w:trPr>
          <w:trHeight w:val="33"/>
        </w:trPr>
        <w:tc>
          <w:tcPr>
            <w:tcW w:w="3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share—basic</w:t>
            </w:r>
          </w:p>
        </w:tc>
        <w:tc>
          <w:tcPr>
            <w:tcW w:w="400" w:type="dxa"/>
            <w:vAlign w:val="bottom"/>
            <w:tcBorders>
              <w:bottom w:val="single" w:sz="8" w:color="BFE4FF"/>
            </w:tcBorders>
            <w:shd w:val="clear" w:color="auto" w:fill="BFE4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r>
      <w:tr>
        <w:trPr>
          <w:trHeight w:val="21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share—diluted</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6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r>
      <w:tr>
        <w:trPr>
          <w:trHeight w:val="33"/>
        </w:trPr>
        <w:tc>
          <w:tcPr>
            <w:tcW w:w="3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for the three months ended June 30, 2024 was calculated by dividing net income attributable to Class A Common stockholders of $11,099 divided by 25,438,469 of weighted average Class A common shares outstanding at June 30, 2024. Diluted earnings per share for the three months ended June 30, 2024 was calculated by dividing net income adjusted for the net effect of dilutive equity awards, exchangeable notes and Class B units of $30,491 divided by 96,640,692 of weighted average common shares after adjusting for the net effect of dilutive equity awards, exchangeable notes and Class B units outstanding at June 30, 2024.</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for the three months ended June 30, 2023 was calculated by dividing net income attributable to Class A Common stockholders of $5,737 divided by 18,537,268 of weighted average Class A common shares outstanding at June 30, 2023. Diluted earnings per share for the three months ended June 30, 2023 was calculated by dividing net income adjusted for the net effect of dilutive equity awards and exchangeable notes of $10,147, divided by 35,528,429 of weighted average common shares after adjusting for the net effect of dilutive equity awards and exchangeable notes outstanding at June 30, 2023.</w:t>
      </w:r>
    </w:p>
    <w:p>
      <w:pPr>
        <w:spacing w:after="0" w:line="31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for the six months ended June 30, 2024 was calculated by dividing net income attributable to Class A Common stockholders of $17,041 divided by 23,002,720 of weighted average Class A common shares outstanding at June 30, 2024. Diluted earnings per share for the six months ended June 30, 2024 was calculated by dividing net income adjusted for the net effect of dilutive equity awards exchangeable notes and Class B units of $46,927 divided by 96,438,081 of weighted average common shares after adjusting for the net effect of dilutive equity awards, exchangeable notes and Class B units outstanding at June 30, 2024.</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Basic earnings per share for the six months ended June 30, 2023 was calculated by dividing net income attributable to Class A Common stockholders of $8,100 divided by 18,087,260 of weighted average Class A common shares outstanding at June 30, 2023. Diluted earnings per share for the six months ended June 30, 2023 was calculated by dividing net income adjusted for the net effect of dilutive equity awards and exchangeable notes of $14,240, divided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35,155,289 of weighted average common shares after adjusting for the net effect of dilutive equity awards and exchangeable notes outstanding at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3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Exchangeable Notes to calculate diluted earnings per share in accordance with ASU 2020-06.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amounts were not included in the calculation of net earnings per diluted share because their effects were anti-dilutive: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38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340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0"/>
        </w:trPr>
        <w:tc>
          <w:tcPr>
            <w:tcW w:w="43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277"/>
        </w:trPr>
        <w:tc>
          <w:tcPr>
            <w:tcW w:w="43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4"/>
                <w:szCs w:val="24"/>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Potentially dilutive securities:</w:t>
            </w: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40"/>
        </w:trPr>
        <w:tc>
          <w:tcPr>
            <w:tcW w:w="43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22,415,400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22,415,400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22,415,400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22,415,400</w:t>
            </w:r>
          </w:p>
        </w:tc>
        <w:tc>
          <w:tcPr>
            <w:tcW w:w="180" w:type="dxa"/>
            <w:vAlign w:val="bottom"/>
          </w:tcPr>
          <w:p>
            <w:pPr>
              <w:spacing w:after="0"/>
              <w:rPr>
                <w:sz w:val="22"/>
                <w:szCs w:val="22"/>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units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59,958,422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59,958,422</w:t>
            </w:r>
          </w:p>
        </w:tc>
        <w:tc>
          <w:tcPr>
            <w:tcW w:w="180" w:type="dxa"/>
            <w:vAlign w:val="bottom"/>
          </w:tcPr>
          <w:p>
            <w:pPr>
              <w:spacing w:after="0"/>
              <w:rPr>
                <w:sz w:val="21"/>
                <w:szCs w:val="21"/>
                <w:color w:val="auto"/>
              </w:rPr>
            </w:pPr>
          </w:p>
        </w:tc>
      </w:tr>
      <w:tr>
        <w:trPr>
          <w:trHeight w:val="41"/>
        </w:trPr>
        <w:tc>
          <w:tcPr>
            <w:tcW w:w="43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consideration shares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80" w:type="dxa"/>
            <w:vAlign w:val="bottom"/>
          </w:tcPr>
          <w:p>
            <w:pPr>
              <w:spacing w:after="0"/>
              <w:rPr>
                <w:sz w:val="22"/>
                <w:szCs w:val="22"/>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1,584,706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2,431,925</w:t>
            </w:r>
          </w:p>
        </w:tc>
        <w:tc>
          <w:tcPr>
            <w:tcW w:w="1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2,847,382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2,712,064</w:t>
            </w:r>
          </w:p>
        </w:tc>
        <w:tc>
          <w:tcPr>
            <w:tcW w:w="180" w:type="dxa"/>
            <w:vAlign w:val="bottom"/>
          </w:tcPr>
          <w:p>
            <w:pPr>
              <w:spacing w:after="0"/>
              <w:rPr>
                <w:sz w:val="21"/>
                <w:szCs w:val="21"/>
                <w:color w:val="auto"/>
              </w:rPr>
            </w:pPr>
          </w:p>
        </w:tc>
      </w:tr>
      <w:tr>
        <w:trPr>
          <w:trHeight w:val="810"/>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77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Future minimum commitments under all non-cancelable operating leases are as follows:</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5"/>
        </w:trPr>
        <w:tc>
          <w:tcPr>
            <w:tcW w:w="43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spacing w:after="0"/>
              <w:rPr>
                <w:sz w:val="11"/>
                <w:szCs w:val="11"/>
                <w:color w:val="auto"/>
              </w:rPr>
            </w:pPr>
          </w:p>
        </w:tc>
      </w:tr>
      <w:tr>
        <w:trPr>
          <w:trHeight w:val="26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1,147</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2,502</w:t>
            </w:r>
          </w:p>
        </w:tc>
      </w:tr>
      <w:tr>
        <w:trPr>
          <w:trHeight w:val="40"/>
        </w:trPr>
        <w:tc>
          <w:tcPr>
            <w:tcW w:w="43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r>
      <w:tr>
        <w:trPr>
          <w:trHeight w:val="26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2,240</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w:t>
            </w:r>
          </w:p>
        </w:tc>
      </w:tr>
      <w:tr>
        <w:trPr>
          <w:trHeight w:val="40"/>
        </w:trPr>
        <w:tc>
          <w:tcPr>
            <w:tcW w:w="43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r>
      <w:tr>
        <w:trPr>
          <w:trHeight w:val="26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846</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 years</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r>
      <w:tr>
        <w:trPr>
          <w:trHeight w:val="40"/>
        </w:trPr>
        <w:tc>
          <w:tcPr>
            <w:tcW w:w="438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r>
      <w:tr>
        <w:trPr>
          <w:trHeight w:val="25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8,006</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r>
      <w:tr>
        <w:trPr>
          <w:trHeight w:val="40"/>
        </w:trPr>
        <w:tc>
          <w:tcPr>
            <w:tcW w:w="438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r>
      <w:tr>
        <w:trPr>
          <w:trHeight w:val="302"/>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256" w:lineRule="exact"/>
        <w:rPr>
          <w:sz w:val="20"/>
          <w:szCs w:val="20"/>
          <w:color w:val="auto"/>
        </w:rPr>
      </w:pPr>
    </w:p>
    <w:p>
      <w:pPr>
        <w:ind w:left="20"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is obligated to make certain payments under a tax receivable agreement to certain historical unitholders of Holdings. Although the actual timing and amount of any payments that may be made under the agreement will vary, the Company expects the cash obligation required will be significant. Any payments made under the tax receivable agreement will generally reduce the amount of overall cash flows that might have otherwise been available to the Company. To the extent that the Company is unable to make payments under the tax receivable agreement for any reason, the unpaid amounts generally will be deferred and will accrue interest until paid by the 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the Company had the following obligations expected to be paid pursuant to the tax receivable agreement</w:t>
      </w:r>
      <w:r>
        <w:rPr>
          <w:rFonts w:ascii="Times New Roman" w:cs="Times New Roman" w:eastAsia="Times New Roman" w:hAnsi="Times New Roman"/>
          <w:sz w:val="18"/>
          <w:szCs w:val="18"/>
          <w:color w:val="CC0099"/>
        </w:rPr>
        <w: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4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41"/>
        </w:trPr>
        <w:tc>
          <w:tcPr>
            <w:tcW w:w="8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4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40"/>
        </w:trPr>
        <w:tc>
          <w:tcPr>
            <w:tcW w:w="8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r>
      <w:tr>
        <w:trPr>
          <w:trHeight w:val="24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 years</w:t>
            </w:r>
          </w:p>
        </w:tc>
        <w:tc>
          <w:tcPr>
            <w:tcW w:w="9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w:t>
            </w:r>
          </w:p>
        </w:tc>
      </w:tr>
      <w:tr>
        <w:trPr>
          <w:trHeight w:val="40"/>
        </w:trPr>
        <w:tc>
          <w:tcPr>
            <w:tcW w:w="86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96"/>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0" w:firstLine="648"/>
        <w:spacing w:after="0"/>
        <w:rPr>
          <w:sz w:val="20"/>
          <w:szCs w:val="20"/>
          <w:color w:val="auto"/>
        </w:rPr>
      </w:pPr>
      <w:r>
        <w:rPr>
          <w:rFonts w:ascii="Times New Roman" w:cs="Times New Roman" w:eastAsia="Times New Roman" w:hAnsi="Times New Roman"/>
          <w:sz w:val="18"/>
          <w:szCs w:val="18"/>
          <w:color w:val="auto"/>
        </w:rPr>
        <w:t>In addition to the above, the Company's tax receivable agreement liability and future payments thereunder are expected to increase as we realize (or are deemed to realize) an increase in tax basis of Holdings’ assets resulting from any future purchases, redemptions or exchanges of Holdings' equity by unitholders. The Company currently expects to fund these future tax receivable agreement liability payments from some of the realized cash tax savings as a result of this increase in tax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may be, from time to time, party to various disputes and claims arising from normal business activities. The Company accrues for amounts related to legal matters if it is probable that a liability has been incurred and the amount is reasonably estimable. Litigation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the Company entered into a tax receivable agreement with Holdings and unitholders of Holdings. See Note 13. The Company is obligated to make certain payments under the tax receivable agreement to certain historical unitholders of Holdings. The Company made no payment related to the tax receivable agreement liability in the six months ended June 30, 2024.</w:t>
      </w:r>
    </w:p>
    <w:p>
      <w:pPr>
        <w:spacing w:after="0" w:line="20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Pursuant to the Holdings Second Amended and Restated LLC Agreement, the Company makes pro rata tax distributions to the unitholders of Holdings (i.e., non-controlling interest) in an amount sufficient to fund all or part of their tax obligations with respect to the taxable income of Holdings that is allocated to them. For the three months ended June 30, 2024, Holdings distributed a total of $22,961 of tax distributions to its members, of which $6,945 was paid to CompoSecure, Inc. (the parent company), resulting in a net tax distribution to all other members of $16,016. For the six months ended June 30, 2024, Holdings distributed a total of $36,383 of tax distributions to its members, of which $10,216 was paid to CompoSecure, Inc. (the parent company), resulting in a net tax distribution to all other members of $26,167.</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special distribution discussed in Note 6, $15,573 was disbursed to Class B unitholders of Holdings on June 11, 2024.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August 7, 2024, the Company entered into a Fourth Amended and Restated Credit Agreement with JPMC to refinance its existing credit facility to $330,000 which is comprised of a term loan of $200,000 and revolving credit facility of $130,000. The amended facility will mature in August 2029.</w:t>
      </w:r>
    </w:p>
    <w:p>
      <w:pPr>
        <w:spacing w:after="0" w:line="175"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On August 7, 2024, certain shareholders of the Company and Tungsten 2024, LLC ("Tungsten") entered into Stock Purchase Agreements ("SPAs"), pursuant to which Tungsten will acquire a majority interest in the Company. This transaction is pending regulatory approval. Under the terms of the SPAs, the selling shareholders will exchange their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units and associated Class B shares for Class A shares, eliminating the current dual-share class structure. Tungsten will subsequently purchase</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49.3 million of the corresponding Class A shares to acquire majority control of the Company. The Company is conducting its assessment of the accounting implications of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consolidated financial condition and results of operations should be read in conjunction with the Company's audited consolidated financial statements and related notes thereto included in the Annual Report on Form 10-K for the year ended December 31, 2023 filed with the SEC.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creates innovative, highly differentiated and customized financial payment card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 - Globally and in the Digital Asset Marketplace</w:t>
      </w:r>
    </w:p>
    <w:p>
      <w:pPr>
        <w:spacing w:after="0" w:line="243"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U.S. and international markets and, in particular, the rapidly evolving digital assets industry, are experiencing uncertain and volatile economic conditions, including Russian aggression in Ukraine, the ongoing conflict in Israel, Gaza and the surrounding areas,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spacing w:after="0" w:line="21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Company’s Arculus platform offers a broad range of secure authentication and digital asset storage solutions and enables our consumer Arculus Cold Storage Wallet for digital assets. We believe consumers can achieve enhanced protection by controlling their private keys with a cold storage wallet, such as the Arculus Cold Storage Wallet. At the same time, this market cycle has created uncertainty in timing for our anticipated Arculus ramp up, as some of our partners and targets have been impacted. Therefore, we are taking a measured approach to better target the timing of our investments to support near-term and long-term opportunities.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refers to pre-laminated, sub-assemblies consisting of a composite of material layers which are partially laminated to be used as a component in the multiple layers of a final payment card or other card construction). Net sales include the effect of discounts and allowances which consist primarily of volume-based rebates.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The Company’s cost of sales includes the direct and indirect costs related to manufacturing products and providing related services. Product costs include the cost of raw materials and supplies, including various metals, EMV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gross profit represents its net sales less cost of sales, and its gross margin represents gross profit as a percentage of its net sales.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320" w:firstLine="648"/>
        <w:spacing w:after="0" w:line="289" w:lineRule="auto"/>
        <w:rPr>
          <w:sz w:val="20"/>
          <w:szCs w:val="20"/>
          <w:color w:val="auto"/>
        </w:rPr>
      </w:pPr>
      <w:r>
        <w:rPr>
          <w:rFonts w:ascii="Times New Roman" w:cs="Times New Roman" w:eastAsia="Times New Roman" w:hAnsi="Times New Roman"/>
          <w:sz w:val="17"/>
          <w:szCs w:val="17"/>
          <w:color w:val="auto"/>
        </w:rPr>
        <w:t>The Company’s operating expenses primarily comprised selling, general, and administrative expenses, which generally consist of personnel-related expenses for its corporate, executive, finance, information technology, and other administrative functions, and expenses for outside professional services, including legal, audit and accounting services, as well as expenses for facilities, depreciation, amortization, travel, sales and marketing.</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and Operating Margin</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Income from operations consists of the Company’s gross profit less its operating expenses. Operating margin is income from the Company’s operations as a percentage of its net sales.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Other expense primarily consists of changes in fair value of warrant liability, earnout consideration liability and interest expense net of any interest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consists of the Company’s income from operations, less other expenses and income tax provision or benefit.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Company’s Operating Results</w:t>
      </w:r>
    </w:p>
    <w:p>
      <w:pPr>
        <w:spacing w:after="0" w:line="24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Please see the factors discussed in this Quarterly Report on Form 10-Q, including those discussed in the sections entitled “Risk Factors” and “Cautionary Note Regarding Forward-Looking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Three months ended June 30, 2024 vs </w:t>
      </w:r>
      <w:r>
        <w:rPr>
          <w:rFonts w:ascii="Times New Roman" w:cs="Times New Roman" w:eastAsia="Times New Roman" w:hAnsi="Times New Roman"/>
          <w:sz w:val="19"/>
          <w:szCs w:val="19"/>
          <w:b w:val="1"/>
          <w:bCs w:val="1"/>
          <w:i w:val="1"/>
          <w:iCs w:val="1"/>
          <w:u w:val="single" w:color="auto"/>
          <w:color w:val="auto"/>
        </w:rPr>
        <w:t>three months ended June 30, 2023</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results of operations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300" w:type="dxa"/>
            <w:vAlign w:val="bottom"/>
          </w:tcPr>
          <w:p>
            <w:pPr>
              <w:spacing w:after="0"/>
              <w:rPr>
                <w:sz w:val="20"/>
                <w:szCs w:val="20"/>
                <w:color w:val="auto"/>
              </w:rPr>
            </w:pPr>
          </w:p>
        </w:tc>
      </w:tr>
      <w:tr>
        <w:trPr>
          <w:trHeight w:val="40"/>
        </w:trPr>
        <w:tc>
          <w:tcPr>
            <w:tcW w:w="57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1"/>
        </w:trPr>
        <w:tc>
          <w:tcPr>
            <w:tcW w:w="57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
        </w:trPr>
        <w:tc>
          <w:tcPr>
            <w:tcW w:w="5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r>
      <w:tr>
        <w:trPr>
          <w:trHeight w:val="41"/>
        </w:trPr>
        <w:tc>
          <w:tcPr>
            <w:tcW w:w="57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40"/>
        </w:trPr>
        <w:tc>
          <w:tcPr>
            <w:tcW w:w="5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3"/>
        </w:trPr>
        <w:tc>
          <w:tcPr>
            <w:tcW w:w="5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41"/>
        </w:trPr>
        <w:tc>
          <w:tcPr>
            <w:tcW w:w="5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3"/>
        </w:trPr>
        <w:tc>
          <w:tcPr>
            <w:tcW w:w="5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r>
      <w:tr>
        <w:trPr>
          <w:trHeight w:val="237"/>
        </w:trPr>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40"/>
        </w:trPr>
        <w:tc>
          <w:tcPr>
            <w:tcW w:w="5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3"/>
        </w:trPr>
        <w:tc>
          <w:tcPr>
            <w:tcW w:w="5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41"/>
        </w:trPr>
        <w:tc>
          <w:tcPr>
            <w:tcW w:w="5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CompoSecure, Inc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23"/>
                <w:szCs w:val="23"/>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Pr>
          <w:p>
            <w:pPr>
              <w:spacing w:after="0"/>
              <w:rPr>
                <w:sz w:val="23"/>
                <w:szCs w:val="23"/>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5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40"/>
        </w:trPr>
        <w:tc>
          <w:tcPr>
            <w:tcW w:w="5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7"/>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
        </w:trPr>
        <w:tc>
          <w:tcPr>
            <w:tcW w:w="52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5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459"/>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560" w:type="dxa"/>
            <w:vAlign w:val="bottom"/>
          </w:tcPr>
          <w:p>
            <w:pPr>
              <w:spacing w:after="0"/>
              <w:rPr>
                <w:sz w:val="24"/>
                <w:szCs w:val="24"/>
                <w:color w:val="auto"/>
              </w:rPr>
            </w:pPr>
          </w:p>
        </w:tc>
      </w:tr>
      <w:tr>
        <w:trPr>
          <w:trHeight w:val="40"/>
        </w:trPr>
        <w:tc>
          <w:tcPr>
            <w:tcW w:w="5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4"/>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7"/>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0"/>
        </w:trPr>
        <w:tc>
          <w:tcPr>
            <w:tcW w:w="5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gridSpan w:val="7"/>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7"/>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60" w:type="dxa"/>
            <w:vAlign w:val="bottom"/>
            <w:gridSpan w:val="7"/>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60" w:type="dxa"/>
            <w:vAlign w:val="bottom"/>
          </w:tcPr>
          <w:p>
            <w:pPr>
              <w:spacing w:after="0"/>
              <w:rPr>
                <w:sz w:val="20"/>
                <w:szCs w:val="20"/>
                <w:color w:val="auto"/>
              </w:rPr>
            </w:pPr>
          </w:p>
        </w:tc>
      </w:tr>
      <w:tr>
        <w:trPr>
          <w:trHeight w:val="40"/>
        </w:trPr>
        <w:tc>
          <w:tcPr>
            <w:tcW w:w="5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6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region</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77,989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7,195</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40"/>
        </w:trPr>
        <w:tc>
          <w:tcPr>
            <w:tcW w:w="5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83"/>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2,845</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1"/>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108,567</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100" w:type="dxa"/>
            <w:vAlign w:val="bottom"/>
          </w:tcPr>
          <w:p>
            <w:pPr>
              <w:spacing w:after="0"/>
              <w:rPr>
                <w:sz w:val="23"/>
                <w:szCs w:val="23"/>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10,040</w:t>
            </w:r>
          </w:p>
        </w:tc>
        <w:tc>
          <w:tcPr>
            <w:tcW w:w="80" w:type="dxa"/>
            <w:vAlign w:val="bottom"/>
          </w:tcPr>
          <w:p>
            <w:pPr>
              <w:spacing w:after="0"/>
              <w:rPr>
                <w:sz w:val="23"/>
                <w:szCs w:val="23"/>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net sales for the quarter ended June 30, 2024 increased $10.0 million, or 10%, to $108.6 million compared to $98.5 million for the quarter ended June 30, 2023. The increase was primarily driven by continued</w:t>
      </w:r>
    </w:p>
    <w:p>
      <w:pPr>
        <w:spacing w:after="0"/>
        <w:rPr>
          <w:sz w:val="20"/>
          <w:szCs w:val="20"/>
          <w:color w:val="auto"/>
        </w:rPr>
      </w:pPr>
      <w:r>
        <w:rPr>
          <w:rFonts w:ascii="Times New Roman" w:cs="Times New Roman" w:eastAsia="Times New Roman" w:hAnsi="Times New Roman"/>
          <w:sz w:val="18"/>
          <w:szCs w:val="18"/>
          <w:color w:val="auto"/>
        </w:rPr>
        <w:t>domestic growth in the Company’s premium payment card business, which was up 9% and higher international sales, which was up 14%.</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Domestic</w:t>
      </w:r>
      <w:r>
        <w:rPr>
          <w:rFonts w:ascii="Times New Roman" w:cs="Times New Roman" w:eastAsia="Times New Roman" w:hAnsi="Times New Roman"/>
          <w:sz w:val="18"/>
          <w:szCs w:val="18"/>
          <w:color w:val="auto"/>
        </w:rPr>
        <w:t>: The Company’s domestic net sales for the quarter ended June 30, 2024 increased $7.2 million, or 9%, to $85.2 million compared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$78.0 million for the quarter ended June 30, 2023. The increase was primarily due to higher customer acquisition by the Company’s clients as they continue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experience higher demand for their products.</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The Company’s international net sales for the quarter ended June 30, 2024 increased $2.8 million, or 14%, to $23.4 million</w:t>
      </w:r>
    </w:p>
    <w:p>
      <w:pPr>
        <w:spacing w:after="0" w:line="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compared to $20.5 million for the quarter ended June 30, 2023. International sales as a percentage of total sales remained consistent at 22% and 21% of the Company's total net sales for the quarter ended June 30, 2024 and 2023, respectively.</w:t>
      </w:r>
    </w:p>
    <w:p>
      <w:pPr>
        <w:sectPr>
          <w:pgSz w:w="11900" w:h="16838" w:orient="portrait"/>
          <w:cols w:equalWidth="0" w:num="1">
            <w:col w:w="11240"/>
          </w:cols>
          <w:pgMar w:left="320" w:top="1143" w:right="339" w:bottom="11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117" w:gutter="0" w:footer="0" w:header="0"/>
          <w:type w:val="continuous"/>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3"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The Company’s gross profit for the quarter ended June 30, 2024 increased $2.1 million, or 4%, to $56.1 million compared to $53.9 million for the quarter ended June 30, 2023. The gross profit margin percentage decreased by 3% to 52% compared to 55% for the quarter ended June 30, 2023. The decrease was primarily due to product mix, specifically lower production efficiencies from new and innovative card constructions as well as the impact of inflationary pressure on wages and materials during the quarter ended June 30, 2024.</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3" w:lineRule="exact"/>
        <w:rPr>
          <w:sz w:val="20"/>
          <w:szCs w:val="20"/>
          <w:color w:val="auto"/>
        </w:rPr>
      </w:pPr>
    </w:p>
    <w:p>
      <w:pPr>
        <w:ind w:right="60" w:firstLine="648"/>
        <w:spacing w:after="0" w:line="296" w:lineRule="auto"/>
        <w:rPr>
          <w:sz w:val="20"/>
          <w:szCs w:val="20"/>
          <w:color w:val="auto"/>
        </w:rPr>
      </w:pPr>
      <w:r>
        <w:rPr>
          <w:rFonts w:ascii="Times New Roman" w:cs="Times New Roman" w:eastAsia="Times New Roman" w:hAnsi="Times New Roman"/>
          <w:sz w:val="17"/>
          <w:szCs w:val="17"/>
          <w:color w:val="auto"/>
        </w:rPr>
        <w:t>The Company’s operating expenses increased $0.7 million, or 3%, to $24.3 million for the quarter ended June 30, 2024 compared to $23.6 million for the quarter ended June 30, 2023. The increase was primarily related to costs incurred by the Company in connection with the Secondary Offering.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and Operating Margin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Income from operations for the quarter ended June 30, 2024 increased $1.4 million, or 5% to $31.8 million compared to $30.3 million for the quarter ended June 30, 2023. The increase was primarily attributable to an increase in net sales. Operating margin for the quarter ended June 30, 2024 decreased by 2% to 29% compared to 31% for the quarter ended June 30, 2023. The decrease in operating margin was primarily attributable to the decrease in gross margin discussed above.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quarter ended June 30, 2024 decreased $1.3 million, or 38.1%, to $2.1 million compared to $3.3 million for the quarter ended June 30, 2023. The overall decrease in other income was primarily due to changes in the fair value of earnout consideration liability and warrant liability of $1.5 million offset by the decrease in interest expense of $0.2 million related to payments of principal on the outstanding Term Loan.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income tax expense for the quarter ended June 30, 2024 was $0.3 million compared to $1.0 million for the quarter ended June 30, 2023. The decrease in the income tax expense is attributable to a change in the Company's interim effective tax rates. The Company's interim effective tax rate, inclusive of any discrete items, was 3.94% and 12.65% for the three months ended June 30, 2024 and June 30, 2023, respectively.</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2024 vs six months ended June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results of operations for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300" w:type="dxa"/>
            <w:vAlign w:val="bottom"/>
          </w:tcPr>
          <w:p>
            <w:pPr>
              <w:spacing w:after="0"/>
              <w:rPr>
                <w:sz w:val="18"/>
                <w:szCs w:val="18"/>
                <w:color w:val="auto"/>
              </w:rPr>
            </w:pPr>
          </w:p>
        </w:tc>
      </w:tr>
      <w:tr>
        <w:trPr>
          <w:trHeight w:val="33"/>
        </w:trPr>
        <w:tc>
          <w:tcPr>
            <w:tcW w:w="5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00" w:type="dxa"/>
            <w:vAlign w:val="bottom"/>
          </w:tcPr>
          <w:p>
            <w:pPr>
              <w:spacing w:after="0"/>
              <w:rPr>
                <w:sz w:val="18"/>
                <w:szCs w:val="18"/>
                <w:color w:val="auto"/>
              </w:rPr>
            </w:pPr>
          </w:p>
        </w:tc>
      </w:tr>
      <w:tr>
        <w:trPr>
          <w:trHeight w:val="33"/>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r>
      <w:tr>
        <w:trPr>
          <w:trHeight w:val="224"/>
        </w:trPr>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14,740</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5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w:t>
            </w:r>
          </w:p>
        </w:tc>
      </w:tr>
      <w:tr>
        <w:trPr>
          <w:trHeight w:val="224"/>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5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62,928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59,759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5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(expense), net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r>
      <w:tr>
        <w:trPr>
          <w:trHeight w:val="223"/>
        </w:trPr>
        <w:tc>
          <w:tcPr>
            <w:tcW w:w="5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5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Income tax benefit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97%</w:t>
            </w:r>
          </w:p>
        </w:tc>
      </w:tr>
      <w:tr>
        <w:trPr>
          <w:trHeight w:val="21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43,447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7,223</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redeemable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4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CompoSecure, Inc</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110%</w:t>
            </w:r>
          </w:p>
        </w:tc>
      </w:tr>
      <w:tr>
        <w:trPr>
          <w:trHeight w:val="24"/>
        </w:trPr>
        <w:tc>
          <w:tcPr>
            <w:tcW w:w="5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6"/>
          </w:tcPr>
          <w:p>
            <w:pPr>
              <w:jc w:val="right"/>
              <w:ind w:right="753"/>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0"/>
        </w:trPr>
        <w:tc>
          <w:tcPr>
            <w:tcW w:w="5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7"/>
        </w:trPr>
        <w:tc>
          <w:tcPr>
            <w:tcW w:w="5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68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13"/>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80" w:type="dxa"/>
            <w:vAlign w:val="bottom"/>
          </w:tcPr>
          <w:p>
            <w:pPr>
              <w:spacing w:after="0"/>
              <w:rPr>
                <w:sz w:val="24"/>
                <w:szCs w:val="24"/>
                <w:color w:val="auto"/>
              </w:rPr>
            </w:pPr>
          </w:p>
        </w:tc>
      </w:tr>
      <w:tr>
        <w:trPr>
          <w:trHeight w:val="40"/>
        </w:trPr>
        <w:tc>
          <w:tcPr>
            <w:tcW w:w="5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302"/>
        </w:trPr>
        <w:tc>
          <w:tcPr>
            <w:tcW w:w="5040" w:type="dxa"/>
            <w:vAlign w:val="bottom"/>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50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40"/>
        </w:trPr>
        <w:tc>
          <w:tcPr>
            <w:tcW w:w="5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6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region</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151,656</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Pr>
          <w:p>
            <w:pPr>
              <w:spacing w:after="0"/>
              <w:rPr>
                <w:sz w:val="21"/>
                <w:szCs w:val="21"/>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3"/>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42,187</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6"/>
                <w:szCs w:val="16"/>
                <w:color w:val="auto"/>
              </w:rPr>
              <w:t>(18)%</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212,577</w:t>
            </w:r>
          </w:p>
        </w:tc>
        <w:tc>
          <w:tcPr>
            <w:tcW w:w="8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193,843</w:t>
            </w:r>
          </w:p>
        </w:tc>
        <w:tc>
          <w:tcPr>
            <w:tcW w:w="80" w:type="dxa"/>
            <w:vAlign w:val="bottom"/>
          </w:tcPr>
          <w:p>
            <w:pPr>
              <w:spacing w:after="0"/>
              <w:rPr>
                <w:sz w:val="23"/>
                <w:szCs w:val="23"/>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rPr>
              <w:t>18,734</w:t>
            </w:r>
          </w:p>
        </w:tc>
        <w:tc>
          <w:tcPr>
            <w:tcW w:w="100" w:type="dxa"/>
            <w:vAlign w:val="bottom"/>
          </w:tcPr>
          <w:p>
            <w:pPr>
              <w:spacing w:after="0"/>
              <w:rPr>
                <w:sz w:val="23"/>
                <w:szCs w:val="23"/>
                <w:color w:val="auto"/>
              </w:rPr>
            </w:pPr>
          </w:p>
        </w:tc>
        <w:tc>
          <w:tcPr>
            <w:tcW w:w="14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Company’s net sales for the six months ended June 30, 2024 increased $18.7 million, or 10%, to $212.6 million compared to $193.8 million for the six months ended June 30, 2023. The increase was primarily driven by continued domestic growth in the Company’s premium payment card business, which was up 17%. This was partially offset by lower international sales, which is a more variable market due to customer mix and a smaller sales base.</w:t>
      </w:r>
    </w:p>
    <w:p>
      <w:pPr>
        <w:spacing w:after="0" w:line="70"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Domestic</w:t>
      </w:r>
      <w:r>
        <w:rPr>
          <w:rFonts w:ascii="Times New Roman" w:cs="Times New Roman" w:eastAsia="Times New Roman" w:hAnsi="Times New Roman"/>
          <w:sz w:val="18"/>
          <w:szCs w:val="18"/>
          <w:color w:val="auto"/>
        </w:rPr>
        <w:t>: The Company’s domestic net sales for the six months ended June 30, 2024 increased $26.3 million, or 17%, to 178.0 million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$151.7 million for the six months ended June 30, 2023. The increase was primarily due to higher customer acquisition by the Company’s clients as they continue to experience higher demand for their products.</w:t>
      </w:r>
    </w:p>
    <w:p>
      <w:pPr>
        <w:sectPr>
          <w:pgSz w:w="11900" w:h="16838" w:orient="portrait"/>
          <w:cols w:equalWidth="0" w:num="1">
            <w:col w:w="11240"/>
          </w:cols>
          <w:pgMar w:left="320" w:top="1440" w:right="339" w:bottom="8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861" w:gutter="0" w:footer="0" w:header="0"/>
          <w:type w:val="continuous"/>
        </w:sectPr>
      </w:pPr>
    </w:p>
    <w:bookmarkStart w:id="35" w:name="page36"/>
    <w:bookmarkEnd w:id="35"/>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The Company’s international net sales for the six months ended June 30, 2024 decreased $7.6, or 18%, to $34.6 million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$42.2 million for the six months ended June 30, 2023. This decrease was primarily due to current global economic conditions and international markets being a more variable market due to customer mix and a smaller sales base. International net sales were approximately 16% and 22% of the Company's total net sales for the six months ended June 30, 2024 and 2023, respectively. As mentioned above, the international market is more variable due to customer mix and a smaller sales base.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gross profit for the six months ended June 30, 2024 increased $4.0 million, or 4% to $111.3 million compared to $107.3 million for the six months ended June 30, 2023. The gross profit margin percentage decreased to 52% compared to 55% for the six months ended June 30, 2023. The decrease was primarily due to product mix, specifically lower production efficiencies from new and innovative card constructions as well as the impact of inflationary pressure on wages and materials during the six months ended June 30,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Company’s operating expenses for the six months ended June 30, 2024 increased $0.8 million, or 2%, to $48.4 million compared to $47.5 million for the six months ended June 30, 2023. The increase was primarily related to costs incurred by the Company in connection with the Secondary Offering.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and Operating Margin</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had income from operations of $62.9 million compared to income from operations of $59.8 million for the six months ended June 30, 2023. The operating margin for the six months ended June 30, 2024 decreased to 30% compared to 31% for the six months ended June 30, 2023. The decrease in operating margin percentage was primarily due to the noted increases in operating expenses.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Other expenses for the six months ended June 30, 2024 decreased $3.8 million, or 22.7%, to $12.8 million compared to $16.6 million for the six months ended June 30, 2023. The overall decrease in other expenses was primarily due to changes in the fair value of earnout consideration liability and warrant liability of $2.4 million and changes in a derivative liability related to a make-whole provision as discussed in Note 5 in the unaudited financial statements of $0.4 million. The balance of the decrease was primarily related to lower interest resulting from principal payments made on the outstanding term loan.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The Company's income tax benefit for the six months ended June 30, 2024 was $0.6 million, compared to $0.3 million for the six months ended June 30, 2023. The increase in the income tax benefit is attributable to a change in the Company's interim effective tax rate. The Company's interim effective tax rate, inclusive of any discrete items, was (1.15)% and (0.68)% for the six months ended June 30, 2024 and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may include certain non-GAAP financial measures that are not prepared in accordance with accounting principles generally accepted in the United States (“GAAP”) and that may be different from non-GAAP financial measures used by other companies. The Company believes EBITDA, Adjusted EBITDA, Adjusted net income, and Adjusted net income per share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Adjusted EBITDA, Adjusted net income and Adjusted net income per share should not be considered as measures of financial performance under U.S. GAAP, and the items excluded from EBITDA, Adjusted EBITDA, Adjusted net income and Adjusted net income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table presents the reconciliation of net income to EBITDA and Adjusted EBITDA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4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tcBorders>
            <w:gridSpan w:val="4"/>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34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1"/>
        </w:trPr>
        <w:tc>
          <w:tcPr>
            <w:tcW w:w="34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77"/>
        </w:trPr>
        <w:tc>
          <w:tcPr>
            <w:tcW w:w="34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r>
      <w:tr>
        <w:trPr>
          <w:trHeight w:val="237"/>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33,597</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32,710</w:t>
            </w: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50,670</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43,447</w:t>
            </w:r>
          </w:p>
        </w:tc>
      </w:tr>
      <w:tr>
        <w:trPr>
          <w:trHeight w:val="40"/>
        </w:trPr>
        <w:tc>
          <w:tcPr>
            <w:tcW w:w="3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4"/>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r>
      <w:tr>
        <w:trPr>
          <w:trHeight w:val="40"/>
        </w:trPr>
        <w:tc>
          <w:tcPr>
            <w:tcW w:w="3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4"/>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(1)</w:t>
            </w:r>
          </w:p>
        </w:tc>
        <w:tc>
          <w:tcPr>
            <w:tcW w:w="1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40"/>
        </w:trPr>
        <w:tc>
          <w:tcPr>
            <w:tcW w:w="34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57"/>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41,660</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59,670</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w:t>
            </w:r>
          </w:p>
        </w:tc>
      </w:tr>
      <w:tr>
        <w:trPr>
          <w:trHeight w:val="40"/>
        </w:trPr>
        <w:tc>
          <w:tcPr>
            <w:tcW w:w="3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3"/>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adjustments, net (2)</w:t>
            </w:r>
          </w:p>
        </w:tc>
        <w:tc>
          <w:tcPr>
            <w:tcW w:w="1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Secondary offering transaction costs</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4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95"/>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39,997</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36,873</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amortization of deferred financing cost for the three and six months ended June 30, 2024 and 2023, respectively.</w:t>
      </w:r>
    </w:p>
    <w:p>
      <w:pPr>
        <w:spacing w:after="0" w:line="29" w:lineRule="exact"/>
        <w:rPr>
          <w:rFonts w:ascii="Times New Roman" w:cs="Times New Roman" w:eastAsia="Times New Roman" w:hAnsi="Times New Roman"/>
          <w:sz w:val="18"/>
          <w:szCs w:val="18"/>
          <w:i w:val="1"/>
          <w:iCs w:val="1"/>
          <w:color w:val="auto"/>
        </w:rPr>
      </w:pPr>
    </w:p>
    <w:p>
      <w:pPr>
        <w:ind w:left="340" w:right="420" w:hanging="332"/>
        <w:spacing w:after="0" w:line="260" w:lineRule="auto"/>
        <w:tabs>
          <w:tab w:leader="none" w:pos="33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changes in fair value of warrant liability, derivative liabilities and earnout consideration liability for the three and six months ended June 30, 2024 and 2023, respectively.</w:t>
      </w:r>
    </w:p>
    <w:p>
      <w:pPr>
        <w:sectPr>
          <w:pgSz w:w="11900" w:h="16838" w:orient="portrait"/>
          <w:cols w:equalWidth="0" w:num="1">
            <w:col w:w="11200"/>
          </w:cols>
          <w:pgMar w:left="320" w:top="114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type w:val="continuous"/>
        </w:sectPr>
      </w:pPr>
    </w:p>
    <w:bookmarkStart w:id="37" w:name="page38"/>
    <w:bookmarkEnd w:id="37"/>
    <w:p>
      <w:pPr>
        <w:spacing w:after="0" w:line="2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presents the non-GAAP earnings per share and reconciliation of GAAP net income to non-GAAP adjusted net income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0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0"/>
                <w:szCs w:val="20"/>
                <w:color w:val="auto"/>
              </w:rPr>
            </w:pPr>
          </w:p>
        </w:tc>
        <w:tc>
          <w:tcPr>
            <w:tcW w:w="29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0"/>
        </w:trPr>
        <w:tc>
          <w:tcPr>
            <w:tcW w:w="45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77"/>
        </w:trPr>
        <w:tc>
          <w:tcPr>
            <w:tcW w:w="45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45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40"/>
        </w:trPr>
        <w:tc>
          <w:tcPr>
            <w:tcW w:w="45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33,597</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50,670</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43,447</w:t>
            </w:r>
          </w:p>
        </w:tc>
      </w:tr>
      <w:tr>
        <w:trPr>
          <w:trHeight w:val="41"/>
        </w:trPr>
        <w:tc>
          <w:tcPr>
            <w:tcW w:w="4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(less): provision (benefit) for income taxes</w:t>
            </w: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33,855</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50,092</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43,154</w:t>
            </w:r>
          </w:p>
        </w:tc>
      </w:tr>
      <w:tr>
        <w:trPr>
          <w:trHeight w:val="40"/>
        </w:trPr>
        <w:tc>
          <w:tcPr>
            <w:tcW w:w="4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(1)</w:t>
            </w: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(6,982)</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w:t>
            </w: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adjustments</w:t>
            </w: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26,873</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36,705</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31,383</w:t>
            </w:r>
          </w:p>
        </w:tc>
      </w:tr>
      <w:tr>
        <w:trPr>
          <w:trHeight w:val="41"/>
        </w:trPr>
        <w:tc>
          <w:tcPr>
            <w:tcW w:w="4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add: mark-to-market adjustments (2)</w:t>
            </w: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(7,532)</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Secondary offering transaction costs</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98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25,165</w:t>
            </w:r>
          </w:p>
        </w:tc>
        <w:tc>
          <w:tcPr>
            <w:tcW w:w="1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48,249</w:t>
            </w:r>
          </w:p>
        </w:tc>
        <w:tc>
          <w:tcPr>
            <w:tcW w:w="1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43,545</w:t>
            </w:r>
          </w:p>
        </w:tc>
      </w:tr>
      <w:tr>
        <w:trPr>
          <w:trHeight w:val="41"/>
        </w:trPr>
        <w:tc>
          <w:tcPr>
            <w:tcW w:w="45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 used in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4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computing net income per share, basic:</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and Class B common shares (3)</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81,151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80,838</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78,046</w:t>
            </w:r>
          </w:p>
        </w:tc>
      </w:tr>
      <w:tr>
        <w:trPr>
          <w:trHeight w:val="40"/>
        </w:trPr>
        <w:tc>
          <w:tcPr>
            <w:tcW w:w="45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 used in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4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computing net income per share, diluted:</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(Public and Private) (4)</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40"/>
        </w:trPr>
        <w:tc>
          <w:tcPr>
            <w:tcW w:w="4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w:t>
            </w: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outstanding used in</w:t>
            </w: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computing net income per share - diluted (5)</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91,735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90,208</w:t>
            </w:r>
          </w:p>
        </w:tc>
      </w:tr>
      <w:tr>
        <w:trPr>
          <w:trHeight w:val="40"/>
        </w:trPr>
        <w:tc>
          <w:tcPr>
            <w:tcW w:w="45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0"/>
        </w:trPr>
        <w:tc>
          <w:tcPr>
            <w:tcW w:w="45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per share - basic</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40"/>
        </w:trPr>
        <w:tc>
          <w:tcPr>
            <w:tcW w:w="4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per share - diluted</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40"/>
        </w:trPr>
        <w:tc>
          <w:tcPr>
            <w:tcW w:w="4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322"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Calculated using the Company's blended tax rate.</w:t>
      </w:r>
    </w:p>
    <w:p>
      <w:pPr>
        <w:spacing w:after="0" w:line="25"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the changes in fair value of warrant liability and earnout consideration liability.</w:t>
      </w:r>
    </w:p>
    <w:p>
      <w:pPr>
        <w:spacing w:after="0" w:line="5"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Assumes both Class A shares and Class B shares participate in earnings and are outstanding at the end of the period.</w:t>
      </w:r>
    </w:p>
    <w:p>
      <w:pPr>
        <w:spacing w:after="0" w:line="8"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Assumes treasury stock method, valuation at assumed fair market value of $18.00.</w:t>
      </w:r>
    </w:p>
    <w:p>
      <w:pPr>
        <w:spacing w:after="0" w:line="15"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Company did not include the effect of Exchangeable Notes in its total shares outstanding used in diluted adjusted net income per share.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Critical accounting policies are detailed in the Company’s Annual Report on Form 10-K for the year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Note 2 of Notes to Financial Statements - unaudited in Item 1, “Financial Statements,” for information concerning recent accounting pronouncements since the filing of the Company’s Annual Report on Form 10-K for the year ended December 31,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primary sources of liquidity are its existing cash and cash equivalents balances, cash flows from operations and borrowings on its term loan, revolving credit facility and Exchangeable Notes. The Company’s primary cash requirements include operating expenses, debt service payments (principal and interest), and capital expenditures (including property and equipment).</w:t>
      </w:r>
    </w:p>
    <w:p>
      <w:pPr>
        <w:spacing w:after="0" w:line="17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cash and cash equivalents of $35.4 million and debt principal outstanding of $330.9 million. As of December 31, 2023, the Company had cash and cash equivalents of $41.2 million and total debt principal outstanding of $340.3 million.</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believes that cash flows from its operations and available cash and cash equivalents are sufficient to meet its liquidity needs, including the repayment of its outstanding debt, for at least the next 12 months from the date of filing of this Form 10-Q.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the Company may incur additional debt to finance such acquisitions.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2024, there was $200.9 million of total debt outstanding under the Company’s existing credit facilities (the “2021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Credit Facility comprised a term loan of $250.0 million (initial principal amount) as well as a $60.0 million revolving loan facility,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million was available for borrowing as of June 30, 2024. Additional amounts may be available for borrowing during the term of the revolving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the remaining full $60.0 million, as long as the Company maintains a net leverage ratio as stipulated in the credit facility agreement. As of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Company’s net leverage ratio met the requirement for the available borrowing as defined in the terms of the credit facility agreement. The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will mature on December 16, 2025.</w:t>
      </w:r>
    </w:p>
    <w:p>
      <w:pPr>
        <w:spacing w:after="0" w:line="9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28, 2023, the Company amended the 2021 Credit Facility to, among other things, to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for the revolving and term loan Term Benchmark and RFR Spread debt (as each term is defined in the 2021 Credit Facility). The Company must also pay an annual commitment fee of 0.35% on the unused portion of the $60.0 million revolving loan commitment. As of June 30, 2024, the effective interest rate on the Company’s 2021 Credit Facility was 7.80%.</w:t>
      </w:r>
    </w:p>
    <w:p>
      <w:pPr>
        <w:spacing w:after="0" w:line="19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further amended its 2021 Credit Facility in May 2023 and accounted for the amendment as a modification. Pursuant to the amendment, approximately $0.3 million of additional costs incurred in connection with the modification were capitalized as debt issuance costs. In connection with the amendment, two of the lenders in the original credit facility did not continue their participation in the credit facility. Accordingly, the debt issuance cost related to these two lenders were written off by the Company.</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2021 Credit Facility contains customary covenants, including among other things, certain restrictions or limitations on indebtedness, issuance 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86" w:right="379" w:bottom="1440" w:gutter="0" w:footer="0" w:header="0"/>
        </w:sectPr>
      </w:pPr>
    </w:p>
    <w:bookmarkStart w:id="39" w:name="page40"/>
    <w:bookmarkEnd w:id="39"/>
    <w:p>
      <w:pPr>
        <w:ind w:right="60"/>
        <w:spacing w:after="0" w:line="282" w:lineRule="auto"/>
        <w:rPr>
          <w:sz w:val="20"/>
          <w:szCs w:val="20"/>
          <w:color w:val="auto"/>
        </w:rPr>
      </w:pPr>
      <w:r>
        <w:rPr>
          <w:rFonts w:ascii="Times New Roman" w:cs="Times New Roman" w:eastAsia="Times New Roman" w:hAnsi="Times New Roman"/>
          <w:sz w:val="18"/>
          <w:szCs w:val="18"/>
          <w:color w:val="auto"/>
        </w:rPr>
        <w:t>financial statements. The Company was in compliance with all covenants as of June 30, 2024. See Note 5 in Notes to Consolidated Financial Statements in this Quarterly Report on Form 10-Q.</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19, 2021, concurrently with the execution of the Merger Agreement, the Company and its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Holdings and guaranteed by its operating subsidiaries, CompoSecure, L.L.C. and Arculus Holdings, L.L.C., in an aggregate principal amount of up to $130.0 million that are exchangeable into shares of Class A common stock at a conversion price of $10.98 per share, subject to the terms and conditions of an Indenture entered into with the trustee under the Indenture. The Exchangeable Notes bear interest at a rate of 7% per year, payable semiannually in arrears. The Exchangeable Notes will mature on December 27, 2026, and are exchangeable for shares of Class A common stock at a present conversion price of $10.98 per share. The Company will settle any exchange of the Exchangeable Notes in shares of Class A common stock, with cash payable in lieu of any fractional shares. Additional interest may be payable as set forth in the Indenture. See Note 5 in Notes to Consolidated Financial Statements in this Quarterly Report on Form 10-Q.</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Operations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Cash provided by the Company’s operating activities for the six months ended June 30, 2024 was $66.0 million compared to cash provided by operating activities of $53.0 million during the six months ended June 30, 2023. The increase in cash provided by operating activities of $13.0 million was primarily attributable to net income of $50.7 million, the favorable mark to market fair value net changes of $1.4 million, equity compensation expense of $9.6 million, depreciation and amortization expense of $4.6 million, changes in working capital of $1.9 million, and amortization of deferred financing costs of $0.7 million. This was partially offset by deferred tax benefit of $2.9 million.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Cash used in the Company’s investing activities for the six months ended June 30, 2024 was $3.5 million primarily relating to capital expenditures of $3.1 million and capitalized software expenditures of $0.4 million, compared to cash used in investing activities for the six months ended June 30, 2023 of $5.7 million.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in the Company’s financing activities for the six months ended June 30, 2024 was $68.3 million compared to cash used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financing activities for the six months ended June 30, 2023 of $38.3 million. Cash used in financing activities for the six months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primarily related to distributions to non-controlling interest holders of $26.2 million, special distribution to non-controlling interest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$15.6 million, repayment of scheduled principal payments of the term loan of $9.4 million, dividends to Class A shareholders $8.9 million and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taxes related to net share settlement of equity awards of $8.5 million. This was partially offset by proceeds of $0.2 million pursuant to the exercise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and issuance of shares for ESPP transactions. Cash used in financing activities for the six months ended June 30, 2023, primarily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distributions to non-controlling interests, repayment of scheduled term loan principal payments, payments for taxes related to net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equity awards, payments of tax receivable agreement liability and proceeds from employee stock purchase plan and exercise of equity awards.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 summary of our minimum contractual obligations related to our material outstanding contractual commitments is included in Notes 7, 8 and 16 of our Annual report on Form 10-K for the year ended December 31, 2023 as filed with the SEC. Our long-term contractual obligations include commitments and estimated purchase obligations entered into in the normal course of business. As of June 30, 2024, the Company had inventory-related purchase commitments totaling approximately $31.8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is a party to the 2021 Credit Facility with various banks and has issued Exchangeable Notes to certain holders. For a more complete description of the Company's debt obligations, see Note 5 of Notes to Consolidated Financial Statements in the Consolidated Financial Statements of the Company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Disclosures About Market Risk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to existing cash balances and cash provided by operating activities, the Company uses variable rate debt to finance its operations. The Company is exposed to interest rate risk on these debt obligations and a related interest rate swap agreement. As of June 30, 2024, the Company had $200.9 million in debt outstanding under the 2021 Credit Facility, all of which was variable rate debt, and $130.0 million in long-term debt principal outstanding from the issuance of Exchangeable Notes.</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performed a sensitivity analysis based on the principal amount of debt outstanding as of June 30, 2024,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January 11, 2022, the Company entered into an interest rate swap agreement to hedge forecasted interest rate payments on its variable rate debt. As of June 30, 2024, the Company had the following interest rate swap agreements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Effective Dates</w:t>
            </w:r>
          </w:p>
        </w:tc>
        <w:tc>
          <w:tcPr>
            <w:tcW w:w="160" w:type="dxa"/>
            <w:vAlign w:val="bottom"/>
          </w:tcPr>
          <w:p>
            <w:pPr>
              <w:spacing w:after="0"/>
              <w:rPr>
                <w:sz w:val="20"/>
                <w:szCs w:val="20"/>
                <w:color w:val="auto"/>
              </w:rPr>
            </w:pPr>
          </w:p>
        </w:tc>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7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Fixed Rate</w:t>
            </w:r>
          </w:p>
        </w:tc>
      </w:tr>
      <w:tr>
        <w:trPr>
          <w:trHeight w:val="40"/>
        </w:trPr>
        <w:tc>
          <w:tcPr>
            <w:tcW w:w="7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gridSpan w:val="2"/>
          </w:tcPr>
          <w:p>
            <w:pPr>
              <w:spacing w:after="0"/>
              <w:rPr>
                <w:sz w:val="3"/>
                <w:szCs w:val="3"/>
                <w:color w:val="auto"/>
              </w:rPr>
            </w:pPr>
          </w:p>
        </w:tc>
      </w:tr>
      <w:tr>
        <w:trPr>
          <w:trHeight w:val="237"/>
        </w:trPr>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 in thousands)</w:t>
            </w:r>
          </w:p>
        </w:tc>
      </w:tr>
      <w:tr>
        <w:trPr>
          <w:trHeight w:val="41"/>
        </w:trPr>
        <w:tc>
          <w:tcPr>
            <w:tcW w:w="7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63"/>
        </w:trPr>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January 5,</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2022 through December 5,</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125,000</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4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December</w:t>
            </w:r>
          </w:p>
        </w:tc>
        <w:tc>
          <w:tcPr>
            <w:tcW w:w="19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5, 2023 through December</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125,000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bl>
    <w:p>
      <w:pPr>
        <w:spacing w:after="0" w:line="33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interest rate swap agreement, the Company receives payments based on the greater of 1-month SOFR rate, as amended in February 2023, or a minimum of 1.00%. On February 28, 2023, the Company amended the 2021 Credit Facility to, among other things, transition from bearing interest based on LIBOR to SOFR or the Alternate Base Rate (as defined in the 2021 Credit Facility), at the election of the Company, plus an applicable margin. The existing swap converted to SOFR from LIBOR at the same time as the 2021 Credit Facility.</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the interest rate swap as a cash flow hedge for accounting purposes that was determined to be effective. The Company determined the fair value of the interest rate swap to be zero at the inception of the agreement and $5.2 million at June 30, 2024.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spacing w:after="0" w:line="19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principal financial officer, we conducted an evaluation of our disclosure controls and procedures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our principal financial officer concluded that our disclosure controls and procedures as of June 30, 2024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21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August 07, 2024, the Company was not a party to, nor were any of its properties the subject of, any material pending legal proceedings, other than ordinary routine claims incidental to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 Factors</w:t>
      </w:r>
    </w:p>
    <w:p>
      <w:pPr>
        <w:spacing w:after="0" w:line="2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23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our Business</w:t>
      </w:r>
    </w:p>
    <w:p>
      <w:pPr>
        <w:spacing w:after="0" w:line="1" w:lineRule="exact"/>
        <w:rPr>
          <w:rFonts w:ascii="Arial" w:cs="Arial" w:eastAsia="Arial" w:hAnsi="Arial"/>
          <w:sz w:val="22"/>
          <w:szCs w:val="22"/>
          <w:color w:val="auto"/>
        </w:rPr>
      </w:pPr>
    </w:p>
    <w:p>
      <w:pPr>
        <w:ind w:left="820" w:right="720" w:hanging="326"/>
        <w:spacing w:after="0" w:line="249"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evolving domestic and global economic conditions are beyond our control and could materially adversely affect our business, operations, and results of operations.</w:t>
      </w:r>
    </w:p>
    <w:p>
      <w:pPr>
        <w:ind w:left="780" w:hanging="286"/>
        <w:spacing w:after="0"/>
        <w:tabs>
          <w:tab w:leader="none" w:pos="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sustain our revenue growth rate in the future.</w:t>
      </w:r>
    </w:p>
    <w:p>
      <w:pPr>
        <w:spacing w:after="0" w:line="9" w:lineRule="exact"/>
        <w:rPr>
          <w:rFonts w:ascii="Times New Roman" w:cs="Times New Roman" w:eastAsia="Times New Roman" w:hAnsi="Times New Roman"/>
          <w:sz w:val="18"/>
          <w:szCs w:val="18"/>
          <w:color w:val="auto"/>
        </w:rPr>
      </w:pPr>
    </w:p>
    <w:p>
      <w:pPr>
        <w:ind w:left="820" w:right="80" w:hanging="326"/>
        <w:spacing w:after="0" w:line="25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existing customers or identify and attract new customers could adversely affect our business, financial condition and results of operations.</w:t>
      </w:r>
    </w:p>
    <w:p>
      <w:pPr>
        <w:ind w:left="820" w:right="80" w:hanging="326"/>
        <w:spacing w:after="0" w:line="25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ind w:left="820" w:hanging="326"/>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outages, data loss or other interruptions affecting our operations could adversely affect our business and reputation.</w:t>
      </w:r>
    </w:p>
    <w:p>
      <w:pPr>
        <w:spacing w:after="0" w:line="9" w:lineRule="exact"/>
        <w:rPr>
          <w:rFonts w:ascii="Times New Roman" w:cs="Times New Roman" w:eastAsia="Times New Roman" w:hAnsi="Times New Roman"/>
          <w:sz w:val="18"/>
          <w:szCs w:val="18"/>
          <w:color w:val="auto"/>
        </w:rPr>
      </w:pPr>
    </w:p>
    <w:p>
      <w:pPr>
        <w:ind w:left="820" w:right="620" w:hanging="326"/>
        <w:spacing w:after="0" w:line="25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our primary production facility (including a disruption resulting from a global, national or local public health crisis) may adversely affect our business, results of operations and/or financial condition.</w:t>
      </w:r>
    </w:p>
    <w:p>
      <w:pPr>
        <w:ind w:left="820" w:right="660" w:hanging="326"/>
        <w:spacing w:after="0" w:line="25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recruit, retain and develop qualified personnel, including for areas of newer specialized technology which could adversely affect our ability to grow our business.</w:t>
      </w:r>
    </w:p>
    <w:p>
      <w:pPr>
        <w:jc w:val="both"/>
        <w:ind w:left="820" w:right="200" w:hanging="326"/>
        <w:spacing w:after="0" w:line="25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spacing w:after="0" w:line="1" w:lineRule="exact"/>
        <w:rPr>
          <w:rFonts w:ascii="Times New Roman" w:cs="Times New Roman" w:eastAsia="Times New Roman" w:hAnsi="Times New Roman"/>
          <w:sz w:val="18"/>
          <w:szCs w:val="18"/>
          <w:color w:val="auto"/>
        </w:rPr>
      </w:pPr>
    </w:p>
    <w:p>
      <w:pPr>
        <w:ind w:left="820" w:right="440" w:hanging="326"/>
        <w:spacing w:after="0" w:line="25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operations or supply chain or the performance of our suppliers and/or development partners could adversely affect our business and financial results.</w:t>
      </w:r>
    </w:p>
    <w:p>
      <w:pPr>
        <w:ind w:left="820" w:right="40" w:hanging="326"/>
        <w:spacing w:after="0" w:line="25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 digital assets industry and may not succeed in fully commercializing the products and solutions derived from the Arculus platform.</w:t>
      </w:r>
    </w:p>
    <w:p>
      <w:pPr>
        <w:ind w:left="820" w:hanging="326"/>
        <w:spacing w:after="0" w:line="265" w:lineRule="auto"/>
        <w:tabs>
          <w:tab w:leader="none" w:pos="81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ind w:left="820" w:right="260" w:hanging="326"/>
        <w:spacing w:after="0" w:line="25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the Arculus Cold Storage Wallet or digital assets in a manner that adversely affects our business, prospects or operations.</w:t>
      </w:r>
    </w:p>
    <w:p>
      <w:pPr>
        <w:ind w:left="820" w:right="100" w:hanging="326"/>
        <w:spacing w:after="0" w:line="25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markets, including the market for authentication solutions, are rapidly evolving to address increasing and challenging cyber threats, including identity theft, and our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spacing w:after="0" w:line="1" w:lineRule="exact"/>
        <w:rPr>
          <w:rFonts w:ascii="Times New Roman" w:cs="Times New Roman" w:eastAsia="Times New Roman" w:hAnsi="Times New Roman"/>
          <w:sz w:val="18"/>
          <w:szCs w:val="18"/>
          <w:color w:val="auto"/>
        </w:rPr>
      </w:pPr>
    </w:p>
    <w:p>
      <w:pPr>
        <w:ind w:left="820" w:right="200" w:hanging="326"/>
        <w:spacing w:after="0" w:line="25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certain distribution partners for distribution of our products and services. A loss of distribution partners could adversely affect our business.</w:t>
      </w:r>
    </w:p>
    <w:p>
      <w:pPr>
        <w:ind w:left="820" w:hanging="326"/>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that may result in a loss of our market share and/or a decline in profitability.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9" w:lineRule="exact"/>
        <w:rPr>
          <w:rFonts w:ascii="Times New Roman" w:cs="Times New Roman" w:eastAsia="Times New Roman" w:hAnsi="Times New Roman"/>
          <w:sz w:val="18"/>
          <w:szCs w:val="18"/>
          <w:color w:val="auto"/>
        </w:rPr>
      </w:pPr>
    </w:p>
    <w:p>
      <w:pPr>
        <w:ind w:left="820" w:right="420" w:hanging="326"/>
        <w:spacing w:after="0" w:line="260" w:lineRule="auto"/>
        <w:tabs>
          <w:tab w:leader="none" w:pos="8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indebtedness, which may limit our operating flexibility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43" w:name="page44"/>
    <w:bookmarkEnd w:id="43"/>
    <w:p>
      <w:pPr>
        <w:ind w:left="820" w:right="440" w:hanging="326"/>
        <w:spacing w:after="0" w:line="261" w:lineRule="auto"/>
        <w:tabs>
          <w:tab w:leader="none" w:pos="8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relating to the Company's credit facility, the lenders could elect to accelerate payments due and terminate all commitments to extend further credit.</w:t>
      </w:r>
    </w:p>
    <w:p>
      <w:pPr>
        <w:ind w:left="820" w:right="60" w:hanging="326"/>
        <w:spacing w:after="0" w:line="250" w:lineRule="auto"/>
        <w:tabs>
          <w:tab w:leader="none" w:pos="8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outstanding under the Company's existing credit facility has a variable rate of interest that is currently based on the Secured Overnight Financing Rate (“SOFR”). These rates may have consequences that cannot be reasonably predicted and may increase the Company's cost of borrowing in the future.</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ownership of our Securities</w:t>
      </w:r>
    </w:p>
    <w:p>
      <w:pPr>
        <w:spacing w:after="0" w:line="9" w:lineRule="exact"/>
        <w:rPr>
          <w:rFonts w:ascii="Times New Roman" w:cs="Times New Roman" w:eastAsia="Times New Roman" w:hAnsi="Times New Roman"/>
          <w:sz w:val="18"/>
          <w:szCs w:val="18"/>
          <w:color w:val="auto"/>
        </w:rPr>
      </w:pPr>
    </w:p>
    <w:p>
      <w:pPr>
        <w:ind w:left="820" w:right="200" w:hanging="326"/>
        <w:spacing w:after="0" w:line="250" w:lineRule="auto"/>
        <w:tabs>
          <w:tab w:leader="none" w:pos="8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only significant asset is our ownership of CompoSecure Holdings, L.L.C. ("Holdings"). If the business of Holdings is not profitably operated, our subsidiaries may be unable to pay us dividends or make distributions to enable us to pay any dividends on our common stock or satisfy our other financial obligations.</w:t>
      </w:r>
    </w:p>
    <w:p>
      <w:pPr>
        <w:spacing w:after="0" w:line="1" w:lineRule="exact"/>
        <w:rPr>
          <w:rFonts w:ascii="Times New Roman" w:cs="Times New Roman" w:eastAsia="Times New Roman" w:hAnsi="Times New Roman"/>
          <w:sz w:val="18"/>
          <w:szCs w:val="18"/>
          <w:color w:val="auto"/>
        </w:rPr>
      </w:pPr>
    </w:p>
    <w:p>
      <w:pPr>
        <w:ind w:left="820" w:right="340" w:hanging="326"/>
        <w:spacing w:after="0" w:line="250" w:lineRule="auto"/>
        <w:tabs>
          <w:tab w:leader="none" w:pos="8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and Delaware law may inhibit a takeover of us, which could limit the price investors might be willing to pay in the future for our common stock and could entrench management.</w:t>
      </w:r>
    </w:p>
    <w:p>
      <w:pPr>
        <w:ind w:left="820" w:right="280" w:hanging="326"/>
        <w:spacing w:after="0" w:line="250" w:lineRule="auto"/>
        <w:tabs>
          <w:tab w:leader="none" w:pos="8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“emerging growth company,” we cannot be certain if the reduced disclosure requirements applicable to “emerging growth companies” will make our common stock less attractive to investors.</w:t>
      </w:r>
    </w:p>
    <w:p>
      <w:pPr>
        <w:ind w:left="820" w:hanging="326"/>
        <w:spacing w:after="0"/>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may never be in the money, and they may expire worthless.</w:t>
      </w:r>
    </w:p>
    <w:p>
      <w:pPr>
        <w:spacing w:after="0" w:line="2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w:t>
      </w: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Rapidly evolving domestic and global economic conditions are beyond our control and could materially adversely affect our business, operations, and results of operations.</w:t>
      </w:r>
    </w:p>
    <w:p>
      <w:pPr>
        <w:spacing w:after="0" w:line="18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U.S. and international markets and, in particular, the rapidly evolving digital assets industry, are experiencing uncertain and volatile economic conditions, including from the impacts of Russian aggression in Ukraine, the ongoing conflict in Israel, Gaza and the surrounding areas, inflation, threats or concerns of recession, a global, national or local public health crisis (such as the COVID-19 pandemic), and/or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revenue growth rate in the future.</w:t>
      </w:r>
    </w:p>
    <w:p>
      <w:pPr>
        <w:spacing w:after="0" w:line="256"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may not continue to achieve sales growth in the future and you should not consider our recent sales growth as indicative of future performance. It is also possible that our growth rate may slow in future periods due to a number of factors, which may include slowing demand for our products, increased competition, decreasing growth of our overall market, or inability to engage and retain customers. If we are unable to maintain consistent sales or continue our sales growth, it may be difficult for us to maintain profitability.</w:t>
      </w:r>
    </w:p>
    <w:p>
      <w:pPr>
        <w:spacing w:after="0" w:line="2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existing customers or identify and attract new customers could adversely affect our business, financial condition and results of operations.</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two largest customers are American Express and JPMorgan Chase. Together, these customers represented approximately 71% and 67% of our net sales for the years ended December 31, 2023 and 2022.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4" w:name="page45"/>
    <w:bookmarkEnd w:id="44"/>
    <w:p>
      <w:pPr>
        <w:ind w:right="20" w:firstLine="648"/>
        <w:spacing w:after="0"/>
        <w:rPr>
          <w:sz w:val="20"/>
          <w:szCs w:val="20"/>
          <w:color w:val="auto"/>
        </w:rPr>
      </w:pPr>
      <w:r>
        <w:rPr>
          <w:rFonts w:ascii="Times New Roman" w:cs="Times New Roman" w:eastAsia="Times New Roman" w:hAnsi="Times New Roman"/>
          <w:sz w:val="18"/>
          <w:szCs w:val="18"/>
          <w:color w:val="auto"/>
        </w:rPr>
        <w:t>Our ability to maintain relationships with our customers or attract new customers may be impacted by several factors beyond our control, including more attractive product offerings from our competitors, widespread industry disruptions (such as market disruptions in the digital assets industry, as well as potential adoption or enactment of new regulatory rules or legislation, new regulatory enforcement outcomes and new case law developments),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spacing w:after="0" w:line="20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spacing w:after="0" w:line="21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Additionally, it is possible that unauthorized access to sensitive customer and business data may be obtained through inadequate use of security controls by our customers, suppliers or other vendors.</w:t>
      </w:r>
    </w:p>
    <w:p>
      <w:pPr>
        <w:spacing w:after="0" w:line="18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have administrative, technical, and physical security measures in place, and we have implemented policies and procedures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outages, data loss or other interruptions affecting our operations could adversely affect our business and reputation.</w:t>
      </w:r>
    </w:p>
    <w:p>
      <w:pPr>
        <w:spacing w:after="0" w:line="23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ind w:right="440"/>
        <w:spacing w:after="0" w:line="282" w:lineRule="auto"/>
        <w:rPr>
          <w:sz w:val="20"/>
          <w:szCs w:val="20"/>
          <w:color w:val="auto"/>
        </w:rPr>
      </w:pPr>
      <w:r>
        <w:rPr>
          <w:rFonts w:ascii="Times New Roman" w:cs="Times New Roman" w:eastAsia="Times New Roman" w:hAnsi="Times New Roman"/>
          <w:sz w:val="18"/>
          <w:szCs w:val="18"/>
          <w:color w:val="auto"/>
        </w:rPr>
        <w:t>however, not be sufficient to prevent or limit the damage from future disruptions, if any, and any such disruptions could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at our primary production facility may adversely affect our business, results of operations and/or financial condition.</w:t>
      </w:r>
    </w:p>
    <w:p>
      <w:pPr>
        <w:spacing w:after="0" w:line="25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 substantial portion of our manufacturing capacity is located at our primary production facilities in New Jersey. Any serious disruption at such facilities (including a disruption resulting from a global, national or local public health crisis) could impair our ability to manufacture enough products to meet customer demand, and could increase our costs and expenses and adversely affect our revenues. Long-term production disruptions may cause our customers to modify their payment card programs to use plastic cards or to seek alternative supply of metal cards. Any such production disruptions could adversely impact our business, financial condition and results of operations.</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products and our technological processes are highly complex, require specialized equipment to manufacture and are subject to strict tolerances and requirements. We have experienced in the past, and may experience in the future,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spacing w:after="0" w:line="212" w:lineRule="exact"/>
        <w:rPr>
          <w:sz w:val="20"/>
          <w:szCs w:val="20"/>
          <w:color w:val="auto"/>
        </w:rPr>
      </w:pPr>
    </w:p>
    <w:p>
      <w:pPr>
        <w:jc w:val="both"/>
        <w:ind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spacing w:after="0" w:line="14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For example, we have historically focused on the payment card industry, but we are a new entrant into the digital assets industry. In order to achieve successful technical execution of new products, we may need to undertake time-consuming and expensive research and development activities, which could negatively impact the servicing of our existing customers. We may also experience difficult market conditions, such as the widespread disruptions in the digital asset industry, that could delay or prevent the successful research and development, marketing launches and consumer deployment of such newly designed products, whereby we could incur significant additional cost and expense. If the products and solutions derived from the Arculus platform fail to gain market acceptance, our ability to achieve future growth could be significantly impaired. In addition, competitors may develop and commercialize competing products faster and more efficiently than we are able to do so, which could further negatively impact our business.</w:t>
      </w:r>
    </w:p>
    <w:p>
      <w:pPr>
        <w:spacing w:after="0" w:line="2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spacing w:after="0" w:line="2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develop and implement new processes for the manufacture or offer of new products or services;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ind w:right="160"/>
        <w:spacing w:after="0" w:line="266" w:lineRule="auto"/>
        <w:rPr>
          <w:sz w:val="20"/>
          <w:szCs w:val="20"/>
          <w:color w:val="auto"/>
        </w:rPr>
      </w:pPr>
      <w:r>
        <w:rPr>
          <w:rFonts w:ascii="Times New Roman" w:cs="Times New Roman" w:eastAsia="Times New Roman" w:hAnsi="Times New Roman"/>
          <w:sz w:val="18"/>
          <w:szCs w:val="18"/>
          <w:color w:val="auto"/>
        </w:rPr>
        <w:t>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spacing w:after="0" w:line="20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commercialize or gain market acceptance of new products, services and technologies could adversely affect our ability to retain existing customers or attract new ones.</w:t>
      </w:r>
    </w:p>
    <w:p>
      <w:pPr>
        <w:spacing w:after="0" w:line="189"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disruption in our operations or supply chain or the performance of our suppliers, liquidity partners and/or development partners could adversely affect our business and financial results.</w:t>
      </w:r>
    </w:p>
    <w:p>
      <w:pPr>
        <w:spacing w:after="0" w:line="19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used in the manufacture of our products are metals, NFC-enabled and EMV chips, which we source from several key suppliers. We obtain our components from multiple suppliers located in the United States and abroad, on a purchase order basis. Changes in the financial or business condition of our suppliers and/or development partners could subject us to losses or adversely affect our ability to bring products to market. Additionally, the failure of our suppliers and/or development partners to comply with applicable standards, perform as expected, and deliver goods and services in a timely manner in 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spacing w:after="0" w:line="21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Additionally, we partner with third-party partners to offer certain Arculus products and services to our customers. If any of these third parties experiences operational interference or disruptions, fails to perform its obligations and meet our expectations, experiences a cybersecurity incident, fails to comply with applicable regulatory and/or licensing requirements which may evolve over time, or is subject to regulatory enforcement proceedings concerning their operations, the operations of Arculus solutions could be disrupted or otherwise adversely affected.</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Security markets, including the market for authentication solutions, are rapidly evolving to address increasing and challenging cyber threats, including identity theft, and the Company's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spacing w:after="0" w:line="222"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17"/>
          <w:szCs w:val="17"/>
          <w:color w:val="auto"/>
        </w:rPr>
        <w:t>Cybersecurity markets are experiencing significant and fast-paced technological change, evolving industry standards and customer needs. The Company's Arculus Authenticate solutions represent a new and innovative approach to identity protection, and may not achieve widespread market acceptance. Other methods, technologies, products or services may offer similar or better authentication solutions than our hardware authentication solutions. If the Company is unable to adapt to such changes, our ability to compete effectively may be adversely impacted, which could have a negative effect on our business, financial condition or results of operations. In addition, there is a risk that the Arculus Authenticate solutions may not provide protection against all or a sufficient amount of the ever-changing security vulnerabilities, exploits or cyber attacks. Internal and external factors, including possible defects in the Company’s products, or system failures in services provided by third parties for use with Arculus Authenticate solutions, could cause the Company’s products and/or services to become vulnerable to security attacks which could result in the loss of identity protection for businesses and consumers. As the Arculus Authenticate solutions include hardware tokens which are expected to be replaced from time to time as needed (similar to payment cards), the Company does not intend to provide remote updates or upgrades to its hardware products. There is, therefore, a risk that the Company’s hardware authentication products could become ineffective against evolving cybersecurity threats. Any such developments, real or perceived, may have a negative impact on our reputation, which could have a negative effect upon our business, financial condition or results of operations.</w:t>
      </w:r>
    </w:p>
    <w:p>
      <w:pPr>
        <w:spacing w:after="0" w:line="202"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ind w:firstLine="648"/>
        <w:spacing w:after="0" w:line="256" w:lineRule="auto"/>
        <w:rPr>
          <w:sz w:val="20"/>
          <w:szCs w:val="20"/>
          <w:color w:val="auto"/>
        </w:rPr>
      </w:pPr>
      <w:r>
        <w:rPr>
          <w:rFonts w:ascii="Times New Roman" w:cs="Times New Roman" w:eastAsia="Times New Roman" w:hAnsi="Times New Roman"/>
          <w:sz w:val="18"/>
          <w:szCs w:val="18"/>
          <w:color w:val="auto"/>
        </w:rPr>
        <w:t>Digital assets have the potential to be used for financial crimes or other illegal activities. Even if we comply with all laws and regulations,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Cold Storage Wallet could damage our reputation and such damage could be material and adverse, including to aspects of our business that are unrelated to the Arculus platform. More generally, any negative publicity regarding unlawful uses of digital assets in the marketplace could materially reduce the demand for our products and solutions derived from the Arculus platform.</w:t>
      </w:r>
    </w:p>
    <w:p>
      <w:pPr>
        <w:spacing w:after="0" w:line="21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Arculus Cold Storage Wallet uses an architecture where the private keys needed to access digital assets are stored outside of the Internet. Through the use of the Arculus Cold Storage Wallet, our three-factor authentication technology may be able to increase the safety of users’ assets during storage, as compared to storing such digital assets in a hot storage wallet, which is constantly connected to the internet. Further, digital assets are controllable only by the possessor of both the unique public and private keys relating to the local or online digital wallet in which they are held, which wallet’s public key or address is reflected in the public network. There is no guarantee that these security measures or any that we may develop in the future will be effective. Notwithstanding the increased security of the Arculus Cold Storage Wallet as compared to a hot storage wallet system, any loss of private keys, or hack or other compromise or failure of, the Arculus Cold Storage Wallet and its security features could materially and adversely affect our customers’ ability to access or sell their digital assets and could cause significant reputational harm to our Arculus Cold Storage Wallet business, which could have a material adverse effect on our business, financial condition and results of operations.</w:t>
      </w:r>
    </w:p>
    <w:p>
      <w:pPr>
        <w:spacing w:after="0" w:line="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Regulatory changes or actions may restrict the use of the Arculus Cold Storage Wallet or digital assets in a manner that adversely affects our business, prospects or operations.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Regulatory uncertainty surrounding the digital asset environment, and the regulatory classification of such digital assets</w:t>
      </w:r>
    </w:p>
    <w:p>
      <w:pPr>
        <w:spacing w:after="0" w:line="241"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As digital assets have grown in both popularity and market size, governments around the world have reacted differently to digital assets, with certain governments deeming them illegal and others allowing their use and trade under certain circumstances. Currently, there is no uniformly applicable legal or regulatory regime governing digital assets in most jurisdictions, including the U.S. Certain adverse market events in the digital asset space over the past few years, such as the bankruptcy of FTX and its affiliates, and subsequent litigation and regulatory enforcement actions, have led to increased attention and scrutiny by regulators, legislators and market participants. Governments or regulatory authorities may impose new or additional licensing, registration or other compliance requirements on participants in the digital asset industry. Ongoing and future regulatory actions may impact our ability to develop and offer products involving the use of digital assets, including the Arculus Cold Storage Wallet, or may impose additional costs, which may be material, on us in connection with such products, and such impact may be material and adverse. For example, the Commodities Futures Trading Commission (“CFTC”), in a 2019 letter, made clear its view that digital assets generally are commodities, and as such, even spot trades in digital assets generally are subject to the CFTC’s antifraud authority. Nevertheless, digital assets that are commodities also may be considered to be securities by the Securities and Exchange Commission (“SEC”), or may have been offered or sold in transactions that the SEC deems to be investment contracts and, therefore, securities. In the U.S., regulators, courts and lawmakers alike are grappling with these questions, and the legal landscape remains uncertain.</w:t>
      </w:r>
    </w:p>
    <w:p>
      <w:pPr>
        <w:spacing w:after="0" w:line="23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While certain SEC staff (the "Staff") have stated that bitcoin, the digital asset with the largest market capitalization, (“BTC”), the native digital asset of the bitcoin blockchain, is not a security, there has been no definitive determination by the SEC or a court concerning whether the digital asset with the second largest market capitalization, ether (“ETH”), the native digital asset of the ethereum blockchain, constitutes a security or was offered or sold pursuant to investment contracts. Additionally, the Staff has asserted that certain other digital assets are securities subject to the SEC's substantive and antifraud authority. Furthermore, derivatives on these digital assets, digital assets that represent certain derivatives, and certain leveraged, financed and margined transactions in digital assets, may be subject to substantive regulation by the CFTC and/or SEC, in addition to certain state and non-U.S. regulators.</w:t>
      </w:r>
    </w:p>
    <w:p>
      <w:pPr>
        <w:spacing w:after="0" w:line="20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While the SEC staff has brought multiple enforcement actions against digital asset projects, including trading platforms that the SEC alleges were operating, among other things, as unregistered exchanges, thus far, such cases have not resolved the legal uncertainty in the U.S. concerning digital assets. Several of such recent enforcement actions are court cases that remain ongoing, and, to the extent that courts have rendered opinions, for example, in the SEC v. Ripple and SEC v. Terraform Labs/Do Kwon cases, both of which were filed and heard in the Southern District of New York, the applicable opinions, and the reasoning in support of them, have not necessarily been consistent with one another.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8" w:name="page49"/>
    <w:bookmarkEnd w:id="48"/>
    <w:p>
      <w:pPr>
        <w:ind w:right="60"/>
        <w:spacing w:after="0" w:line="266" w:lineRule="auto"/>
        <w:rPr>
          <w:sz w:val="20"/>
          <w:szCs w:val="20"/>
          <w:color w:val="auto"/>
        </w:rPr>
      </w:pPr>
      <w:r>
        <w:rPr>
          <w:rFonts w:ascii="Times New Roman" w:cs="Times New Roman" w:eastAsia="Times New Roman" w:hAnsi="Times New Roman"/>
          <w:sz w:val="18"/>
          <w:szCs w:val="18"/>
          <w:color w:val="auto"/>
        </w:rPr>
        <w:t>SEC’s 2023 settlements with issuers of non-fungible tokens (“NFTs”) could signal the SEC’s interest in regulating the broader NFT market, including NFT trading platforms, to the extent that the SEC determines that certain NFTs are securities</w:t>
      </w:r>
    </w:p>
    <w:p>
      <w:pPr>
        <w:spacing w:after="0" w:line="189"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In addition to a continued focus on digital asset issuers and centralized digital asset trading platforms, regulators and private plaintiffs alike have initiated actions against decentralized finance (“DeFi”) projects, including decentralized autonomous organizations (“DAOs”), under various theories of liability. Among other things, DAOs have been characterized by certain plaintiffs as unincorporated associations or general partnerships, with some plaintiffs asserting that liability should be assigned to participants in DAO governance, while others have sought to establish joint and several liability for DAO members generally, including on negligence theories of liability. The CFTC has announced a commitment to pursue DeFi protocols operating unregistered platforms that allow U.S. persons to trade digital asset derivatives and, in 2023, settled charges against three different DeFi platforms for offering, or making available for trading, contracts based on various digital assets, including swaps and other derivatives, without registering with the CFTC.</w:t>
      </w:r>
    </w:p>
    <w:p>
      <w:pPr>
        <w:spacing w:after="0" w:line="214"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The SEC similarly appears focused on DeFi and has brought enforcement actions against DeFi projects in 2024. In addition, in April 2024, Uniswap Labs announced that it was served with a Wells Notice, suggesting that the SEC may bring an enforcement action against it. This is notable because the Uniswap Protocol reportedly is the largest decentralized trading and automated market making protocol on the Ethereum blockchain. In addition to the SEC’s proposed rule change that would expand the definition of “exchange” to potentially include certain DeFi-related activities (see discussion under the heading "Regulatory Risks of Operating as an Unregistered Exchange or as Part of an Unregistered Exchange Mechanism" below), in 2023, SEC staff served as lead drafter of the International Organization of Securities Commissions' (“IOSCO”) proposed recommendations concerning DeFi. The terms “DeFi” and “DAO” may be interpreted broadly to encompass a wide variety of projects, services and participants, and if a regulator or private plaintiff were to claim that Arculus is deemed to have participated in or facilitated DeFi- or DAO-related activities that were in violation of applicable law, there may be significant associated risks, including the potential for joint and several liability.</w:t>
      </w:r>
    </w:p>
    <w:p>
      <w:pPr>
        <w:spacing w:after="0" w:line="23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Recently, the SEC staff has brought enforcement actions against alleged digital assets dealers and brokers. For instance, in March 2024, the SEC announced a cease-and-desist order against ShapeShift AG for allegedly acting as an unregistered dealer. Additionally, in June 2024, the SEC charged Consensys Software Inc. in the Eastern District of New York for, among other things, allegedly operating as an unregistered broker through its MetaMask Staking and MetaMask Swaps services, and the case remains ongoing. While, as discussed elsewhere in these Risk Factors, we do not believe that our activities are of a nature that would constitute acting as an unregistered broker or dealer under U.S. law, the SEC staff appears to be focused on alleged brokers and dealers in the digital assets space.</w:t>
      </w:r>
    </w:p>
    <w:p>
      <w:pPr>
        <w:spacing w:after="0" w:line="21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U.S. regulatory questions before the courts, multiple Congressional digital asset-related bills have been published, including some with a focus on digital asset market structure. While multiple bills describe joint oversight by the SEC and CFTC over the digital assets markets and focus on market structure, at this time, it is unclear whether any of these bills ultimately will become law.</w:t>
      </w:r>
    </w:p>
    <w:p>
      <w:pPr>
        <w:spacing w:after="0" w:line="20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Moreover, given recent geopolitical conflict and instability, certain U.S. legislators and regulators have signaled heightened concerns about national security and the importance of “know your customer” (“KYC”), anti-money laundering (“AML”), counter financing of terrorism (“CFT”) and sanctions checks and compliance, including concerns about potential use by certain terrorist groups of digital assets to fund their operations or evade U.S. sanctions. In addition to the introduction of potential digital asset-focused legislation in Congress aimed at addressing such concerns, regulators have focused on enforcement. In 2022 and 2023, OFAC, sanctioned digital assets market participants alleged to have supported sanctioned countries and/or terrorist operations, and, in 2023, the U.S. Treasury’s FinCEN, pursuant seldom-used powers granted to it under Section 311 of the USA PATRIOT Act, designated an entire class of transactions, namely transactions associated with digital asset mixers, as being of primary money laundering concern. In addition, the U.S. Treasury, the IRS and other agencies also continue to propose new rules and guidance applicable to digital assets.</w:t>
      </w:r>
    </w:p>
    <w:p>
      <w:pPr>
        <w:spacing w:after="0" w:line="21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sum, these U.S. federal regulators and courts, and various U.S. state and non-U.S. regulators, are still developing their frameworks for regulating digital assets. If we are found to have supported purchase and swap transactions in the Arculus Cold Storage Wallet for digital assets which are subsequently determined to be securities, it is possible that we could be viewed as inadvertently acting as an unlicensed broker-dealer, which could subject us to, among other things, regulatory enforcement actions, censure, monetary fines, restrictions on the conduct of the Arculus business operations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9" w:name="page50"/>
    <w:bookmarkEnd w:id="49"/>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Further, a particular digital asset's status as a “security” or the treatment of digital currency for tax purposes, in any relevant jurisdiction is subject to a high degree of uncertainty and potential inconsistency across regulatory regimes, and if we are unable to properly characterize a digital asset (or a digital asset-related transaction) or assess our tax treatment, we may be subject to regulatory scrutiny, investigations, fines, and other penalties, which may adversely affect our business, operating results, and financial condition.</w:t>
      </w:r>
    </w:p>
    <w:p>
      <w:pPr>
        <w:spacing w:after="0" w:line="19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In order to determine whether a particular digital asset is a security (or whether transactions in such digital assets would constitute an offer or sale of a security), prior to supporting purchase and swap transactions on the Arculus Cold Storage Wallet in such digital asset, we rely upon legal and regulatory analysis of legal counsel with expertise in the digital asset industry. While the methodology we have used, and expect to continue to use, to determine if purchase and swap transactions in a digital asset will be supported in the Arculus Cold Storage Wallet is ultimately a risk-based assessment, it does not preclude legal or regulatory action based on the presence of a security.</w:t>
      </w:r>
    </w:p>
    <w:p>
      <w:pPr>
        <w:spacing w:after="0" w:line="21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Because the Arculus Cold Storage Wallet may facilitate purchase and swap transactions in digital assets which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Cold Storage Wallet supports purchase and swap transactions in any digital assets that are deemed to be securities under any of the laws of the U.S. or another jurisdiction , or in a proceeding in a court of law or otherwise, it may have adverse consequences. To counter such risks, we may have to remove Arculus Cold Storage Wallet support for purchase and swap transactions in certain digital assets if and when such digital assets are designated as securities, which could hurt our business. Alternatively, we may be required to partner with third-party registered securities broker/dealers to facilitate securities trading by Arculus customers, and we may be unsuccessful in efforts to establish such a partnership.</w:t>
      </w: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addition, we do not presently intend to effect or otherwise facilitate trading in securities by our Arculus customers through the use of our Arculus Cold Storage Wallet if such activities would require the use of a registered broker-dealer or investment adviser. Although we are establishing policies and procedures to ensure that our Arculus business activities do not result in us inadvertently acting as an unregistered broker-dealer or investment adviser, there can be no assurance that such policies and procedures will be effective. If we are found by relevant regulatory agencies to have inadvertently acted as an unregistered broker-dealer with respect to purchase and swap transactions in particular digital assets, we would expect to immediately cease supporting purchase and swap transactions in those digital assets unless and until either the digital asset at issue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 restrictions on the conduct of our Arculus business operations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23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do not believe the storage and peer-to-peer/send &amp; receive functionality provided by the Arculus Cold Storage Wallet involves purchases, sales or other transactions effected by us (or any party other than the sender and the recipient). Further, we are not compensated for such user-directed activities. However, it is possible that regulators may determine that user-directed peer-to-peer transfers using the Arculus Cold Storage Wallet would require registration and compliance with broker-dealer and/or securities exchange regulations.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Regulatory Risks of Operating as an Unregistered Exchange or as Part of an Unregistered Exchange Mechanism</w:t>
      </w:r>
    </w:p>
    <w:p>
      <w:pPr>
        <w:spacing w:after="0" w:line="24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Any venue that brings together purchasers and sellers of digital asset which are characterized as securities in the United States is generally subject to registration as a national securities exchange, or must qualify for an exemption, such as by being operated by a registered broker-dealer as an alternative trading system (or ATS). To the extent that any venue accessed via the Arculus Cold Storage Wallet is not so registered (or appropriately exempt), we may be unable to permit continued support for purchase and swap transactions for digital assets which become subject to characterization as securities and due to operation of an unregistered exchange or as part of an unregistered exchange mechanism, we could be subject to significant monetary penalties, censure or other actions that may have a material and adverse effect on us. While we do not believe that the Arculus Cold Storage Wallet, which facilitates purchase and swap transactions in certain digital assets, is itself a securities exchange or ATS or is part of an unregistered exchange mechanism, regulators may determine that this is the case, and we would then be required to register as a securities exchange or qualify and register as an 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0" w:name="page51"/>
    <w:bookmarkEnd w:id="50"/>
    <w:p>
      <w:pPr>
        <w:ind w:right="240"/>
        <w:spacing w:after="0" w:line="241" w:lineRule="auto"/>
        <w:rPr>
          <w:sz w:val="20"/>
          <w:szCs w:val="20"/>
          <w:color w:val="auto"/>
        </w:rPr>
      </w:pPr>
      <w:r>
        <w:rPr>
          <w:rFonts w:ascii="Times New Roman" w:cs="Times New Roman" w:eastAsia="Times New Roman" w:hAnsi="Times New Roman"/>
          <w:sz w:val="18"/>
          <w:szCs w:val="18"/>
          <w:color w:val="auto"/>
        </w:rPr>
        <w:t>either of which could cause us to discontinue our purchase and swap support for such digital assets or otherwise limit or modify Arculus Cold Storage Wallet functionality or access. In September 2022, the SEC proposed a rule change concerning the definition of “exchange.” While it is not yet clear whether or in what form such proposed rule change may be adopted, it is possible that a change to the definition of “exchange” could result in regulators determining that the Arculus Cold Storage Wallet is functioning as a securities exchange or ATS or is part of an unregistered exchange mechanism, in which case, the potential registration requirements, or cessation, limitation or other modifications contemplated above could become necessary or advisable. Any such discontinuation, limitation or other modification could negatively impact our business, operating results,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safeguard against misappropriation or infringement of our intellectual property may adversely affect our business.</w:t>
      </w:r>
    </w:p>
    <w:p>
      <w:pPr>
        <w:spacing w:after="0" w:line="25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they are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because of litigation or other proceedings relating to patents and other intellectual property rights.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spacing w:after="0" w:line="21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certain distribution partners for distribution of our products and services. A loss of distribution partners could adversely affect our business.</w:t>
      </w:r>
    </w:p>
    <w:p>
      <w:pPr>
        <w:spacing w:after="0" w:line="18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that may result in a loss of our market share and/or a decline in profitability.</w:t>
      </w:r>
    </w:p>
    <w:p>
      <w:pPr>
        <w:spacing w:after="0" w:line="256"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7"/>
          <w:szCs w:val="17"/>
          <w:color w:val="auto"/>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resulting in reduced gross margins. If we cannot sufficiently reduce our production costs or develop innovative technologies or products, we may not be able to compete effectively in our product markets and maintain market share, which could adversely affect our business, financial condition and results of operations.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long-lived assets represent a significant portion of our total assets, and their full value may never be realized.</w:t>
      </w:r>
    </w:p>
    <w:p>
      <w:pPr>
        <w:spacing w:after="0" w:line="23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long-lived assets recorded as of June 30, 2024 were $30.2 million, representing approximately 14% of our total assets, of which we have recorded plant, equipment and leasehold improvements of $23.7 million, as our operations require significant investments in machinery and equipment.</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spacing w:after="0" w:line="20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operate our business in compliance with the security standards of the payment card industry or other industry standards applicable to our customers, such as payment networks certification standards, could adversely affect our business.</w:t>
      </w:r>
    </w:p>
    <w:p>
      <w:pPr>
        <w:spacing w:after="0" w:line="186"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Many of our customers issue their cards on payment networks that are subject to the security standards of the payment card industry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spacing w:after="0" w:line="207"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We make significant investments in our facilities and technology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payment card industry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consumers and businesses spend less, our business, operation outcomes, and financial state may be adversely affected.</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further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Such conditions and potential outcomes could adversely affect our financial performance, business,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and warranty claims and their associated costs may adversely affect our business.</w:t>
      </w:r>
    </w:p>
    <w:p>
      <w:pPr>
        <w:spacing w:after="0" w:line="256"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could be harmed and there could be a material adverse effect on our business, financial condition and results of operations if such risks materialize.</w:t>
      </w:r>
    </w:p>
    <w:p>
      <w:pPr>
        <w:spacing w:after="0" w:line="21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tariffs and other restrictions on imported goods are imposed by the U.S. government, our revenue and operations may be materially and adversely affected.</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portion of the raw materials used by us to manufacture our products are obtained, directly or indirectly, from companies located outside of the United States. Recently, tariffs have been imposed on imports from certain countries outside of the United States. Further trade restrictions and/or tariffs may be forthcoming, and may be dependent on evolving domestic and international political developments. Certain international trade agreements may also be at risk. Tariffs and similar trade restrictions may stagnate the general economy, impact our relationships with and access to our suppliers, and/or materially and adversely affect our business, financial condition and results of operations. These and future tariffs, as well as any other global trade or supply chain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sales subject us to additional risks that can adversely affect our business, operating results and financial condition.</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During each of 2023 and 2022, we derived 18% and 22% of our net sales from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international operations subject us to a variety of risks and challenges, including:</w:t>
      </w:r>
    </w:p>
    <w:p>
      <w:pPr>
        <w:spacing w:after="0" w:line="252" w:lineRule="exact"/>
        <w:rPr>
          <w:sz w:val="20"/>
          <w:szCs w:val="20"/>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related effect on our operating results;</w:t>
      </w:r>
    </w:p>
    <w:p>
      <w:pPr>
        <w:spacing w:after="0" w:line="2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including wars, in each country or region;</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systemic supply chain disruptions, including those resulting from a public health crisis;</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around the world; and</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and regulations imposed by other countries on foreign operations,</w:t>
      </w:r>
    </w:p>
    <w:p>
      <w:pPr>
        <w:spacing w:after="0" w:line="9" w:lineRule="exact"/>
        <w:rPr>
          <w:sz w:val="20"/>
          <w:szCs w:val="20"/>
          <w:color w:val="auto"/>
        </w:rPr>
      </w:pPr>
    </w:p>
    <w:p>
      <w:pPr>
        <w:ind w:left="1300" w:right="2820"/>
        <w:spacing w:after="0" w:line="255" w:lineRule="auto"/>
        <w:rPr>
          <w:sz w:val="20"/>
          <w:szCs w:val="20"/>
          <w:color w:val="auto"/>
        </w:rPr>
      </w:pPr>
      <w:r>
        <w:rPr>
          <w:rFonts w:ascii="Times New Roman" w:cs="Times New Roman" w:eastAsia="Times New Roman" w:hAnsi="Times New Roman"/>
          <w:sz w:val="18"/>
          <w:szCs w:val="18"/>
          <w:color w:val="auto"/>
        </w:rPr>
        <w:t>including the Foreign Corrupt Practices Act, the U.K. Bribery Act, import and export control laws, tariffs, trade barriers, economic sanctions and other regulatory or contractual limitations on our ability to sell our products in certain foreign markets, and the risks and costs of non-compliance.</w:t>
      </w:r>
    </w:p>
    <w:p>
      <w:pPr>
        <w:spacing w:after="0" w:line="199"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For example, in response to the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the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ind w:right="140"/>
        <w:spacing w:after="0" w:line="250" w:lineRule="auto"/>
        <w:rPr>
          <w:sz w:val="20"/>
          <w:szCs w:val="20"/>
          <w:color w:val="auto"/>
        </w:rPr>
      </w:pPr>
      <w:r>
        <w:rPr>
          <w:rFonts w:ascii="Times New Roman" w:cs="Times New Roman" w:eastAsia="Times New Roman" w:hAnsi="Times New Roman"/>
          <w:sz w:val="18"/>
          <w:szCs w:val="18"/>
          <w:color w:val="auto"/>
        </w:rPr>
        <w:t>conflict in Israel, Gaza and the surrounding areas, could have a broader impact that extends into other markets where we do business. Any of these risks could adversely affect our international sales, reduce our international revenues or increase our operating costs, adversely affecting our business, financial condition and operating results.</w:t>
      </w:r>
    </w:p>
    <w:p>
      <w:pPr>
        <w:spacing w:after="0" w:line="21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licensing arrangements in production and other fields, and actions taken by any of our licensing partners could have a material adverse effect on our business.</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Some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adoption of new tax legislation could affect our financial performance.</w:t>
      </w:r>
    </w:p>
    <w:p>
      <w:pPr>
        <w:spacing w:after="0" w:line="256"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 U.S. corporate income tax rate and a minimum corporate tax based on book income. It is difficult to predict whether and when there will be tax law changes having a material adverse effect on our business, financial condition, results of operations and cash flows.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Tax Receivable Agreement</w:t>
      </w:r>
    </w:p>
    <w:p>
      <w:pPr>
        <w:spacing w:after="0" w:line="25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spacing w:after="0" w:line="20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our ownership interest in Holdings. We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Common Stock or satisfy our other financial obligations, including our obligations under the Tax Receivable Agreement.</w:t>
      </w:r>
    </w:p>
    <w:p>
      <w:pPr>
        <w:spacing w:after="0" w:line="2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pay the TRA Parties for most of the benefits relating to any additional tax depreciation or amortization deductions that we may claim.</w:t>
      </w:r>
    </w:p>
    <w:p>
      <w:pPr>
        <w:spacing w:after="0" w:line="18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In connection with the merger with Roman DBDR Tech Acquisition Corp. ("Roman") completed in December 2021 (the "Business Combination"), we entered into the Tax Receivable Agreement with Holdings and the TRA Parties (as defined therein). The Tax Receivable Agreement provides for the payment by us to the TRA Parties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54" w:name="page55"/>
    <w:bookmarkEnd w:id="54"/>
    <w:p>
      <w:pPr>
        <w:ind w:right="20"/>
        <w:spacing w:after="0" w:line="252" w:lineRule="auto"/>
        <w:rPr>
          <w:sz w:val="20"/>
          <w:szCs w:val="20"/>
          <w:color w:val="auto"/>
        </w:rPr>
      </w:pPr>
      <w:r>
        <w:rPr>
          <w:rFonts w:ascii="Times New Roman" w:cs="Times New Roman" w:eastAsia="Times New Roman" w:hAnsi="Times New Roman"/>
          <w:sz w:val="18"/>
          <w:szCs w:val="18"/>
          <w:color w:val="auto"/>
        </w:rPr>
        <w:t>Receivable Agreement, including the use of an assumed weighted- average state and local income tax rate to calculate tax benefits. The payment obligations under the Tax Receivable Agreement are an obligation of CompoSecure, Inc.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we may make under the Tax Receivable Agreement will be substantial. The payments under the Tax Receivable Agreement are not conditioned upon continued ownership of our securities by the TRA Parties. See “Certain Relationships and Related Person Transactions of the Company — Tax Receivable Agreement.”</w:t>
      </w:r>
    </w:p>
    <w:p>
      <w:pPr>
        <w:spacing w:after="0" w:line="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20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payment obligations under the Tax Receivable Agreement may be accelerated in the event of certain changes of control and will be accelerated in the event we elect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the lesser of (i) 6.5% per annum and (ii) one year LIBOR (as defined below), or its successor rate, plus 100 basis points)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spacing w:after="0" w:line="22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2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8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transactions or negatively impact the value received by owners of our Class A Common Stock in a change of control transaction.</w:t>
      </w:r>
    </w:p>
    <w:p>
      <w:pPr>
        <w:spacing w:after="0" w:line="24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Holdings will be required to make pro rata distributions to both the Class A and Class B unitholders with respect to the taxes of its holders, and the distributions that Holdings will be required to make may be substantial and in excess of our tax liabilities and obligations under the Tax Receivable Agreement. To the extent we do not distribute such excess cash to the holders of our Class A Common Stock or contribute such excess cash to Holdings in exchange for the issuance of additional Class A Units and a corresponding stock dividend of Class A Common Stock to the holders of our Class A Common Stock, the holders of Class B Units of Holdings would benefit from any value attributable to such cash balances as a result of their ownership of Class A Common Stock following an exchange of their Class B Units.</w:t>
      </w:r>
    </w:p>
    <w:p>
      <w:pPr>
        <w:spacing w:after="0" w:line="21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Holdings is treated as a partnership for U.S. federal income tax purposes and, as such, is not subject to any entity-level U.S. federal income tax. Instead, taxable income is allocated to holders of Holdings’ equity interests, including us. Accordingly, we incur income taxes on our allocable share of any net taxable income of Holdings. Under the Holdings Second Amended and Restated LLC Agreement, Holdings is generally required from time to time to make pro rata distributions in cash to us and the holders of Class B Units of Holdings in amounts that are intended to be sufficient to cover the taxes on our and the other holders of Class B Units of Holdings respective allocable shares of the taxable income of Holdings, based on certain assumptions contained in the Holdings Second Amended and Restated LLC Agreement. As a result of (i) potential differences in the amount of net taxable income allocable to us and the holders of Class B Units of Holdings, (ii) the lower tax rate applicable to corporations as compared to individuals and (iii) the favorable tax benefits that we anticipate receiving from acquisitions of Class B Units in connection with taxable exchanges of Class B Units for shares of our Class A Common Stock, we expect that these tax distributions will be in amounts that exceed our tax liabilities and obligations to make payments under the Tax Receivable Agreement. Our Board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exchange ratio of Class B Units for shares of Class A Common Stock will be made as a result of either (i) any cash distribution by Holdings or (ii) any cash that we retain and do not distribute to our stockholders. To the extent that we do not distribute such excess cash as dividends on our Class A Common Stock or contribute such excess cash to Holdings in exchange for the issuance of additional Class A Units and a corresponding stock dividend of Class A Common Stock to the holders of our Class A Common Stock, and instead, for example, hold such cash balances or lend them to Holdings, the holders of Class B Units of Holdings would benefit from any value attributable to such cash balances as a result of their ownership of Class A Common Stock following an exchange of their Class B Units.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which may limit our operating flexibility and could adversely affect our business, financial condition and results of operations.</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had approximately $340.3 million of indebtedness as of December 31, 2023, consisting of amounts outstanding under our senior secured credit facility and senior notes.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indebtedness could have important consequences to our investors, including, but not limited to:</w:t>
      </w:r>
    </w:p>
    <w:p>
      <w:pPr>
        <w:spacing w:after="0" w:line="25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and reducing our flexibility to respond to, general adverse economic and industry conditions;</w:t>
      </w:r>
    </w:p>
    <w:p>
      <w:pPr>
        <w:spacing w:after="0" w:line="252"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servicing debt, including interest payments and annual excess cash flow prepayment obligations;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competitive environment;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and increasing the cost of any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interest rates in our credit facility are set based upon stated margins above lender’s base rate and the SOFR, an interest rate at which banks can borrow funds, which is subject to fluctuation. In addition, the interest rate margin applicable to our term loans and revolving loans can vary by one hundred (100) basis points depending on our total leverage ratio. An increase in interest rates would adversely affect our profitability.</w:t>
      </w:r>
    </w:p>
    <w:p>
      <w:pPr>
        <w:spacing w:after="0" w:line="199"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Upon the occurrence of an event of default relating to our credit facility, the lenders could elect to accelerate payments due and terminate all commitments to extend further credit.</w:t>
      </w:r>
    </w:p>
    <w:p>
      <w:pPr>
        <w:spacing w:after="0" w:line="186"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spacing w:after="0" w:line="20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debt outstanding under our existing credit facility has a variable rate of interest that is based on the SOFR which may have consequences for us that cannot be reasonably predicted and may increase our cost of borrowing in the future.</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February 28, 2023, we amended our credit facility to transition from bearing interest based on the London Interbank Offered Rate ("LIBOR") to SOFR. The future performance of SOFR cannot be predicted based on historical performance and the future level of SOFR may have little or no relation to historical levels of SOFR. Any patterns in market variable behaviors, such as correlations, may change in the future. Hypothetical or historical performance data are not indicative of, and have no bearing on, the potential performance of SOFR. The Company is not able to predict whether SOFR what the impact the transition to SOFR may be on the Company's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facility contains restrictive covenants that may impair our ability to conduct business.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spacing w:after="0" w:line="21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See Note 5 of Notes to Consolidated Financial Statements in the Unaudited Consolidated Financial Statements of the Company in this report for additional information.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spacing w:after="0" w:line="18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Holdings' notes are exchangeable into shares of our Class A Common Stock at a present conversion price of $10.98 per share. The exchangeable notes are guaranteed by CompoSecure, L.L.C. Our guarantees of indebtedness could have significant negative consequences for our security holders, equity holders and our business, results of operations and financial condition by, among other things:</w:t>
      </w:r>
    </w:p>
    <w:p>
      <w:pPr>
        <w:spacing w:after="0" w:line="20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ind w:left="660" w:right="3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guarantees of indebtedness, which reduces the amount of cash available for other purposes;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stockholders as a result of the issuance shares of our Class A Common Stock upon conversion of the exchangeable notes;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that may become due under our guarantees of indebtedness, including in connection with the exchangeable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Risks Related to Ownership of our Securities</w:t>
      </w:r>
    </w:p>
    <w:p>
      <w:pPr>
        <w:spacing w:after="0" w:line="252"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will be our ownership of our subsidiaries’ business. If the business of our subsidiaries is not profitably operated, our subsidiaries may be unable to pay us dividends or make distributions to enable us to pay any dividends on our common stock or satisfy our other financial obligations.</w:t>
      </w:r>
    </w:p>
    <w:p>
      <w:pPr>
        <w:spacing w:after="0" w:line="20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spacing w:after="0" w:line="20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Delaware law may inhibit a takeover of us, which could limit the price investors might be willing to pay in the future for our Class A Common Stock and could entrench management.</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0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203" w:lineRule="exact"/>
        <w:rPr>
          <w:sz w:val="20"/>
          <w:szCs w:val="20"/>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approved either the business combination or the transaction that resulted in the stockholder becoming an interested stockholder;</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two-thirds of our outstanding voting stock that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8" w:name="page59"/>
    <w:bookmarkEnd w:id="58"/>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spacing w:after="0" w:line="19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satisfy the Nasdaq Global Market listing requirements in the future, which could limit investors’ ability to effect transactions in our securities and subject us to additional trading restrictions.</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be unable to maintain the listing of our securities on the Nasdaq Global Market in the future. If our securities are delisted from the Nasdaq Global Market, there could be significant material adverse consequences, including:</w:t>
      </w:r>
    </w:p>
    <w:p>
      <w:pPr>
        <w:spacing w:after="0" w:line="18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about the Company;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obtain capital or pursue acquisitions by issuing additional equity or convertible securities.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and obligations as a result of being a public company.</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the Nasdaq Global Market,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21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$1.23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21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21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spacing w:after="0" w:line="199"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do not properly maintain and implement all required accounting practices and policies, including new accounting practices and policies, as applicable, we may be unable to provide the financial information required of a United States publicly traded company in a timely and reliable manner.</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9" w:name="page60"/>
    <w:bookmarkEnd w:id="59"/>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required to implement and maintain the financial reporting and disclosure procedures and controls required of a United States publicly traded company. If we fail to properly maintain and implement all required accounting practices and policies, including new accounting practices and policies, as applicable, or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or by damaging our reputation, which in either case, could impede our ability to implement our growth strategy. In addition, any such delays or deficiencies could result in our failure to meet the requirements for continued listing of our securities on the Nasdaq Global Market.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operating performance does not meet market expectations, the price of our securities may decline.</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securities could be volatile and subject to wide fluctuations in response to various factors, some of which are beyond our control. Fluctuations in the price of our securities could result in the loss of all or part of your investment. Any of the factors listed below could have a material adverse effect on your investment in our securities, and our securities may trade at prices significantly below the price you paid for them.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52" w:lineRule="exact"/>
        <w:rPr>
          <w:sz w:val="20"/>
          <w:szCs w:val="20"/>
          <w:color w:val="auto"/>
        </w:rPr>
      </w:pPr>
    </w:p>
    <w:p>
      <w:pPr>
        <w:ind w:left="1300" w:hanging="320"/>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89"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market expectations in a particular period;</w:t>
      </w:r>
    </w:p>
    <w:p>
      <w:pPr>
        <w:spacing w:after="0" w:line="252"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financial payment card and digital asset industries and markets in general;</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on a timely basis;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securities available for public sale;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or management;</w:t>
      </w:r>
    </w:p>
    <w:p>
      <w:pPr>
        <w:spacing w:after="0" w:line="252"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securities by our directors, executive officers or significant stockholders or the perception that such sales could occur; and</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8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Broad market and industry factors may depress the market price of our securities irrespective of our operating performance. The stock market in general and the Nasdaq Global Market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0" w:name="page61"/>
    <w:bookmarkEnd w:id="60"/>
    <w:p>
      <w:pPr>
        <w:ind w:right="200"/>
        <w:spacing w:after="0" w:line="282" w:lineRule="auto"/>
        <w:rPr>
          <w:sz w:val="20"/>
          <w:szCs w:val="20"/>
          <w:color w:val="auto"/>
        </w:rPr>
      </w:pPr>
      <w:r>
        <w:rPr>
          <w:rFonts w:ascii="Times New Roman" w:cs="Times New Roman" w:eastAsia="Times New Roman" w:hAnsi="Times New Roman"/>
          <w:sz w:val="18"/>
          <w:szCs w:val="18"/>
          <w:color w:val="auto"/>
        </w:rPr>
        <w:t>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Warrants may never be in the money, and they may expire worthless.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for our Warrants is $11.50 per share, which exceeds the market price of our Class A Common Stock, which was $7.51 per share based on the closing price on August 07, 2024. There can be no assurance that the Warrants will ever be in the money prior to their expiration on December 27, 2026, and, as such, the Warrants may expire worthless.</w:t>
      </w:r>
    </w:p>
    <w:p>
      <w:pPr>
        <w:spacing w:after="0" w:line="20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Warrants to make any change that adversely affects the interests of the registered holders. Accordingly, we may amend the terms of the Warrants in a manner adverse to a holder if holders of at least a majority of the then outstanding Warrants approve of such amendment. Our ability to amend the terms of the Warrants with the consent of at least a majority of the then outstanding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25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as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spacing w:after="0" w:line="21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our Class A Common Stock are presently exercisable, which could increase the number of shares of Class A Common Stock eligible for future resale in the public market and result in dilution to our stockholders.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outstanding Warrants to purchase an aggregate of 22,415,400 shares of our common stock are exercisable in accordance with the terms of the warrant agreement governing those securities. Each Warrant entitles its holder to purchase one share of our common stock at an exercise price of $11.50 per share and will expire at 5:00 p.m., New York time, on 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spacing w:after="0" w:line="5"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20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Under the Sarbanes-Oxley Act of 2002, 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ind w:right="60"/>
        <w:spacing w:after="0" w:line="261" w:lineRule="auto"/>
        <w:rPr>
          <w:sz w:val="20"/>
          <w:szCs w:val="20"/>
          <w:color w:val="auto"/>
        </w:rPr>
      </w:pPr>
      <w:r>
        <w:rPr>
          <w:rFonts w:ascii="Times New Roman" w:cs="Times New Roman" w:eastAsia="Times New Roman" w:hAnsi="Times New Roman"/>
          <w:sz w:val="18"/>
          <w:szCs w:val="18"/>
          <w:color w:val="auto"/>
        </w:rPr>
        <w:t>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2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$1.23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21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operate our business largely depends upon the efforts of certain key personnel. The loss of such key personnel could adversely affect our operations and profitability.</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spacing w:after="0" w:line="20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spacing w:after="0" w:line="2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securities, including resale of securities issued to certain stockholders, may reduce the market price of our securities that you might otherwise obtain.</w:t>
      </w:r>
    </w:p>
    <w:p>
      <w:pPr>
        <w:spacing w:after="0" w:line="18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stockholders may sell large amounts of our securities in the open market or in privately negotiated transactions. The registration and 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2" w:name="page63"/>
    <w:bookmarkEnd w:id="62"/>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certain significant shareholders control a significant percentage of our common stock, such shareholders may influence major corporate decisions of the Company and our interests may conflict with the interests of other holders of our common stock.</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August 07, 2024, LLR Equity Partners IV, L.P. and LLR Equity Partners Parallel IV, L.P. (the “LLR Parties”) and Michele D. Logan and any trust, entity or other similar vehicle or account affiliated with Michele D. Logan (the “Logan Parties”) beneficially own approximately 36% and 23%, respectively of the voting power of our outstanding common stock. As a result of this control, the LLR Parties and the Logan Parties will be able to influence matters requiring approval by our stockholders and/or our Board, including the election of directors and the approval of business combinations or dispositions and other extraordinary transactions. The LLR Parties and the Logan Parties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the LLR Parties or the Logan Parties may in the future own businesses that directly compete with the business of the Company.</w:t>
      </w: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spacing w:after="0" w:line="18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spacing w:after="0" w:line="20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spacing w:after="0" w:line="186"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63" w:name="page64"/>
    <w:bookmarkEnd w:id="63"/>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0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2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initial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exercise of registration rights may adversely affect the market price of our securities.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accordance with the Holdings Second Amended and Restated LLC Agreement and the terms of the Exchange Agreement entered into in connection with the Business Combination, the Class B units of Holdings may each be exchanged at the option of the holder, together with a corresponding cancellation of the corresponding number of shares of Class B common stock of the Company, on a one-for-one basis for shares of Class A common stock of the Company. There is no cash or other consideration paid by the holder in these transactions and, therefore, there is no cash or other consideration received by the Company. The shares of Class A common stock issued by the Company in such exchanges are exempt from registration pursuant to Section 4(a)(2) of the Securities Act.</w:t>
      </w:r>
    </w:p>
    <w:p>
      <w:pPr>
        <w:spacing w:after="0" w:line="2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13, 2024, certain stockholders of the Company (the “Selling Stockholders”) exchanged 8,050,000 shares of Class B units issued by Holdings, and surrendered to the Company for cancellation the corresponding number of shares of the Company’s Class B Common Stock, for an equivalent number of shares of the Company’s Class A common stock (the “Exchange”), pursuant to the Exchange Agreement, dated as of December 27, 2021, by and among the Company and the other parties thereto. Immediately following the Exchange, the Selling Stockholders sold 8,050,000 shares of the Company’s Class A Common Stock to the Underwriters (as defined in the Underwriting Agreement), pursuant to the Underwriting Agreement, dated as of May 8, 2024, by and among the Company and the other parties thereto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4" w:name="page65"/>
    <w:bookmarkEnd w:id="64"/>
    <w:p>
      <w:pPr>
        <w:ind w:right="20"/>
        <w:spacing w:after="0" w:line="266" w:lineRule="auto"/>
        <w:rPr>
          <w:sz w:val="20"/>
          <w:szCs w:val="20"/>
          <w:color w:val="auto"/>
        </w:rPr>
      </w:pPr>
      <w:r>
        <w:rPr>
          <w:rFonts w:ascii="Times New Roman" w:cs="Times New Roman" w:eastAsia="Times New Roman" w:hAnsi="Times New Roman"/>
          <w:sz w:val="18"/>
          <w:szCs w:val="18"/>
          <w:color w:val="auto"/>
        </w:rPr>
        <w:t>“Underwriting Agreement”). The Company did not receive any proceeds from the sale of the shares of Class A common stock by the Selling Stockholders. As a result of these transactions, the number of outstanding shares of the Company’s Class B common stock decreased by 8,050,000 and the number of outstanding shares of the Company’s Class A common stock increased by 8,050,000.</w:t>
      </w:r>
    </w:p>
    <w:p>
      <w:pPr>
        <w:spacing w:after="0" w:line="2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than the transactions described above, during the quarter ended June 30, 2024, no Class B units were tendered to the Company for exchange into shares of Class A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Repurchases of Equity Securities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March 6, 2024, we announced that our Board of Directors (“Board”) had authorized a program to repurchase (“Repurchase Program”) up to $40.0 million in the aggregate of shares of our outstanding shares of common stock, par value $0.0001 per share (“Common Stock”), warrants and/or notes exchangeable for shares of Common Stock (collectively, the “Securities”). Repurchases of Securities under the Repurchase Program may be made from time to time, on the open market, in privately negotiated transactions, tender offers, or by other methods, at the discretion of the management of the Company in accordance with our senior credit facility and Indenture for the Exchangeable Notes, as applicable, and other applicable legal requirements. Repurchases of Common Stock will be in accordance with the limitations set forth in Rule 10b-18 promulgated under the Securities Exchange Act of 1934, as amended. The timing and amount of the repurchases will depend on market conditions and other requirements. The Repurchase Program does not obligate the Company to repurchase any dollar amount of Securities and the Repurchase Program may be extended, modified, suspended, or discontinued at any time. Any shares of Common Stock repurchased under the program may either be returned to the status of authorized but unissued shares of Common Stock or held as treasury stock. The Repurchase Program is effective March 7, 2024 through March 7, 2027. There was no repurchase activity during the quarter ended June 30, 2024. As of June 30, 2024, $40.0 million of the repurchase authorization under the Repurchase Program remained available.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Rule 10b5-1 Trading Plans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660"/>
        <w:spacing w:after="0" w:line="250" w:lineRule="auto"/>
        <w:rPr>
          <w:sz w:val="20"/>
          <w:szCs w:val="20"/>
          <w:color w:val="auto"/>
        </w:rPr>
      </w:pPr>
      <w:r>
        <w:rPr>
          <w:rFonts w:ascii="Times New Roman" w:cs="Times New Roman" w:eastAsia="Times New Roman" w:hAnsi="Times New Roman"/>
          <w:sz w:val="18"/>
          <w:szCs w:val="18"/>
          <w:color w:val="auto"/>
        </w:rPr>
        <w:t>During the quarter ended June 30, 2024, the following officers of the Company entered into and/or terminated trading plans intended to satisfy the affirmative defense conditions of Rule 10b5-1(c):</w:t>
      </w:r>
    </w:p>
    <w:p>
      <w:pPr>
        <w:spacing w:after="0" w:line="1" w:lineRule="exact"/>
        <w:rPr>
          <w:sz w:val="20"/>
          <w:szCs w:val="20"/>
          <w:color w:val="auto"/>
        </w:rPr>
      </w:pPr>
    </w:p>
    <w:p>
      <w:pPr>
        <w:ind w:left="660" w:right="4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17, 2024, Timothy Fitzsimmons, the Chief Financial Officer of the Company, terminated his pre-existing trading plan (adopted May 24, 2023). This plan would have covered the sale of 469,000 shares of the Company’s Class A common stock, all of which would have been acquired upon exercise of stock options. Mr. Fitzsimmons' stock options were exercised in May 2024 through a net settlement transaction with the Company.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2024, Adam Lowe, Chief Product &amp; Innovation Officer of the Company, entered into a plan covering the potential sale of 338,923 shares of Common Stock, all of which would be acquired upon exercise of stock options. This plan is scheduled to terminate on the earlier of June 13, 2025 or the date all shares subject to the plan have been sold.</w:t>
      </w:r>
    </w:p>
    <w:p>
      <w:pPr>
        <w:spacing w:after="0" w:line="1" w:lineRule="exact"/>
        <w:rPr>
          <w:rFonts w:ascii="Times New Roman" w:cs="Times New Roman" w:eastAsia="Times New Roman" w:hAnsi="Times New Roman"/>
          <w:sz w:val="18"/>
          <w:szCs w:val="18"/>
          <w:color w:val="auto"/>
        </w:rPr>
      </w:pPr>
    </w:p>
    <w:p>
      <w:pPr>
        <w:jc w:val="both"/>
        <w:ind w:left="660" w:right="120" w:hanging="328"/>
        <w:spacing w:after="0" w:line="290"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14, 2024, Amanda Gourbault, Chief Revenue Officer of the Company, entered into a plan covering the possible sale of 16,000 shares of Common Stock. This plan is scheduled to terminate on the earlier of December 31, 2024 or the date all shares subject to the plan have been sold.</w:t>
      </w:r>
    </w:p>
    <w:p>
      <w:pPr>
        <w:spacing w:after="0" w:line="18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Transactions under each of these plans are based upon pre-established stock price thresholds and will only occur upon the expiration of the applicable mandatory cooling-off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65" w:name="page66"/>
    <w:bookmarkEnd w:id="65"/>
    <w:p>
      <w:pPr>
        <w:spacing w:after="0" w:line="266" w:lineRule="auto"/>
        <w:rPr>
          <w:sz w:val="20"/>
          <w:szCs w:val="20"/>
          <w:color w:val="auto"/>
        </w:rPr>
      </w:pPr>
      <w:r>
        <w:rPr>
          <w:rFonts w:ascii="Times New Roman" w:cs="Times New Roman" w:eastAsia="Times New Roman" w:hAnsi="Times New Roman"/>
          <w:sz w:val="18"/>
          <w:szCs w:val="18"/>
          <w:color w:val="auto"/>
        </w:rPr>
        <w:t>Other than the plans described above, during the quarter ended June 30, 2024, none of the Company’s directors or officers informed the Company of the adoption or termination of a “Rule 10b5-1 trading arrangement” or “non-Rule 10b5-1 trading arrangement,” as those terms are defined in Regulation S-K, Item 408.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31" w:right="4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62"/>
        </w:trPr>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40" w:type="dxa"/>
            <w:vAlign w:val="bottom"/>
            <w:gridSpan w:val="5"/>
          </w:tcPr>
          <w:p>
            <w:pPr>
              <w:ind w:left="218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278"/>
        </w:trPr>
        <w:tc>
          <w:tcPr>
            <w:tcW w:w="124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4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4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506"/>
        </w:trPr>
        <w:tc>
          <w:tcPr>
            <w:tcW w:w="240" w:type="dxa"/>
            <w:vAlign w:val="bottom"/>
            <w:gridSpan w:val="2"/>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7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24"/>
                <w:szCs w:val="24"/>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860" w:type="dxa"/>
            <w:vAlign w:val="bottom"/>
            <w:tcBorders>
              <w:top w:val="single" w:sz="8" w:color="0000FF"/>
            </w:tcBorders>
            <w:gridSpan w:val="4"/>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6"/>
        </w:trPr>
        <w:tc>
          <w:tcPr>
            <w:tcW w:w="1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24"/>
                <w:szCs w:val="24"/>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800" w:type="dxa"/>
            <w:vAlign w:val="bottom"/>
            <w:tcBorders>
              <w:top w:val="single" w:sz="8" w:color="0000FF"/>
            </w:tcBorders>
            <w:gridSpan w:val="3"/>
          </w:tcPr>
          <w:p>
            <w:pPr>
              <w:spacing w:after="0"/>
              <w:rPr>
                <w:sz w:val="15"/>
                <w:szCs w:val="15"/>
                <w:color w:val="auto"/>
              </w:rPr>
            </w:pPr>
          </w:p>
        </w:tc>
        <w:tc>
          <w:tcPr>
            <w:tcW w:w="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60" w:right="40" w:hanging="948"/>
        <w:spacing w:after="0" w:line="237"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CompoSecure, Inc.'s Form 10-Q for the quarter ended June 30, 2024, formatted in Extensible Business Reporting Language (XBRL): (i) Consolidated Balance Sheets as of June 30, 2024 (Unaudited) and December 31, 2023, (ii) Consolidated Statements of Operations (Unaudited) for the three and six months ended June 30, 2024 and June 30, 2023, (iii) Consolidated Statements of Comprehensive Income (Unaudited) for the three and six months ended June 30, 2024 and June 30, 2023 (iv) Consolidated Statements of Stockholders’ Equity (Unaudited) for the three and six months ended June 30, 2024 and June 30, 2023, as well as the year ended December 31, 2023, (v) Consolidated Statements of Cash Flows (Unaudited) for the six months ended June 30, 2024 and June 30, 2023, and (vi) Notes to Consolidated Financial Statements - Unaudited.</w:t>
      </w:r>
    </w:p>
    <w:p>
      <w:pPr>
        <w:spacing w:after="0" w:line="311" w:lineRule="exact"/>
        <w:rPr>
          <w:sz w:val="20"/>
          <w:szCs w:val="20"/>
          <w:color w:val="auto"/>
        </w:rPr>
      </w:pPr>
    </w:p>
    <w:p>
      <w:pPr>
        <w:ind w:left="1260" w:hanging="948"/>
        <w:spacing w:after="0"/>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Release 33-8238, Exhibits 32.1 and 32.2 are being 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923" w:right="65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CompoSecure, Inc.</w:t>
      </w:r>
    </w:p>
    <w:p>
      <w:pPr>
        <w:spacing w:after="0" w:line="200" w:lineRule="exact"/>
        <w:rPr>
          <w:sz w:val="20"/>
          <w:szCs w:val="20"/>
          <w:color w:val="auto"/>
        </w:rPr>
      </w:pPr>
    </w:p>
    <w:p>
      <w:pPr>
        <w:spacing w:after="0" w:line="295"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C. Wilk</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Timothy Fitzsimmons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00"/>
          </w:cols>
          <w:pgMar w:left="320" w:top="923" w:right="37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C. Wilk, certify that:</w:t>
      </w:r>
    </w:p>
    <w:p>
      <w:pPr>
        <w:spacing w:after="0" w:line="9"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CompoSecure, Inc.</w:t>
      </w:r>
    </w:p>
    <w:p>
      <w:pPr>
        <w:spacing w:after="0" w:line="9" w:lineRule="exact"/>
        <w:rPr>
          <w:rFonts w:ascii="Times New Roman" w:cs="Times New Roman" w:eastAsia="Times New Roman" w:hAnsi="Times New Roman"/>
          <w:sz w:val="18"/>
          <w:szCs w:val="18"/>
          <w:color w:val="auto"/>
        </w:rPr>
      </w:pPr>
    </w:p>
    <w:p>
      <w:pPr>
        <w:ind w:right="260" w:firstLine="8"/>
        <w:spacing w:after="0" w:line="250"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20" w:firstLine="8"/>
        <w:spacing w:after="0" w:line="250"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80" w:firstLine="8"/>
        <w:spacing w:after="0" w:line="250" w:lineRule="auto"/>
        <w:tabs>
          <w:tab w:leader="none" w:pos="3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9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560" w:hanging="4"/>
        <w:spacing w:after="0" w:line="250"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right="40" w:hanging="4"/>
        <w:spacing w:after="0" w:line="250" w:lineRule="auto"/>
        <w:tabs>
          <w:tab w:leader="none" w:pos="9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right="340" w:firstLine="8"/>
        <w:spacing w:after="0" w:line="250" w:lineRule="auto"/>
        <w:tabs>
          <w:tab w:leader="none" w:pos="3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800" w:hanging="4"/>
        <w:spacing w:after="0" w:line="250" w:lineRule="auto"/>
        <w:tabs>
          <w:tab w:leader="none" w:pos="9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80" w:hanging="4"/>
        <w:spacing w:after="0" w:line="250"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C. Wilk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Fitzsimmons, certify that:</w:t>
      </w:r>
    </w:p>
    <w:p>
      <w:pPr>
        <w:spacing w:after="0" w:line="9"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CompoSecure, Inc.</w:t>
      </w:r>
    </w:p>
    <w:p>
      <w:pPr>
        <w:spacing w:after="0" w:line="9" w:lineRule="exact"/>
        <w:rPr>
          <w:rFonts w:ascii="Times New Roman" w:cs="Times New Roman" w:eastAsia="Times New Roman" w:hAnsi="Times New Roman"/>
          <w:sz w:val="18"/>
          <w:szCs w:val="18"/>
          <w:color w:val="auto"/>
        </w:rPr>
      </w:pPr>
    </w:p>
    <w:p>
      <w:pPr>
        <w:ind w:right="260" w:firstLine="8"/>
        <w:spacing w:after="0" w:line="250"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20" w:firstLine="8"/>
        <w:spacing w:after="0" w:line="250"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80" w:firstLine="8"/>
        <w:spacing w:after="0" w:line="250" w:lineRule="auto"/>
        <w:tabs>
          <w:tab w:leader="none" w:pos="31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9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560" w:hanging="4"/>
        <w:spacing w:after="0" w:line="250"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right="40" w:hanging="4"/>
        <w:spacing w:after="0" w:line="250" w:lineRule="auto"/>
        <w:tabs>
          <w:tab w:leader="none" w:pos="9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right="340" w:firstLine="8"/>
        <w:spacing w:after="0" w:line="250" w:lineRule="auto"/>
        <w:tabs>
          <w:tab w:leader="none" w:pos="31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800" w:hanging="4"/>
        <w:spacing w:after="0" w:line="250" w:lineRule="auto"/>
        <w:tabs>
          <w:tab w:leader="none" w:pos="97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80" w:hanging="4"/>
        <w:spacing w:after="0" w:line="250"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Timothy Fitzsimmons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CompoSecure, Inc., a Delaware corporation (the “Company”), on Form 10-Q for the quarter ended June 30, 2024,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spacing w:after="0" w:line="207"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C. Wilk</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CompoSecure, Inc., a Delaware corporation (the “Company”), on Form 10-Q for the quarter ended June 30, 2024,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spacing w:after="0" w:line="203"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Timothy Fitzsimmons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2"/>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1."/>
      <w:numFmt w:val="decimal"/>
      <w:start w:val="8"/>
    </w:lvl>
  </w:abstractNum>
  <w:abstractNum w:abstractNumId="8">
    <w:nsid w:val="7C83E458"/>
    <w:multiLevelType w:val="hybridMultilevel"/>
    <w:lvl w:ilvl="0">
      <w:lvlJc w:val="left"/>
      <w:lvlText w:val="(%1)"/>
      <w:numFmt w:val="lowerRoman"/>
      <w:start w:val="2"/>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lvl w:ilvl="1">
      <w:lvlJc w:val="left"/>
      <w:lvlText w:val="◦"/>
      <w:numFmt w:val="bullet"/>
      <w:start w:val="1"/>
    </w:lvl>
  </w:abstractNum>
  <w:abstractNum w:abstractNumId="12">
    <w:nsid w:val="628C895D"/>
    <w:multiLevelType w:val="hybridMultilevel"/>
    <w:lvl w:ilvl="0">
      <w:lvlJc w:val="left"/>
      <w:lvlText w:val="•"/>
      <w:numFmt w:val="bullet"/>
      <w:start w:val="1"/>
    </w:lvl>
    <w:lvl w:ilvl="1">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01"/>
    </w:lvl>
  </w:abstractNum>
  <w:abstractNum w:abstractNumId="23">
    <w:nsid w:val="189A769B"/>
    <w:multiLevelType w:val="hybridMultilevel"/>
    <w:lvl w:ilvl="0">
      <w:lvlJc w:val="left"/>
      <w:lvlText w:val="*"/>
      <w:numFmt w:val="bullet"/>
      <w:start w:val="1"/>
    </w:lvl>
    <w:lvl w:ilvl="1">
      <w:lvlJc w:val="left"/>
      <w:lvlText w:val="%2"/>
      <w:numFmt w:val="decimal"/>
      <w:start w:val="104"/>
    </w:lvl>
  </w:abstractNum>
  <w:abstractNum w:abstractNumId="24">
    <w:nsid w:val="54E49EB4"/>
    <w:multiLevelType w:val="hybridMultilevel"/>
    <w:lvl w:ilvl="0">
      <w:lvlJc w:val="left"/>
      <w:lvlText w:val="**"/>
      <w:numFmt w:val="bullet"/>
      <w:start w:val="1"/>
    </w:lvl>
    <w:lvl w:ilvl="1">
      <w:lvlJc w:val="left"/>
      <w:lvlText w:val="%2"/>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2024-08-09T15:37:38Z</dcterms:created>
  <dcterms:modified xsi:type="dcterms:W3CDTF">2024-08-09T15:37:38Z</dcterms:modified>
</cp:coreProperties>
</file>