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14137.xml.htm"/>
      <w:bookmarkStart w:id="1" w:name="kswkform4_17876141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Schoen Kurt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RESOLUTE HOLDINGS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445 PARK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Resolute Holdings Management, Inc.</w:t>
              </w:r>
            </w:hyperlink>
            <w:r>
              <w:rPr/>
              <w:t xml:space="preserve"> [ </w:t>
            </w:r>
            <w:r>
              <w:rPr>
                <w:rFonts w:ascii="Times;serif" w:hAnsi="Times;serif"/>
                <w:color w:val="0000FF"/>
                <w:sz w:val="24"/>
                <w:shd w:fill="FFFFFF" w:val="clear"/>
              </w:rPr>
              <w:t>RHLD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117.84</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the weighted average price. These shares were purchased in multiple transactions at prices ranging from $117.53 to $117.97, inclusive. The reporting person undertakes to provide Resolute Holdings Management, Inc. (the "Issuer"), any securityholder of the Issuer, or the staff of the Securities and Exchange Commission, upon request, full information regarding the number of shares sold at each separate price within such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A.P. Marshall, Attorney-in-Fact for Kurt Schoen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7913" TargetMode="External"/><Relationship Id="rId5" Type="http://schemas.openxmlformats.org/officeDocument/2006/relationships/hyperlink" Target="http://www.sec.gov/cgi-bin/browse-edgar?action=getcompany&amp;CIK=00020394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3551</Characters>
  <CharactersWithSpaces>4130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