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33" w:before="0" w:after="20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40" w:after="18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2025</w:t>
      </w:r>
    </w:p>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For transition period from         to</w:t>
      </w:r>
    </w:p>
    <w:p>
      <w:pPr>
        <w:pStyle w:val="TextBody"/>
        <w:bidi w:val="0"/>
        <w:spacing w:lineRule="auto" w:line="333" w:before="60" w:after="180"/>
        <w:jc w:val="center"/>
        <w:rPr>
          <w:rFonts w:ascii="Times New Roman;sans-serif" w:hAnsi="Times New Roman;sans-serif"/>
          <w:b/>
          <w:color w:val="000000"/>
          <w:sz w:val="18"/>
        </w:rPr>
      </w:pPr>
      <w:r>
        <w:rPr>
          <w:rFonts w:ascii="Times New Roman;sans-serif" w:hAnsi="Times New Roman;sans-serif"/>
          <w:b/>
          <w:color w:val="000000"/>
          <w:sz w:val="18"/>
        </w:rPr>
        <w:t>Commission File Number 001-39687</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jc w:val="center"/>
        <w:rPr>
          <w:rFonts w:ascii="Times New Roman;sans-serif" w:hAnsi="Times New Roman;sans-serif"/>
          <w:b/>
          <w:color w:val="000000"/>
          <w:sz w:val="36"/>
        </w:rPr>
      </w:pPr>
      <w:r>
        <w:rPr>
          <w:rFonts w:ascii="Times New Roman;sans-serif" w:hAnsi="Times New Roman;sans-serif"/>
          <w:b/>
          <w:color w:val="000000"/>
          <w:sz w:val="36"/>
        </w:rPr>
        <w:t>CompoSecure, Inc.</w:t>
      </w:r>
    </w:p>
    <w:p>
      <w:pPr>
        <w:pStyle w:val="TextBody"/>
        <w:bidi w:val="0"/>
        <w:spacing w:lineRule="auto" w:line="333" w:before="0" w:after="24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1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85-2749902</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bl>
    <w:p>
      <w:pPr>
        <w:pStyle w:val="TextBody"/>
        <w:bidi w:val="0"/>
        <w:spacing w:lineRule="auto" w:line="333" w:before="60" w:after="283"/>
        <w:jc w:val="center"/>
        <w:rPr>
          <w:rFonts w:ascii="Times New Roman;sans-serif" w:hAnsi="Times New Roman;sans-serif"/>
          <w:b/>
          <w:color w:val="000000"/>
          <w:sz w:val="20"/>
        </w:rPr>
      </w:pPr>
      <w:r>
        <w:rPr>
          <w:rFonts w:ascii="Times New Roman;sans-serif" w:hAnsi="Times New Roman;sans-serif"/>
          <w:b/>
          <w:color w:val="000000"/>
          <w:sz w:val="20"/>
        </w:rPr>
        <w:t>309 Pierce Street Somerset, New Jersey 08873</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(908) 518-0500</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including zip code, and telephone number, including area code, of registrant’s principal executive offices)</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877"/>
        <w:gridCol w:w="1626"/>
        <w:gridCol w:w="1649"/>
        <w:gridCol w:w="109"/>
        <w:gridCol w:w="109"/>
        <w:gridCol w:w="109"/>
        <w:gridCol w:w="418"/>
        <w:gridCol w:w="411"/>
        <w:gridCol w:w="413"/>
        <w:gridCol w:w="109"/>
        <w:gridCol w:w="109"/>
        <w:gridCol w:w="109"/>
        <w:gridCol w:w="923"/>
        <w:gridCol w:w="923"/>
        <w:gridCol w:w="1311"/>
      </w:tblGrid>
      <w:tr>
        <w:trPr/>
        <w:tc>
          <w:tcPr>
            <w:tcW w:w="187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51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CMPO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r>
        <w:trPr/>
        <w:tc>
          <w:tcPr>
            <w:tcW w:w="51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Redeemable Warrants, each whole warrant exercisable for one share of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CMPOW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bidi w:val="0"/>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33" w:before="200" w:after="20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bl>
    <w:p>
      <w:pPr>
        <w:pStyle w:val="TextBody"/>
        <w:bidi w:val="0"/>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No ☒</w:t>
      </w:r>
    </w:p>
    <w:p>
      <w:pPr>
        <w:pStyle w:val="TextBody"/>
        <w:bidi w:val="0"/>
        <w:spacing w:lineRule="auto" w:line="333" w:before="200" w:after="200"/>
        <w:ind w:left="0" w:right="0" w:firstLine="405"/>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May 07</w:t>
      </w:r>
      <w:r>
        <w:rPr>
          <w:rFonts w:ascii="Times New Roman;sans-serif" w:hAnsi="Times New Roman;sans-serif"/>
          <w:b w:val="false"/>
          <w:color w:val="000000"/>
          <w:sz w:val="20"/>
        </w:rPr>
        <w:t>, 2025, there were approximately 102,317,852 shares of the registrant's Class A common stock outstanding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240"/>
        <w:jc w:val="left"/>
        <w:rPr/>
      </w:pPr>
      <w:r>
        <w:rPr/>
      </w:r>
    </w:p>
    <w:p>
      <w:pPr>
        <w:pStyle w:val="TextBody"/>
        <w:bidi w:val="0"/>
        <w:spacing w:before="0" w:after="240"/>
        <w:jc w:val="left"/>
        <w:rPr/>
      </w:pPr>
      <w:r>
        <w:rPr/>
      </w:r>
    </w:p>
    <w:tbl>
      <w:tblPr>
        <w:tblW w:w="8881" w:type="dxa"/>
        <w:jc w:val="left"/>
        <w:tblInd w:w="0" w:type="dxa"/>
        <w:tblLayout w:type="fixed"/>
        <w:tblCellMar>
          <w:top w:w="28" w:type="dxa"/>
          <w:left w:w="28" w:type="dxa"/>
          <w:bottom w:w="28" w:type="dxa"/>
          <w:right w:w="28" w:type="dxa"/>
        </w:tblCellMar>
      </w:tblPr>
      <w:tblGrid>
        <w:gridCol w:w="352"/>
        <w:gridCol w:w="310"/>
        <w:gridCol w:w="314"/>
        <w:gridCol w:w="2443"/>
        <w:gridCol w:w="2443"/>
        <w:gridCol w:w="2448"/>
        <w:gridCol w:w="167"/>
        <w:gridCol w:w="167"/>
        <w:gridCol w:w="237"/>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3">
              <w:r>
                <w:rPr>
                  <w:rStyle w:val="InternetLink"/>
                  <w:rFonts w:ascii="Times New Roman;sans-serif" w:hAnsi="Times New Roman;sans-serif"/>
                  <w:b/>
                  <w:color w:val="0000FF"/>
                  <w:sz w:val="20"/>
                  <w:u w:val="single"/>
                </w:rPr>
                <w:t>Part I.</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3">
              <w:r>
                <w:rPr>
                  <w:rStyle w:val="InternetLink"/>
                  <w:rFonts w:ascii="Times New Roman;sans-serif" w:hAnsi="Times New Roman;sans-serif"/>
                  <w:b/>
                  <w:color w:val="0000FF"/>
                  <w:sz w:val="20"/>
                  <w:u w:val="single"/>
                </w:rPr>
                <w:t>Financial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13">
              <w:r>
                <w:rPr>
                  <w:rStyle w:val="InternetLink"/>
                  <w:rFonts w:ascii="Times New Roman;sans-serif" w:hAnsi="Times New Roman;sans-serif"/>
                  <w:b w:val="false"/>
                  <w:color w:val="000000"/>
                  <w:sz w:val="20"/>
                  <w:u w:val="single"/>
                </w:rPr>
                <w:t>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6">
              <w:r>
                <w:rPr>
                  <w:rStyle w:val="InternetLink"/>
                  <w:rFonts w:ascii="Times New Roman;sans-serif" w:hAnsi="Times New Roman;sans-serif"/>
                  <w:b w:val="false"/>
                  <w:color w:val="0000FF"/>
                  <w:sz w:val="20"/>
                  <w:u w:val="single"/>
                </w:rPr>
                <w:t xml:space="preserve">Item 1. </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6">
              <w:r>
                <w:rPr>
                  <w:rStyle w:val="InternetLink"/>
                  <w:rFonts w:ascii="Times New Roman;sans-serif" w:hAnsi="Times New Roman;sans-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16">
              <w:r>
                <w:rPr>
                  <w:rStyle w:val="InternetLink"/>
                  <w:rFonts w:ascii="Times New Roman;sans-serif" w:hAnsi="Times New Roman;sans-serif"/>
                  <w:b w:val="false"/>
                  <w:color w:val="000000"/>
                  <w:sz w:val="20"/>
                  <w:u w:val="singl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9">
              <w:r>
                <w:rPr>
                  <w:rStyle w:val="InternetLink"/>
                  <w:rFonts w:ascii="Times New Roman;sans-serif" w:hAnsi="Times New Roman;sans-serif"/>
                  <w:b w:val="false"/>
                  <w:color w:val="0000FF"/>
                  <w:sz w:val="20"/>
                  <w:u w:val="single"/>
                </w:rPr>
                <w:t xml:space="preserve">Consolidated Balance Sheets (Unaudited) </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19">
              <w:r>
                <w:rPr>
                  <w:rStyle w:val="InternetLink"/>
                  <w:rFonts w:ascii="Times New Roman;sans-serif" w:hAnsi="Times New Roman;sans-serif"/>
                  <w:b w:val="false"/>
                  <w:color w:val="000000"/>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22">
              <w:r>
                <w:rPr>
                  <w:rStyle w:val="InternetLink"/>
                  <w:rFonts w:ascii="Times New Roman;sans-serif" w:hAnsi="Times New Roman;sans-serif"/>
                  <w:b w:val="false"/>
                  <w:color w:val="0000FF"/>
                  <w:sz w:val="20"/>
                  <w:u w:val="single"/>
                </w:rPr>
                <w:t>Consolidated Statements of Operations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22">
              <w:r>
                <w:rPr>
                  <w:rStyle w:val="InternetLink"/>
                  <w:rFonts w:ascii="Times New Roman;sans-serif" w:hAnsi="Times New Roman;sans-serif"/>
                  <w:b w:val="false"/>
                  <w:color w:val="000000"/>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25">
              <w:r>
                <w:rPr>
                  <w:rStyle w:val="InternetLink"/>
                  <w:rFonts w:ascii="Times New Roman;sans-serif" w:hAnsi="Times New Roman;sans-serif"/>
                  <w:b w:val="false"/>
                  <w:color w:val="000080"/>
                  <w:sz w:val="20"/>
                  <w:u w:val="single"/>
                </w:rPr>
                <w:t>Consolidated Statements of Comprehensive Income</w:t>
              </w:r>
            </w:hyperlink>
            <w:hyperlink w:anchor="i57cb18a751cc457d8a556b5b235b8e3e_25">
              <w:r>
                <w:rPr>
                  <w:rStyle w:val="InternetLink"/>
                  <w:rFonts w:ascii="Times New Roman;sans-serif" w:hAnsi="Times New Roman;sans-serif"/>
                  <w:b w:val="false"/>
                  <w:color w:val="000080"/>
                  <w:sz w:val="20"/>
                  <w:u w:val="single"/>
                </w:rPr>
                <w:t xml:space="preserve"> </w:t>
              </w:r>
            </w:hyperlink>
            <w:hyperlink w:anchor="i57cb18a751cc457d8a556b5b235b8e3e_25">
              <w:r>
                <w:rPr>
                  <w:rStyle w:val="InternetLink"/>
                  <w:rFonts w:ascii="Times New Roman;sans-serif" w:hAnsi="Times New Roman;sans-serif"/>
                  <w:b w:val="false"/>
                  <w:color w:val="000080"/>
                  <w:sz w:val="20"/>
                  <w:u w:val="single"/>
                </w:rPr>
                <w:t>(Unaudited)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25">
              <w:r>
                <w:rPr>
                  <w:rStyle w:val="InternetLink"/>
                  <w:rFonts w:ascii="Times New Roman;sans-serif" w:hAnsi="Times New Roman;sans-serif"/>
                  <w:b w:val="false"/>
                  <w:color w:val="000000"/>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28">
              <w:r>
                <w:rPr>
                  <w:rStyle w:val="InternetLink"/>
                  <w:rFonts w:ascii="Times New Roman;sans-serif" w:hAnsi="Times New Roman;sans-serif"/>
                  <w:b w:val="false"/>
                  <w:color w:val="0000FF"/>
                  <w:sz w:val="20"/>
                  <w:u w:val="single"/>
                </w:rPr>
                <w:t>Consolidated Statements of Stockholders’ Deficit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28">
              <w:r>
                <w:rPr>
                  <w:rStyle w:val="InternetLink"/>
                  <w:rFonts w:ascii="Times New Roman;sans-serif" w:hAnsi="Times New Roman;sans-serif"/>
                  <w:b w:val="false"/>
                  <w:color w:val="000000"/>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31">
              <w:r>
                <w:rPr>
                  <w:rStyle w:val="InternetLink"/>
                  <w:rFonts w:ascii="Times New Roman;sans-serif" w:hAnsi="Times New Roman;sans-serif"/>
                  <w:b w:val="false"/>
                  <w:color w:val="0000FF"/>
                  <w:sz w:val="20"/>
                  <w:u w:val="single"/>
                </w:rPr>
                <w:t>Consolidated Statements of Cash Flows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31">
              <w:r>
                <w:rPr>
                  <w:rStyle w:val="InternetLink"/>
                  <w:rFonts w:ascii="Times New Roman;sans-serif" w:hAnsi="Times New Roman;sans-serif"/>
                  <w:b w:val="false"/>
                  <w:color w:val="000000"/>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34">
              <w:r>
                <w:rPr>
                  <w:rStyle w:val="InternetLink"/>
                  <w:rFonts w:ascii="Times New Roman;sans-serif" w:hAnsi="Times New Roman;sans-serif"/>
                  <w:b w:val="false"/>
                  <w:color w:val="0000FF"/>
                  <w:sz w:val="20"/>
                  <w:u w:val="single"/>
                </w:rPr>
                <w:t>Notes to Consolidated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34">
              <w:r>
                <w:rPr>
                  <w:rStyle w:val="InternetLink"/>
                  <w:rFonts w:ascii="Times New Roman;sans-serif" w:hAnsi="Times New Roman;sans-serif"/>
                  <w:b w:val="false"/>
                  <w:color w:val="000000"/>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94">
              <w:r>
                <w:rPr>
                  <w:rStyle w:val="InternetLink"/>
                  <w:rFonts w:ascii="Times New Roman;sans-serif" w:hAnsi="Times New Roman;sans-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9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94">
              <w:r>
                <w:rPr>
                  <w:rStyle w:val="InternetLink"/>
                  <w:rFonts w:ascii="Times New Roman;sans-serif" w:hAnsi="Times New Roman;sans-serif"/>
                  <w:b w:val="false"/>
                  <w:color w:val="000000"/>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24">
              <w:r>
                <w:rPr>
                  <w:rStyle w:val="InternetLink"/>
                  <w:rFonts w:ascii="Times New Roman;sans-serif" w:hAnsi="Times New Roman;sans-serif"/>
                  <w:b w:val="false"/>
                  <w:color w:val="0000FF"/>
                  <w:sz w:val="20"/>
                  <w:u w:val="single"/>
                </w:rPr>
                <w:t xml:space="preserve">Item 3. </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24">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124">
              <w:r>
                <w:rPr>
                  <w:rStyle w:val="InternetLink"/>
                  <w:rFonts w:ascii="Times New Roman;sans-serif" w:hAnsi="Times New Roman;sans-serif"/>
                  <w:b w:val="false"/>
                  <w:color w:val="000000"/>
                  <w:sz w:val="20"/>
                  <w:u w:val="single"/>
                </w:rPr>
                <w:t>41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27">
              <w:r>
                <w:rPr>
                  <w:rStyle w:val="InternetLink"/>
                  <w:rFonts w:ascii="Times New Roman;sans-serif" w:hAnsi="Times New Roman;sans-serif"/>
                  <w:b w:val="false"/>
                  <w:color w:val="000080"/>
                  <w:sz w:val="20"/>
                  <w:u w:val="single"/>
                </w:rPr>
                <w:t>Item 4</w:t>
              </w:r>
            </w:hyperlink>
            <w:r>
              <w:rPr>
                <w:rFonts w:ascii="Times New Roman;sans-serif" w:hAnsi="Times New Roman;sans-serif"/>
                <w:b w:val="false"/>
                <w:color w:val="0E32E1"/>
                <w:sz w:val="20"/>
                <w:u w:val="single"/>
              </w:rPr>
              <w:t>.</w:t>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27">
              <w:r>
                <w:rPr>
                  <w:rStyle w:val="InternetLink"/>
                  <w:rFonts w:ascii="Times New Roman;sans-serif" w:hAnsi="Times New Roman;sans-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127">
              <w:r>
                <w:rPr>
                  <w:rStyle w:val="InternetLink"/>
                  <w:rFonts w:ascii="Times New Roman;sans-serif" w:hAnsi="Times New Roman;sans-serif"/>
                  <w:b w:val="false"/>
                  <w:color w:val="000000"/>
                  <w:sz w:val="20"/>
                  <w:u w:val="single"/>
                </w:rPr>
                <w:t>41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30">
              <w:r>
                <w:rPr>
                  <w:rStyle w:val="InternetLink"/>
                  <w:rFonts w:ascii="Times New Roman;sans-serif" w:hAnsi="Times New Roman;sans-serif"/>
                  <w:b/>
                  <w:color w:val="0000FF"/>
                  <w:sz w:val="20"/>
                  <w:u w:val="single"/>
                </w:rPr>
                <w:t>Part II.</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30">
              <w:r>
                <w:rPr>
                  <w:rStyle w:val="InternetLink"/>
                  <w:rFonts w:ascii="Times New Roman;sans-serif" w:hAnsi="Times New Roman;sans-serif"/>
                  <w:b/>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130">
              <w:r>
                <w:rPr>
                  <w:rStyle w:val="InternetLink"/>
                  <w:rFonts w:ascii="Times New Roman;sans-serif" w:hAnsi="Times New Roman;sans-serif"/>
                  <w:b w:val="false"/>
                  <w:color w:val="000000"/>
                  <w:sz w:val="20"/>
                  <w:u w:val="single"/>
                </w:rPr>
                <w:t>43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991">
              <w:r>
                <w:rPr>
                  <w:rStyle w:val="InternetLink"/>
                  <w:rFonts w:ascii="Times New Roman;sans-serif" w:hAnsi="Times New Roman;sans-serif"/>
                  <w:b w:val="false"/>
                  <w:color w:val="0000FF"/>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991">
              <w:r>
                <w:rPr>
                  <w:rStyle w:val="InternetLink"/>
                  <w:rFonts w:ascii="Times New Roman;sans-serif" w:hAnsi="Times New Roman;sans-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991">
              <w:r>
                <w:rPr>
                  <w:rStyle w:val="InternetLink"/>
                  <w:rFonts w:ascii="Times New Roman;sans-serif" w:hAnsi="Times New Roman;sans-serif"/>
                  <w:b w:val="false"/>
                  <w:color w:val="000000"/>
                  <w:sz w:val="20"/>
                  <w:u w:val="single"/>
                </w:rPr>
                <w:t>43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40">
              <w:r>
                <w:rPr>
                  <w:rStyle w:val="InternetLink"/>
                  <w:rFonts w:ascii="Times New Roman;sans-serif" w:hAnsi="Times New Roman;sans-serif"/>
                  <w:b w:val="false"/>
                  <w:color w:val="0000FF"/>
                  <w:sz w:val="20"/>
                  <w:u w:val="single"/>
                </w:rPr>
                <w:t>Item 1A.</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40">
              <w:r>
                <w:rPr>
                  <w:rStyle w:val="InternetLink"/>
                  <w:rFonts w:ascii="Times New Roman;sans-serif" w:hAnsi="Times New Roman;sans-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999">
              <w:r>
                <w:rPr>
                  <w:rStyle w:val="InternetLink"/>
                  <w:rFonts w:ascii="Times New Roman;sans-serif" w:hAnsi="Times New Roman;sans-serif"/>
                  <w:b w:val="false"/>
                  <w:color w:val="000000"/>
                  <w:sz w:val="20"/>
                  <w:u w:val="single"/>
                </w:rPr>
                <w:t>43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7146825581695">
              <w:r>
                <w:rPr>
                  <w:rStyle w:val="InternetLink"/>
                  <w:rFonts w:ascii="Times New Roman;sans-serif" w:hAnsi="Times New Roman;sans-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7146825581695">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7146825581695">
              <w:r>
                <w:rPr>
                  <w:rStyle w:val="InternetLink"/>
                  <w:rFonts w:ascii="Times New Roman;sans-serif" w:hAnsi="Times New Roman;sans-serif"/>
                  <w:b w:val="false"/>
                  <w:color w:val="000000"/>
                  <w:sz w:val="20"/>
                  <w:u w:val="single"/>
                </w:rPr>
                <w:t>68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7146825581665">
              <w:r>
                <w:rPr>
                  <w:rStyle w:val="InternetLink"/>
                  <w:rFonts w:ascii="Times New Roman;sans-serif" w:hAnsi="Times New Roman;sans-serif"/>
                  <w:b w:val="false"/>
                  <w:color w:val="0000FF"/>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7146825581665">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7146825581665">
              <w:r>
                <w:rPr>
                  <w:rStyle w:val="InternetLink"/>
                  <w:rFonts w:ascii="Times New Roman;sans-serif" w:hAnsi="Times New Roman;sans-serif"/>
                  <w:b w:val="false"/>
                  <w:color w:val="000000"/>
                  <w:sz w:val="20"/>
                  <w:u w:val="single"/>
                </w:rPr>
                <w:t>68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7146825581673">
              <w:r>
                <w:rPr>
                  <w:rStyle w:val="InternetLink"/>
                  <w:rFonts w:ascii="Times New Roman;sans-serif" w:hAnsi="Times New Roman;sans-serif"/>
                  <w:b w:val="false"/>
                  <w:color w:val="0000FF"/>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7146825581673">
              <w:r>
                <w:rPr>
                  <w:rStyle w:val="InternetLink"/>
                  <w:rFonts w:ascii="Times New Roman;sans-serif" w:hAnsi="Times New Roman;sans-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7146825581673">
              <w:r>
                <w:rPr>
                  <w:rStyle w:val="InternetLink"/>
                  <w:rFonts w:ascii="Times New Roman;sans-serif" w:hAnsi="Times New Roman;sans-serif"/>
                  <w:b w:val="false"/>
                  <w:color w:val="000000"/>
                  <w:sz w:val="20"/>
                  <w:u w:val="single"/>
                </w:rPr>
                <w:t>68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42">
              <w:r>
                <w:rPr>
                  <w:rStyle w:val="InternetLink"/>
                  <w:rFonts w:ascii="Times New Roman;sans-serif" w:hAnsi="Times New Roman;sans-serif"/>
                  <w:b w:val="false"/>
                  <w:color w:val="0000FF"/>
                  <w:sz w:val="20"/>
                  <w:u w:val="single"/>
                </w:rPr>
                <w:t xml:space="preserve">Item 5. </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42">
              <w:r>
                <w:rPr>
                  <w:rStyle w:val="InternetLink"/>
                  <w:rFonts w:ascii="Times New Roman;sans-serif" w:hAnsi="Times New Roman;sans-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142">
              <w:r>
                <w:rPr>
                  <w:rStyle w:val="InternetLink"/>
                  <w:rFonts w:ascii="Times New Roman;sans-serif" w:hAnsi="Times New Roman;sans-serif"/>
                  <w:b w:val="false"/>
                  <w:color w:val="000000"/>
                  <w:sz w:val="20"/>
                  <w:u w:val="single"/>
                </w:rPr>
                <w:t>68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72">
              <w:r>
                <w:rPr>
                  <w:rStyle w:val="InternetLink"/>
                  <w:rFonts w:ascii="Times New Roman;sans-serif" w:hAnsi="Times New Roman;sans-serif"/>
                  <w:b w:val="false"/>
                  <w:color w:val="0000FF"/>
                  <w:sz w:val="20"/>
                  <w:u w:val="single"/>
                </w:rPr>
                <w:t>Item 6.</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72">
              <w:r>
                <w:rPr>
                  <w:rStyle w:val="InternetLink"/>
                  <w:rFonts w:ascii="Times New Roman;sans-serif" w:hAnsi="Times New Roman;sans-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172">
              <w:r>
                <w:rPr>
                  <w:rStyle w:val="InternetLink"/>
                  <w:rFonts w:ascii="Times New Roman;sans-serif" w:hAnsi="Times New Roman;sans-serif"/>
                  <w:b w:val="false"/>
                  <w:color w:val="000000"/>
                  <w:sz w:val="20"/>
                  <w:u w:val="single"/>
                </w:rPr>
                <w:t>68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57cb18a751cc457d8a556b5b235b8e3e_181">
              <w:r>
                <w:rPr>
                  <w:rStyle w:val="InternetLink"/>
                  <w:rFonts w:ascii="Times New Roman;sans-serif" w:hAnsi="Times New Roman;sans-serif"/>
                  <w:b w:val="false"/>
                  <w:color w:val="0000FF"/>
                  <w:sz w:val="20"/>
                  <w:u w:val="single"/>
                </w:rPr>
                <w:t>Signatures</w:t>
              </w:r>
            </w:hyperlink>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57cb18a751cc457d8a556b5b235b8e3e_181">
              <w:r>
                <w:rPr>
                  <w:rStyle w:val="InternetLink"/>
                  <w:rFonts w:ascii="Times New Roman;sans-serif" w:hAnsi="Times New Roman;sans-serif"/>
                  <w:b w:val="false"/>
                  <w:color w:val="000000"/>
                  <w:sz w:val="20"/>
                  <w:u w:val="single"/>
                </w:rPr>
                <w:t>71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EXPLANATORY NOTE REGARDING CHANGE TO EQUITY METHOD ACCOUNTING</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as of February 28, 2025, as a result of the spin-off (the "Spin-Off") of Resolute Holdings Management, Inc. ("Resolute Holdings") and the related Management Agreement (the "Management Agreement") between the Company's wholly-owned subsidiary, CompoSecure Holdings, L.L.C. ("Holdings") and Resolute Holdings, the results of operations of Holdings, and its operating company subsidiaries, are not consolidated in the Company's financial statements included in this Quarterly Report on Form 10-Q and, instead, are accounted for under the equity method of accounting. Under the equity method of accounting, Holdings’ accounts are not reflected within the Company’s consolidated balance sheets and statements of operations. The Company’s share of the earnings of Holdings is reported in the Company’s consolidated statements of operations as earnings from equity method investment. The Company’s carrying value in Holdings is reported on the Company’s consolidated balance sheets as equity method investment.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of rapidly evolving domestic and global economic conditions, which are beyond our control;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fail to retain existing customers or identify and attract new customers;</w:t>
      </w:r>
    </w:p>
    <w:p>
      <w:pPr>
        <w:pStyle w:val="TextBody"/>
        <w:bidi w:val="0"/>
        <w:spacing w:before="0" w:after="0"/>
        <w:jc w:val="left"/>
        <w:rPr/>
      </w:pPr>
      <w:r>
        <w:rPr/>
      </w:r>
    </w:p>
    <w:p>
      <w:pPr>
        <w:pStyle w:val="TextBody"/>
        <w:bidi w:val="0"/>
        <w:spacing w:lineRule="auto" w:line="242" w:before="0" w:after="0"/>
        <w:ind w:left="0" w:right="0" w:hanging="360"/>
        <w:jc w:val="left"/>
        <w:rPr/>
      </w:pPr>
      <w:r>
        <w:rPr>
          <w:color w:val="000000"/>
        </w:rPr>
        <w:t>•</w:t>
      </w:r>
      <w:r>
        <w:rPr>
          <w:rFonts w:ascii="Times New Roman;sans-serif" w:hAnsi="Times New Roman;sans-serif"/>
          <w:b w:val="false"/>
          <w:color w:val="000000"/>
          <w:sz w:val="20"/>
        </w:rPr>
        <w:t>Data and security breaches could compromise our systems and confidential information, cause reputational and financial damage and increase risks of litigation;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System outages, data loss or other interruptions could affect our operations;</w:t>
      </w:r>
    </w:p>
    <w:p>
      <w:pPr>
        <w:pStyle w:val="TextBody"/>
        <w:bidi w:val="0"/>
        <w:spacing w:before="0" w:after="0"/>
        <w:jc w:val="left"/>
        <w:rPr/>
      </w:pPr>
      <w:r>
        <w:rPr/>
      </w:r>
    </w:p>
    <w:p>
      <w:pPr>
        <w:pStyle w:val="TextBody"/>
        <w:bidi w:val="0"/>
        <w:spacing w:lineRule="auto" w:line="242" w:before="0" w:after="0"/>
        <w:ind w:left="0" w:right="0" w:hanging="360"/>
        <w:jc w:val="left"/>
        <w:rPr/>
      </w:pPr>
      <w:r>
        <w:rPr>
          <w:color w:val="000000"/>
        </w:rPr>
        <w:t>•</w:t>
      </w:r>
      <w:r>
        <w:rPr>
          <w:rFonts w:ascii="Times New Roman;sans-serif" w:hAnsi="Times New Roman;sans-serif"/>
          <w:b w:val="false"/>
          <w:color w:val="000000"/>
          <w:sz w:val="20"/>
        </w:rPr>
        <w:t>We may not be able to recruit, retain and develop qualified personnel, including for areas of newer specialized technology;</w:t>
      </w:r>
    </w:p>
    <w:p>
      <w:pPr>
        <w:pStyle w:val="TextBody"/>
        <w:bidi w:val="0"/>
        <w:spacing w:before="0" w:after="0"/>
        <w:jc w:val="left"/>
        <w:rPr/>
      </w:pPr>
      <w:r>
        <w:rPr/>
      </w:r>
    </w:p>
    <w:p>
      <w:pPr>
        <w:pStyle w:val="TextBody"/>
        <w:bidi w:val="0"/>
        <w:spacing w:lineRule="auto" w:line="242" w:before="0" w:after="0"/>
        <w:ind w:left="0" w:right="0" w:hanging="360"/>
        <w:jc w:val="left"/>
        <w:rPr/>
      </w:pPr>
      <w:r>
        <w:rPr>
          <w:color w:val="000000"/>
        </w:rPr>
        <w:t>•</w:t>
      </w:r>
      <w:r>
        <w:rPr>
          <w:rFonts w:ascii="Times New Roman;sans-serif" w:hAnsi="Times New Roman;sans-serif"/>
          <w:b w:val="false"/>
          <w:color w:val="000000"/>
          <w:sz w:val="20"/>
        </w:rPr>
        <w:t>Our future growth may depend upon our ability to develop and commercialize new products, and we may be unable to introduce new products and services in a timely manner;</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ans-serif" w:hAnsi="Times New Roman;sans-serif"/>
          <w:b w:val="false"/>
          <w:color w:val="000000"/>
          <w:sz w:val="20"/>
        </w:rPr>
        <w:t>Disruptions in our supply chain or the performance of our suppliers and/or development partners could occur;</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ans-serif" w:hAnsi="Times New Roman;sans-serif"/>
          <w:b w:val="false"/>
          <w:color w:val="000000"/>
          <w:sz w:val="20"/>
        </w:rPr>
        <w:t>We have limited experience in the digital assets industry and may not succeed in fully commercializing the products and solutions derived from the Arculus technology;</w:t>
      </w:r>
    </w:p>
    <w:p>
      <w:pPr>
        <w:pStyle w:val="TextBody"/>
        <w:bidi w:val="0"/>
        <w:spacing w:before="0" w:after="0"/>
        <w:jc w:val="left"/>
        <w:rPr/>
      </w:pPr>
      <w:r>
        <w:rPr/>
      </w:r>
    </w:p>
    <w:p>
      <w:pPr>
        <w:pStyle w:val="TextBody"/>
        <w:bidi w:val="0"/>
        <w:spacing w:lineRule="auto" w:line="247" w:before="0" w:after="0"/>
        <w:ind w:left="0" w:right="0" w:hanging="360"/>
        <w:jc w:val="left"/>
        <w:rPr/>
      </w:pPr>
      <w:r>
        <w:rPr>
          <w:color w:val="000000"/>
        </w:rPr>
        <w:t>•</w:t>
      </w:r>
      <w:r>
        <w:rPr>
          <w:rFonts w:ascii="Times New Roman;sans-serif" w:hAnsi="Times New Roman;sans-serif"/>
          <w:b w:val="false"/>
          <w:color w:val="000000"/>
          <w:sz w:val="20"/>
        </w:rPr>
        <w:t>Risks related to the rapid evolution of the security markets, including that our Arculus Authenticate solutions may not achieve widespread market acceptance or may not provide sufficient protection;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dependence on certain distribution partners and the risk of their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Risks to market share and profitability due to competition;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relating to the management of our business by Resolute Holdings, including our reliance on Resolute Holdings for management services under the Management Agreement, which gives Resolute Holdings substantial influence over our business, operations, and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fail to successfully manage and integrate acquisitions or strategic transactions, which could negatively impact our financial performance and growth prospects;</w:t>
      </w:r>
    </w:p>
    <w:p>
      <w:pPr>
        <w:pStyle w:val="TextBody"/>
        <w:bidi w:val="0"/>
        <w:spacing w:before="0" w:after="0"/>
        <w:jc w:val="left"/>
        <w:rPr/>
      </w:pPr>
      <w:r>
        <w:rPr/>
      </w:r>
    </w:p>
    <w:p>
      <w:pPr>
        <w:pStyle w:val="TextBody"/>
        <w:bidi w:val="0"/>
        <w:spacing w:lineRule="auto" w:line="247" w:before="0" w:after="0"/>
        <w:ind w:left="0" w:right="0" w:hanging="360"/>
        <w:jc w:val="left"/>
        <w:rPr/>
      </w:pPr>
      <w:r>
        <w:rPr>
          <w:color w:val="231F20"/>
        </w:rPr>
        <w:t>•</w:t>
      </w:r>
      <w:r>
        <w:rPr>
          <w:rFonts w:ascii="Times New Roman;sans-serif" w:hAnsi="Times New Roman;sans-serif"/>
          <w:b w:val="false"/>
          <w:color w:val="000000"/>
          <w:sz w:val="20"/>
        </w:rPr>
        <w:t>The outcome of any legal proceedings that may be instituted against the Company or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Future exchange and interest rates;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risks and uncertainties indicated in this report, including those under “Risk Factors” herein, and other filings that have been made or will be made with the SEC.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factors that could cause actual results to differ from those implied by the forward- 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1 - Financial Statement</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24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tbl>
      <w:tblPr>
        <w:tblW w:w="4605" w:type="dxa"/>
        <w:jc w:val="left"/>
        <w:tblInd w:w="0" w:type="dxa"/>
        <w:tblLayout w:type="fixed"/>
        <w:tblCellMar>
          <w:top w:w="28" w:type="dxa"/>
          <w:left w:w="28" w:type="dxa"/>
          <w:bottom w:w="28" w:type="dxa"/>
          <w:right w:w="28" w:type="dxa"/>
        </w:tblCellMar>
      </w:tblPr>
      <w:tblGrid>
        <w:gridCol w:w="1474"/>
        <w:gridCol w:w="1295"/>
        <w:gridCol w:w="1836"/>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COMPOSECURE, INC.</w:t>
            </w:r>
          </w:p>
        </w:tc>
      </w:tr>
      <w:tr>
        <w:trPr/>
        <w:tc>
          <w:tcPr>
            <w:tcW w:w="460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Consolidated Balance Sheets</w:t>
            </w:r>
          </w:p>
        </w:tc>
      </w:tr>
      <w:tr>
        <w:trPr/>
        <w:tc>
          <w:tcPr>
            <w:tcW w:w="4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except par value and share amounts)</w:t>
            </w:r>
          </w:p>
        </w:tc>
      </w:tr>
    </w:tbl>
    <w:tbl>
      <w:tblPr>
        <w:tblW w:w="10205" w:type="dxa"/>
        <w:jc w:val="left"/>
        <w:tblInd w:w="0" w:type="dxa"/>
        <w:tblLayout w:type="fixed"/>
        <w:tblCellMar>
          <w:top w:w="28" w:type="dxa"/>
          <w:left w:w="28" w:type="dxa"/>
          <w:bottom w:w="28" w:type="dxa"/>
          <w:right w:w="28" w:type="dxa"/>
        </w:tblCellMar>
      </w:tblPr>
      <w:tblGrid>
        <w:gridCol w:w="2925"/>
        <w:gridCol w:w="2226"/>
        <w:gridCol w:w="2246"/>
        <w:gridCol w:w="217"/>
        <w:gridCol w:w="818"/>
        <w:gridCol w:w="121"/>
        <w:gridCol w:w="109"/>
        <w:gridCol w:w="109"/>
        <w:gridCol w:w="109"/>
        <w:gridCol w:w="238"/>
        <w:gridCol w:w="895"/>
        <w:gridCol w:w="192"/>
      </w:tblGrid>
      <w:tr>
        <w:trPr/>
        <w:tc>
          <w:tcPr>
            <w:tcW w:w="292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173,902 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 - operating leases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 - interest rate swap</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 method investment </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 and other assets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473,918 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Bonus payable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Commission payable</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lease liabilities - operating leases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earnout consideration liability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tax receivable agreement liability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76,322 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deferred financing costs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184,389 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104,231 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 operating leases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liability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248,534 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617,364 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shares authorized, no shares issued and outstanding</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250,000,000 shares authorized,102,317,852 and 100,462,844 shares issued and outstanding as of March 31, 2025 and December 31, 2024,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75,000,000 shares authorized, no shares issued and outstanding as of March 31, 2025 and December 31, 2024</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paid-in-capital</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361,379 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 income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(507,378)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(87,307)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(143,446)</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DEFICIT</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292,323 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473,918 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3545"/>
                <wp:effectExtent l="0" t="0" r="0" b="0"/>
                <wp:wrapNone/>
                <wp:docPr id="7" name="Frame7"/>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300" w:before="0" w:after="98"/>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financial statements.</w:t>
                            </w:r>
                          </w:p>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98"/>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financial statements.</w:t>
                      </w:r>
                    </w:p>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tbl>
      <w:tblPr>
        <w:tblW w:w="5189" w:type="dxa"/>
        <w:jc w:val="left"/>
        <w:tblInd w:w="0" w:type="dxa"/>
        <w:tblLayout w:type="fixed"/>
        <w:tblCellMar>
          <w:top w:w="28" w:type="dxa"/>
          <w:left w:w="28" w:type="dxa"/>
          <w:bottom w:w="28" w:type="dxa"/>
          <w:right w:w="28" w:type="dxa"/>
        </w:tblCellMar>
      </w:tblPr>
      <w:tblGrid>
        <w:gridCol w:w="1661"/>
        <w:gridCol w:w="1460"/>
        <w:gridCol w:w="2068"/>
      </w:tblGrid>
      <w:tr>
        <w:trPr/>
        <w:tc>
          <w:tcPr>
            <w:tcW w:w="166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1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Consolidated Statements of Operations (Unaudited)</w:t>
            </w:r>
          </w:p>
        </w:tc>
      </w:tr>
      <w:tr>
        <w:trPr/>
        <w:tc>
          <w:tcPr>
            <w:tcW w:w="5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except per share amounts)</w:t>
            </w:r>
          </w:p>
        </w:tc>
      </w:tr>
    </w:tbl>
    <w:tbl>
      <w:tblPr>
        <w:tblW w:w="10205" w:type="dxa"/>
        <w:jc w:val="left"/>
        <w:tblInd w:w="0" w:type="dxa"/>
        <w:tblLayout w:type="fixed"/>
        <w:tblCellMar>
          <w:top w:w="28" w:type="dxa"/>
          <w:left w:w="28" w:type="dxa"/>
          <w:bottom w:w="28" w:type="dxa"/>
          <w:right w:w="28" w:type="dxa"/>
        </w:tblCellMar>
      </w:tblPr>
      <w:tblGrid>
        <w:gridCol w:w="2772"/>
        <w:gridCol w:w="2425"/>
        <w:gridCol w:w="2426"/>
        <w:gridCol w:w="222"/>
        <w:gridCol w:w="733"/>
        <w:gridCol w:w="123"/>
        <w:gridCol w:w="123"/>
        <w:gridCol w:w="123"/>
        <w:gridCol w:w="123"/>
        <w:gridCol w:w="222"/>
        <w:gridCol w:w="733"/>
        <w:gridCol w:w="180"/>
      </w:tblGrid>
      <w:tr>
        <w:trPr/>
        <w:tc>
          <w:tcPr>
            <w:tcW w:w="2772"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55,213 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warrant liability</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earnout consideration liability</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liability - convertible notes redemption make-whole provision</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before earnings in equity method investment</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in equity method investment</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CompoSecure, Inc.</w:t>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attributable to CompoSecure, Inc. - basic</w:t>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attributable to CompoSecure, Inc. - diluted</w:t>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used to compute net income per share attributable to Class A common stockholders - basic</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used to compute net income per share attributable to Class A common stockholders - diluted</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23545"/>
                <wp:effectExtent l="0" t="0" r="0" b="0"/>
                <wp:wrapNone/>
                <wp:docPr id="8" name="Frame8"/>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300" w:before="0" w:after="98"/>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financial statements.</w:t>
                            </w:r>
                          </w:p>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98"/>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financial statements.</w:t>
                      </w:r>
                    </w:p>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tbl>
      <w:tblPr>
        <w:tblW w:w="6389" w:type="dxa"/>
        <w:jc w:val="left"/>
        <w:tblInd w:w="0" w:type="dxa"/>
        <w:tblLayout w:type="fixed"/>
        <w:tblCellMar>
          <w:top w:w="28" w:type="dxa"/>
          <w:left w:w="28" w:type="dxa"/>
          <w:bottom w:w="28" w:type="dxa"/>
          <w:right w:w="28" w:type="dxa"/>
        </w:tblCellMar>
      </w:tblPr>
      <w:tblGrid>
        <w:gridCol w:w="2045"/>
        <w:gridCol w:w="1798"/>
        <w:gridCol w:w="2546"/>
      </w:tblGrid>
      <w:tr>
        <w:trPr/>
        <w:tc>
          <w:tcPr>
            <w:tcW w:w="2045"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63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COMPOSECURE, INC.</w:t>
            </w:r>
          </w:p>
        </w:tc>
      </w:tr>
      <w:tr>
        <w:trPr/>
        <w:tc>
          <w:tcPr>
            <w:tcW w:w="63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Consolidated Statements of Comprehensive Income (Unaudited)</w:t>
            </w:r>
          </w:p>
        </w:tc>
      </w:tr>
      <w:tr>
        <w:trPr/>
        <w:tc>
          <w:tcPr>
            <w:tcW w:w="63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 in thousands)</w:t>
            </w:r>
          </w:p>
        </w:tc>
      </w:tr>
    </w:tbl>
    <w:tbl>
      <w:tblPr>
        <w:tblW w:w="7464" w:type="dxa"/>
        <w:jc w:val="left"/>
        <w:tblInd w:w="0" w:type="dxa"/>
        <w:tblLayout w:type="fixed"/>
        <w:tblCellMar>
          <w:top w:w="28" w:type="dxa"/>
          <w:left w:w="28" w:type="dxa"/>
          <w:bottom w:w="28" w:type="dxa"/>
          <w:right w:w="28" w:type="dxa"/>
        </w:tblCellMar>
      </w:tblPr>
      <w:tblGrid>
        <w:gridCol w:w="1749"/>
        <w:gridCol w:w="1536"/>
        <w:gridCol w:w="1560"/>
        <w:gridCol w:w="226"/>
        <w:gridCol w:w="745"/>
        <w:gridCol w:w="125"/>
        <w:gridCol w:w="125"/>
        <w:gridCol w:w="125"/>
        <w:gridCol w:w="125"/>
        <w:gridCol w:w="226"/>
        <w:gridCol w:w="745"/>
        <w:gridCol w:w="177"/>
      </w:tblGrid>
      <w:tr>
        <w:trPr/>
        <w:tc>
          <w:tcPr>
            <w:tcW w:w="174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w:t>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derivative - interest rate swap (net of tax)</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 income, net</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tbl>
      <w:tblPr>
        <w:tblW w:w="8220" w:type="dxa"/>
        <w:jc w:val="left"/>
        <w:tblInd w:w="0" w:type="dxa"/>
        <w:tblLayout w:type="fixed"/>
        <w:tblCellMar>
          <w:top w:w="28" w:type="dxa"/>
          <w:left w:w="28" w:type="dxa"/>
          <w:bottom w:w="28" w:type="dxa"/>
          <w:right w:w="28" w:type="dxa"/>
        </w:tblCellMar>
      </w:tblPr>
      <w:tblGrid>
        <w:gridCol w:w="2631"/>
        <w:gridCol w:w="2313"/>
        <w:gridCol w:w="3276"/>
      </w:tblGrid>
      <w:tr>
        <w:trPr/>
        <w:tc>
          <w:tcPr>
            <w:tcW w:w="2631"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276" w:type="dxa"/>
            <w:tcBorders/>
            <w:vAlign w:val="center"/>
          </w:tcPr>
          <w:p>
            <w:pPr>
              <w:pStyle w:val="TableContents"/>
              <w:bidi w:val="0"/>
              <w:spacing w:before="0" w:after="283"/>
              <w:jc w:val="left"/>
              <w:rPr>
                <w:sz w:val="4"/>
                <w:szCs w:val="4"/>
              </w:rPr>
            </w:pPr>
            <w:r>
              <w:rPr>
                <w:sz w:val="4"/>
                <w:szCs w:val="4"/>
              </w:rPr>
            </w:r>
          </w:p>
        </w:tc>
      </w:tr>
      <w:tr>
        <w:trPr/>
        <w:tc>
          <w:tcPr>
            <w:tcW w:w="82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COMPOSECURE, INC.</w:t>
            </w:r>
          </w:p>
        </w:tc>
      </w:tr>
      <w:tr>
        <w:trPr/>
        <w:tc>
          <w:tcPr>
            <w:tcW w:w="82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CONSOLIDATED STATEMENTS OF STOCKHOLDERS' DEFICIT (Unaudited)</w:t>
            </w:r>
          </w:p>
        </w:tc>
      </w:tr>
      <w:tr>
        <w:trPr/>
        <w:tc>
          <w:tcPr>
            <w:tcW w:w="8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 except share data)</w:t>
            </w:r>
          </w:p>
        </w:tc>
      </w:tr>
    </w:tbl>
    <w:p>
      <w:pPr>
        <w:pStyle w:val="TextBody"/>
        <w:bidi w:val="0"/>
        <w:spacing w:before="0" w:after="0"/>
        <w:jc w:val="left"/>
        <w:rPr/>
      </w:pPr>
      <w:r>
        <w:rPr/>
      </w:r>
    </w:p>
    <w:tbl>
      <w:tblPr>
        <w:tblW w:w="11871" w:type="dxa"/>
        <w:jc w:val="left"/>
        <w:tblInd w:w="0" w:type="dxa"/>
        <w:tblLayout w:type="fixed"/>
        <w:tblCellMar>
          <w:top w:w="28" w:type="dxa"/>
          <w:left w:w="28" w:type="dxa"/>
          <w:bottom w:w="28" w:type="dxa"/>
          <w:right w:w="28" w:type="dxa"/>
        </w:tblCellMar>
      </w:tblPr>
      <w:tblGrid>
        <w:gridCol w:w="640"/>
        <w:gridCol w:w="220"/>
        <w:gridCol w:w="221"/>
        <w:gridCol w:w="109"/>
        <w:gridCol w:w="109"/>
        <w:gridCol w:w="109"/>
        <w:gridCol w:w="308"/>
        <w:gridCol w:w="308"/>
        <w:gridCol w:w="283"/>
        <w:gridCol w:w="109"/>
        <w:gridCol w:w="109"/>
        <w:gridCol w:w="109"/>
        <w:gridCol w:w="181"/>
        <w:gridCol w:w="286"/>
        <w:gridCol w:w="109"/>
        <w:gridCol w:w="109"/>
        <w:gridCol w:w="109"/>
        <w:gridCol w:w="109"/>
        <w:gridCol w:w="269"/>
        <w:gridCol w:w="269"/>
        <w:gridCol w:w="228"/>
        <w:gridCol w:w="109"/>
        <w:gridCol w:w="109"/>
        <w:gridCol w:w="109"/>
        <w:gridCol w:w="181"/>
        <w:gridCol w:w="406"/>
        <w:gridCol w:w="109"/>
        <w:gridCol w:w="109"/>
        <w:gridCol w:w="109"/>
        <w:gridCol w:w="109"/>
        <w:gridCol w:w="181"/>
        <w:gridCol w:w="616"/>
        <w:gridCol w:w="109"/>
        <w:gridCol w:w="109"/>
        <w:gridCol w:w="109"/>
        <w:gridCol w:w="109"/>
        <w:gridCol w:w="297"/>
        <w:gridCol w:w="597"/>
        <w:gridCol w:w="127"/>
        <w:gridCol w:w="109"/>
        <w:gridCol w:w="109"/>
        <w:gridCol w:w="109"/>
        <w:gridCol w:w="181"/>
        <w:gridCol w:w="631"/>
        <w:gridCol w:w="109"/>
        <w:gridCol w:w="109"/>
        <w:gridCol w:w="109"/>
        <w:gridCol w:w="109"/>
        <w:gridCol w:w="181"/>
        <w:gridCol w:w="631"/>
        <w:gridCol w:w="109"/>
        <w:gridCol w:w="109"/>
        <w:gridCol w:w="109"/>
        <w:gridCol w:w="109"/>
        <w:gridCol w:w="217"/>
        <w:gridCol w:w="739"/>
        <w:gridCol w:w="185"/>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Non-Controlling</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100,462,844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425,100 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employee stock purchase plan and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A common stock issued pursuant to equity-based plans,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A common stock withheld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11,459 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loss on derivative -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Spin-Off of Resolute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CompoSecure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102,317,852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Non-Controlling</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19,415,123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59,958,422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(846,825)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(802,360)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596,587</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employee stock purchase plan and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A common stock issued pursuant to equity-based plans, net of shares withheld for taxes and employee stock purchase plan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1,183,123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Class A common stock withheld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derivative -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 of redeemable non-controlling interests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(13,048)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20,598,246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59,958,422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5,443 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(839,903)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(793,958)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596,587 </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3545"/>
                <wp:effectExtent l="0" t="0" r="0" b="0"/>
                <wp:wrapNone/>
                <wp:docPr id="10" name="Frame10"/>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300" w:before="0" w:after="98"/>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financial statements.</w:t>
                            </w:r>
                          </w:p>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98"/>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financial statements.</w:t>
                      </w:r>
                    </w:p>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tbl>
      <w:tblPr>
        <w:tblW w:w="5220" w:type="dxa"/>
        <w:jc w:val="left"/>
        <w:tblInd w:w="0" w:type="dxa"/>
        <w:tblLayout w:type="fixed"/>
        <w:tblCellMar>
          <w:top w:w="28" w:type="dxa"/>
          <w:left w:w="28" w:type="dxa"/>
          <w:bottom w:w="28" w:type="dxa"/>
          <w:right w:w="28" w:type="dxa"/>
        </w:tblCellMar>
      </w:tblPr>
      <w:tblGrid>
        <w:gridCol w:w="1671"/>
        <w:gridCol w:w="1469"/>
        <w:gridCol w:w="2080"/>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COMPOSECURE, INC.</w:t>
            </w:r>
          </w:p>
        </w:tc>
      </w:tr>
      <w:tr>
        <w:trPr/>
        <w:tc>
          <w:tcPr>
            <w:tcW w:w="52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Consolidated Statements of Cash Flows (Unaudited)</w:t>
            </w:r>
          </w:p>
        </w:tc>
      </w:tr>
      <w:tr>
        <w:trPr/>
        <w:tc>
          <w:tcPr>
            <w:tcW w:w="5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r>
    </w:tbl>
    <w:p>
      <w:pPr>
        <w:pStyle w:val="TextBody"/>
        <w:bidi w:val="0"/>
        <w:spacing w:before="0" w:after="0"/>
        <w:ind w:left="0" w:right="0" w:firstLine="720"/>
        <w:jc w:val="left"/>
        <w:rPr/>
      </w:pPr>
      <w:r>
        <w:rPr/>
      </w:r>
    </w:p>
    <w:tbl>
      <w:tblPr>
        <w:tblW w:w="9422" w:type="dxa"/>
        <w:jc w:val="left"/>
        <w:tblInd w:w="0" w:type="dxa"/>
        <w:tblLayout w:type="fixed"/>
        <w:tblCellMar>
          <w:top w:w="28" w:type="dxa"/>
          <w:left w:w="28" w:type="dxa"/>
          <w:bottom w:w="28" w:type="dxa"/>
          <w:right w:w="28" w:type="dxa"/>
        </w:tblCellMar>
      </w:tblPr>
      <w:tblGrid>
        <w:gridCol w:w="2420"/>
        <w:gridCol w:w="2122"/>
        <w:gridCol w:w="2132"/>
        <w:gridCol w:w="181"/>
        <w:gridCol w:w="601"/>
        <w:gridCol w:w="109"/>
        <w:gridCol w:w="109"/>
        <w:gridCol w:w="109"/>
        <w:gridCol w:w="109"/>
        <w:gridCol w:w="181"/>
        <w:gridCol w:w="541"/>
        <w:gridCol w:w="109"/>
        <w:gridCol w:w="109"/>
        <w:gridCol w:w="109"/>
        <w:gridCol w:w="109"/>
        <w:gridCol w:w="109"/>
        <w:gridCol w:w="109"/>
        <w:gridCol w:w="154"/>
      </w:tblGrid>
      <w:tr>
        <w:trPr/>
        <w:tc>
          <w:tcPr>
            <w:tcW w:w="242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income to net cash provided by operating activities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Earnings in equity method investment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deferred financing costs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Revaluation of earnout consideration liability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Revaluation of warrant liability</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derivative liability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operating lease expense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 expense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assets and liabilities: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Inventories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Lease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property and equipment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Holdings cash deconsolidated as a result of the Management Agreement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Resolute Holdings cash deconsolidated as a result of the Spin-Off</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software expenditures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employee stock purchase plan and exercise of options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taxes related to net share settlement of equity awards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term loan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exercise of warrants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financing activities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4"/>
              </w:rPr>
            </w:pPr>
            <w:r>
              <w:rPr>
                <w:rFonts w:ascii="Times New Roman;sans-serif" w:hAnsi="Times New Roman;sans-serif"/>
                <w:b w:val="false"/>
                <w:color w:val="000000"/>
                <w:sz w:val="14"/>
              </w:rPr>
              <w:t>Net (decrease) increase in cash and cash equivalents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beginning of period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cash flow information:</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non-cash operating and financing activities: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ROU assets exchanged for lease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Derivative asset - interest rate swap</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portion of warrant exercise</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Holdings net liabilities, excluding cash and cash equivalent, deconsolidated as a result of Management Agreement</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Resolute Holdings net liabilities, excluding cash and cash equivalent, deconsolidated as a result of Spin-Off</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hanging="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3545"/>
                <wp:effectExtent l="0" t="0" r="0" b="0"/>
                <wp:wrapNone/>
                <wp:docPr id="11" name="Frame11"/>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300" w:before="0" w:after="98"/>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financial statements.</w:t>
                            </w:r>
                          </w:p>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98"/>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financial statements.</w:t>
                      </w:r>
                    </w:p>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1.DESCRIPTION OF ORGANIZATION AND BUSINESS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Inc. (the “Company”), through its wholly-owned subsidiary, CompoSecure Holdings, L.L.C. ("Holdings") is a manufacturer and designer of complex metal, composite and proprietary financial transaction cards. The Company was founded and commenced operations in 2000. The Company provides products and services primarily to global financial institutions, plastic card manufacturers, system integrators, and security specialists. The Company is located in Somerset, New Jersey. Since its inception, the Company has established itself as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creates newly innovated, highly differentiated and customized quality financial payment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with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transactions discussed below, the Company had operated as an umbrella partnership C corporation (“Up-C”), meaning that the sole asset of the Company was its interest in Holdings and the related deferred tax asset. Holdings had been an entity taxed as a partnership for U.S. federal income tax purposes and was owned by both the historical owners and the Company.</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7, 2024, all of the Company's Class B stockholders and affiliates of Resolute Compo Holdings, LLC, including Tungsten 2024 LLC, (collectively, "Tungsten"), entered into stock purchase agreements pursuant to which the selling shareholders would exchange their 51,908,422 Class B units, and corresponding Class B shares, for Class A shares (collectively, the "Tungsten Transactions"), eliminating the Company's existing dual-share class structure. The Company was not party to the stock purchase agreements related to the Tungsten Transactions. The Tungsten Transactions closed on September 17, 2024 and as a result, Tungsten became the majority owner of the Company by acquiring 49,290,409 shares of the Company's Class A Common Stock for an aggregate purchase price of approximately $372 million, or $7.55 per share, representing an approximately 60% voting interest in the Company. Subsequent to the Tungsten Transactions, the Company no longer has Class B shares outstanding nor the associated non-controlling interest. The Company's tax receivable agreement liability and future payments thereunder increased as the Company realized an increase in the tax basis of the assets of Holdings resulting from the exchange of the equity in Holdings by unitholders in connection with the Tungsten Transactions.</w:t>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2024, Resolute Holdings Management, Inc. ("Resolute Holdings") was created as a wholly owned subsidiary of Holdings. On February 28, 2025, the Company completed the previously-announced spin-off (the "Spin-Off") of Resolute Holdings. In connection with the Spin-Off, Holdings entered into a management agreement (the "Management Agreement") pursuant to which Resolute Holdings provides management and other related services to Holdings in exchange for payment of quarterly management fees. The Spin-Off of Resolute Holdings from the Company was achieved through the distribution of all outstanding shares of common stock, par value $0.0001 per share, of Resolute Holdings ("Resolute Holdings Common Stock"), on a pro rata basis, to holders of record of the Company’s Class A Common Stock, par value $0.0001 per share (“CompoSecure Common Stock”). Each holder of record of CompoSecure Common Stock received one share of Resolute Holdings Common Stock for every twelve shares of CompoSecure Common Stock held on February 20, 2025, the record date for the Spin-Off. In lieu of fractional shares of Resolute Holdings Common Stock, holders of CompoSecure Common Stock received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shares in connection with the Spin-Off constituted an Extraordinary Dividend as defined in the warrant agreement. As a result, the warrant price was decreased from $11.50 per share of CompoSecure Common Stock to $7.97 per share of CompoSecure Common Stock, and the redemption trigger price was decreased from $18.00 per share of CompoSecure Common Stock to $14.47 per share of CompoSecure Common Stock, effective as of February 28, 2025.</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By virtue of control of the board of managers of Holdings, CompoSecure, Inc. historically operated and controlled the business and affairs of Holdings and thus consolidated Holdings. As of February 28, 2025 and subsequent to the Spin-Off and the execution of the Management Agreement with Resolute Holdings, Resolute Holdings controls and is required to consolidate Holdings. As a result, the Company no longer consolidates Holdings and accounts for the investment in Holdings as an equity method investment. See Note 5 for additional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presented in conformity with generally accepted accounting principles in the United States ("U.S. GAAP") and pursuant to the rules and regulations of the U.S.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subsidiaries. All intercompany accounts and transactions have been eliminated in consolidation. All dollar amounts are in thousands, unless otherwise noted. Share and per share amounts are presented on a post-conversion basis for all periods presented, unless otherwise noted.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detailed in the Company's Annual Report on Form 10-K for the year ended December 31, 2024 filed with the SEC.</w:t>
      </w:r>
    </w:p>
    <w:p>
      <w:pPr>
        <w:pStyle w:val="TextBody"/>
        <w:bidi w:val="0"/>
        <w:spacing w:before="0" w:after="0"/>
        <w:jc w:val="left"/>
        <w:rPr/>
      </w:pPr>
      <w:r>
        <w:rPr/>
      </w:r>
    </w:p>
    <w:p>
      <w:pPr>
        <w:pStyle w:val="TextBody"/>
        <w:bidi w:val="0"/>
        <w:spacing w:lineRule="auto" w:line="288"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Interim Financial Statements</w:t>
      </w:r>
    </w:p>
    <w:p>
      <w:pPr>
        <w:pStyle w:val="TextBody"/>
        <w:bidi w:val="0"/>
        <w:spacing w:before="0" w:after="1"/>
        <w:ind w:left="0" w:right="0" w:firstLine="2"/>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Generally Accepted Accounting Principles ("U.S. GAAP") and Article 10 of Regulation S-X of the SEC for interim financial information and should be read in conjunction with the Company’s Annual Report on Form 10-K for the year ended December 31, 2024.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Consolidated Statements of Operations for the three months period ended March 31, 2025 are not necessarily indicative of the results to be expected for the full year.</w:t>
      </w:r>
    </w:p>
    <w:p>
      <w:pPr>
        <w:pStyle w:val="TextBody"/>
        <w:bidi w:val="0"/>
        <w:spacing w:before="0" w:after="0"/>
        <w:jc w:val="left"/>
        <w:rPr/>
      </w:pPr>
      <w:r>
        <w:rPr/>
      </w:r>
    </w:p>
    <w:p>
      <w:pPr>
        <w:pStyle w:val="TextBody"/>
        <w:bidi w:val="0"/>
        <w:spacing w:lineRule="auto" w:line="276"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1"/>
        <w:ind w:left="0" w:right="0" w:firstLine="2"/>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(as defined below), which were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estimates of the inputs used to calculate the tax receivable agreement liability, reserve for excess and obsolete inventory, estimated useful lives and impairment of property and equipment, and lease term, discount rates and other inputs used to measure right of use assets and lease liabilities.</w:t>
      </w:r>
    </w:p>
    <w:p>
      <w:pPr>
        <w:pStyle w:val="TextBody"/>
        <w:bidi w:val="0"/>
        <w:spacing w:before="0" w:after="0"/>
        <w:jc w:val="left"/>
        <w:rPr/>
      </w:pPr>
      <w:r>
        <w:rPr/>
      </w:r>
    </w:p>
    <w:p>
      <w:pPr>
        <w:pStyle w:val="TextBody"/>
        <w:bidi w:val="0"/>
        <w:spacing w:lineRule="auto" w:line="288"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for consistency with the current year presentation. These reclassifications had no effect on the reported results of operations. An immaterial adjustment has been made to the consolidated statement of cash flows for three months ended March 31, 2024 to reclassify within cash flows from operating activities the change in other liabilities to non-cash operating lease expense and lease liabilities.</w:t>
      </w:r>
    </w:p>
    <w:p>
      <w:pPr>
        <w:pStyle w:val="TextBody"/>
        <w:bidi w:val="0"/>
        <w:spacing w:before="0" w:after="0"/>
        <w:ind w:left="0" w:right="0" w:firstLine="720"/>
        <w:jc w:val="left"/>
        <w:rPr/>
      </w:pPr>
      <w:r>
        <w:rPr/>
      </w:r>
    </w:p>
    <w:p>
      <w:pPr>
        <w:pStyle w:val="TextBody"/>
        <w:bidi w:val="0"/>
        <w:spacing w:lineRule="auto" w:line="288"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March 31, 2025 or December 31,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measured in an amount that reflects the consideration the Company expects to receive in exchange for those products or services. Revenue is recognized net of variable consideration such as discounts, rebates, and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evaluates its contractual, ownership, and other interests in entities to determine if it has any variable interest in a variable interest entity (“VIE”) in accordance with ASC 810, </w:t>
      </w:r>
      <w:r>
        <w:rPr>
          <w:rFonts w:ascii="Times New Roman;sans-serif" w:hAnsi="Times New Roman;sans-serif"/>
          <w:b w:val="false"/>
          <w:i/>
          <w:color w:val="000000"/>
          <w:sz w:val="20"/>
        </w:rPr>
        <w:t>Consolidation</w:t>
      </w:r>
      <w:r>
        <w:rPr>
          <w:color w:val="000000"/>
        </w:rPr>
        <w:t xml:space="preserve"> </w:t>
      </w:r>
      <w:r>
        <w:rPr>
          <w:rFonts w:ascii="Times New Roman;sans-serif" w:hAnsi="Times New Roman;sans-serif"/>
          <w:b w:val="false"/>
          <w:color w:val="000000"/>
          <w:sz w:val="20"/>
        </w:rPr>
        <w:t>(“ASC 810”). A VIE is an entity that either lacks sufficient equity to permit it to finance its activities without additional subordinated financial support or for which the equity investors do not have characteristics of a controlling financial interest.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direct activities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pStyle w:val="TextBody"/>
        <w:bidi w:val="0"/>
        <w:spacing w:before="0" w:after="0"/>
        <w:jc w:val="left"/>
        <w:rPr/>
      </w:pPr>
      <w:r>
        <w:rPr/>
      </w:r>
    </w:p>
    <w:p>
      <w:pPr>
        <w:pStyle w:val="TextBody"/>
        <w:bidi w:val="0"/>
        <w:spacing w:lineRule="auto" w:line="288"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Change to Equity Method Accounting Presentation for Holdings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variable interest in Holdings, the Company’s wholly owned operating subsidiary. Holdings is considered a VIE as the Company is the sole holder of the Holdings’ equity investment risk but is not able to direct the activities that most significantly impact Holdings’ economic performance. Effective as of February 28, 2025, the date of the Spin-Off of Resolute Holdings, and resulting from Holdings entering into the Management Agreement with Resolute Holdings, the Company determined that Holdings is a VIE for which the Company is not the primary beneficiary, as the Company does not have the power to direct the activities of Holdings that most significantly impact its economic performance. Therefore, the results of operations and cash flows of the Company's wholly-owned subsidiary, Holdings, and the operating companies which are its subsidiaries, are not consolidated in the financial statements included in this report and, instead, are accounted for under the equity method of accounting. Under the equity method of accounting, the financial information of Holdings is not reflected within the Company’s consolidated balance sheets, statements of operations and cash flows. The Company’s share of the earnings of Holdings is reported in a single line item within the Company’s consolidated statements of operations and cash flows as earnings from equity method investment. The carrying value of the Company's investment in Holdings is reported in the Company’s consolidated balance sheets as equity method investment. This equity method investment is increased (decreased) by the Company's share of the earnings (losses) of Holdings and is also decreased by the Company’s share of dividends declared by Holdings from time to time (if any). The Company's investment in Holdings is accounted for using the equity method of accounting because the Company has the ability to exercise significant influence over Holdings, but as a result of the Management Agreement, does not have control over Holdings. No gain or loss is recognized upon conversion of Holdings as an equity method investment because Resolute Holdings and the Company are both under common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Company’s carrying value in Holdings is reduced to zero, losses would not be recorded in the Company’s consolidated financial statements unless the Company guarantees obligations of Holdings or has committed additional funding. If Holdings subsequently reports income, the Company would not record its share of such income until it equals the amount of its share of losses not previously recognized.</w:t>
      </w:r>
    </w:p>
    <w:p>
      <w:pPr>
        <w:pStyle w:val="TextBody"/>
        <w:bidi w:val="0"/>
        <w:spacing w:before="0" w:after="0"/>
        <w:jc w:val="left"/>
        <w:rPr/>
      </w:pPr>
      <w:r>
        <w:rPr/>
      </w:r>
    </w:p>
    <w:p>
      <w:pPr>
        <w:pStyle w:val="TextBody"/>
        <w:bidi w:val="0"/>
        <w:spacing w:lineRule="auto" w:line="288"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complies with accounting and disclosure requirements of FASB ASC Topic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xml:space="preserv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was exclusive of Class B Common Stock (while outstanding) as these shares have no economic or participating rights.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and vesting of the equity awards, exchange of the Class B units and Exchangeable Notes ("securities") only if the effect is not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On November 4, 2024, the FASB issued ASU 2024-03,</w:t>
      </w:r>
      <w:r>
        <w:rPr>
          <w:color w:val="000000"/>
        </w:rPr>
        <w:t xml:space="preserve"> </w:t>
      </w:r>
      <w:r>
        <w:rPr>
          <w:rFonts w:ascii="Times New Roman;sans-serif" w:hAnsi="Times New Roman;sans-serif"/>
          <w:b w:val="false"/>
          <w:i/>
          <w:color w:val="000000"/>
          <w:sz w:val="20"/>
        </w:rPr>
        <w:t>Income Statement—Reporting Comprehensive Income—Expense Disaggregation Disclosures (Subtopic 220-40): Disaggregation of Income Statement Expenses</w:t>
      </w:r>
      <w:r>
        <w:rPr>
          <w:rFonts w:ascii="Times New Roman;sans-serif" w:hAnsi="Times New Roman;sans-serif"/>
          <w:b w:val="false"/>
          <w:color w:val="000000"/>
          <w:sz w:val="20"/>
        </w:rPr>
        <w:t>,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all PBEs for fiscal years beginning after December 15, 2026, and interim periods within fiscal years beginning after December 15, 2027. Early adoption is permitted. The Company is still assessing the impact that the adoption of this ASU will have on the Company's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On December 2023, the FASB issued ASU 2023-09,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xml:space="preserve">, which applies to all entities subject to income taxes. For PBEs, the new requirements will be effective for annual periods beginning after December 15, 2024. For entities other than public business entities ("non-PBEs"), the requirements will be effective for annual periods beginning after December 15, 2025. The guidance will be applied on a prospective basis with the option to apply the standard retrospectively. Early adoption is permitted. The amendments in this update require that public business entities on an annual basis disclose specific categories in the rate reconciliation and provide additional information for reconciling items that meet a quantitative threshold if the effect of those reconciling items is equal to or greater than five percent of the amount computed by multiplying pretax income (or loss) by the applicable statutory income tax rate. The new guidance focuses on two specific disclosure areas: rate reconciliation and income taxes paid. The rate reconciliation disclosure requirements differ for PBEs as compared to non-PBEs. The income taxes paid disclosures are the same for all entities. The Company adopted this ASU 2023-09 on January 1, 2025. The adoption of ASU 2023-09 did not have a material impact on the Company's consolidated financial statements.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On November 27, 2023, the FASB issued ASU 2023-07, </w:t>
      </w:r>
      <w:r>
        <w:rPr>
          <w:rFonts w:ascii="Times New Roman;sans-serif" w:hAnsi="Times New Roman;sans-serif"/>
          <w:b w:val="false"/>
          <w:i/>
          <w:color w:val="000000"/>
          <w:sz w:val="20"/>
        </w:rPr>
        <w:t>Segment Reporting (Topic 280),</w:t>
      </w:r>
      <w:r>
        <w:rPr>
          <w:rFonts w:ascii="Times New Roman;sans-serif" w:hAnsi="Times New Roman;sans-serif"/>
          <w:b w:val="false"/>
          <w:color w:val="000000"/>
          <w:sz w:val="20"/>
        </w:rPr>
        <w:t>which applies to all public entities that are required to report segment information in accordance with Topic 280, Segment Reporting. The guidance will be applied retrospectively and is effective for fiscal years beginning after December 15, 2023, and interim periods within fiscal years beginning after December 15, 2024. Early adoption is permitted. The guidance improves financial reporting by requiring disclosure of incremental segment information on an annual and interim basis for all public entities to enable investors to develop more decision-useful financial analysis. The Company adopted ASU 2023-07 during the year ended December 31, 2024 and has reflected updates to its segment reporting in the Company's consolidated financial statements.</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3.INVENTORIES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Reflecting the change to equity method accounting, the major classes of inventories were as follows:</w:t>
      </w:r>
    </w:p>
    <w:tbl>
      <w:tblPr>
        <w:tblW w:w="5065" w:type="dxa"/>
        <w:jc w:val="left"/>
        <w:tblInd w:w="0" w:type="dxa"/>
        <w:tblLayout w:type="fixed"/>
        <w:tblCellMar>
          <w:top w:w="28" w:type="dxa"/>
          <w:left w:w="28" w:type="dxa"/>
          <w:bottom w:w="28" w:type="dxa"/>
          <w:right w:w="28" w:type="dxa"/>
        </w:tblCellMar>
      </w:tblPr>
      <w:tblGrid>
        <w:gridCol w:w="554"/>
        <w:gridCol w:w="486"/>
        <w:gridCol w:w="489"/>
        <w:gridCol w:w="418"/>
        <w:gridCol w:w="805"/>
        <w:gridCol w:w="216"/>
        <w:gridCol w:w="109"/>
        <w:gridCol w:w="109"/>
        <w:gridCol w:w="109"/>
        <w:gridCol w:w="344"/>
        <w:gridCol w:w="1175"/>
        <w:gridCol w:w="251"/>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4.PROPERTY AND EQUIPMENT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Reflecting the change to equity method accounting, property and equipment consist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8"/>
        <w:gridCol w:w="1062"/>
        <w:gridCol w:w="1069"/>
        <w:gridCol w:w="109"/>
        <w:gridCol w:w="109"/>
        <w:gridCol w:w="109"/>
        <w:gridCol w:w="986"/>
        <w:gridCol w:w="985"/>
        <w:gridCol w:w="959"/>
        <w:gridCol w:w="109"/>
        <w:gridCol w:w="109"/>
        <w:gridCol w:w="109"/>
        <w:gridCol w:w="383"/>
        <w:gridCol w:w="690"/>
        <w:gridCol w:w="184"/>
        <w:gridCol w:w="109"/>
        <w:gridCol w:w="109"/>
        <w:gridCol w:w="109"/>
        <w:gridCol w:w="303"/>
        <w:gridCol w:w="1112"/>
        <w:gridCol w:w="213"/>
      </w:tblGrid>
      <w:tr>
        <w:trPr/>
        <w:tc>
          <w:tcPr>
            <w:tcW w:w="127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4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5- 10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38,012 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11,711 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1- 3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2,664 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(30,824)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5. EQUITY METHOD INVESTMENT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ownership percentage in the equity method investment in Holdings was 100% and had a carrying value of $14,844 as of March 31, 2025. Prior to the execution of the Management agreement and the Company's deconsolidation of Holdings on February 28, 2025, Holdings had net liabilities of $48,208, primarily arising from advances made by Holdings to the Company. Holdings waived the collection of these advances, effectively treating them as distributions to the Company as its sole member prior to the date of deconsolidation, which resulted in an initial carrying value of $0 with respect to the Company's equity method investment in Holdings.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equity method investment in Holdings:</w:t>
      </w:r>
    </w:p>
    <w:p>
      <w:pPr>
        <w:pStyle w:val="TextBody"/>
        <w:bidi w:val="0"/>
        <w:spacing w:before="0" w:after="0"/>
        <w:ind w:left="0" w:right="0" w:firstLine="720"/>
        <w:jc w:val="left"/>
        <w:rPr/>
      </w:pPr>
      <w:r>
        <w:rPr/>
      </w:r>
    </w:p>
    <w:tbl>
      <w:tblPr>
        <w:tblW w:w="9978" w:type="dxa"/>
        <w:jc w:val="left"/>
        <w:tblInd w:w="0" w:type="dxa"/>
        <w:tblLayout w:type="fixed"/>
        <w:tblCellMar>
          <w:top w:w="28" w:type="dxa"/>
          <w:left w:w="28" w:type="dxa"/>
          <w:bottom w:w="28" w:type="dxa"/>
          <w:right w:w="28" w:type="dxa"/>
        </w:tblCellMar>
      </w:tblPr>
      <w:tblGrid>
        <w:gridCol w:w="3104"/>
        <w:gridCol w:w="2724"/>
        <w:gridCol w:w="2737"/>
        <w:gridCol w:w="109"/>
        <w:gridCol w:w="109"/>
        <w:gridCol w:w="109"/>
        <w:gridCol w:w="211"/>
        <w:gridCol w:w="721"/>
        <w:gridCol w:w="154"/>
      </w:tblGrid>
      <w:tr>
        <w:trPr/>
        <w:tc>
          <w:tcPr>
            <w:tcW w:w="3104"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equity method investment in CompoSecure Holdings, L.L.C., subsequent to the Spin-Off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Earnings in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 in CompoSecure Holdings, L.L.C.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position of Holdings is summarized in the following table:</w:t>
      </w:r>
    </w:p>
    <w:tbl>
      <w:tblPr>
        <w:tblW w:w="4901" w:type="dxa"/>
        <w:jc w:val="left"/>
        <w:tblInd w:w="0" w:type="dxa"/>
        <w:tblLayout w:type="fixed"/>
        <w:tblCellMar>
          <w:top w:w="28" w:type="dxa"/>
          <w:left w:w="28" w:type="dxa"/>
          <w:bottom w:w="28" w:type="dxa"/>
          <w:right w:w="28" w:type="dxa"/>
        </w:tblCellMar>
      </w:tblPr>
      <w:tblGrid>
        <w:gridCol w:w="1117"/>
        <w:gridCol w:w="982"/>
        <w:gridCol w:w="990"/>
        <w:gridCol w:w="109"/>
        <w:gridCol w:w="109"/>
        <w:gridCol w:w="109"/>
        <w:gridCol w:w="263"/>
        <w:gridCol w:w="1030"/>
        <w:gridCol w:w="192"/>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188,439 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236,484 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Total members'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(32,807)</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members'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of Holdings subsequent to the deconsolidation are summarized in the following table:</w:t>
      </w:r>
    </w:p>
    <w:p>
      <w:pPr>
        <w:pStyle w:val="TextBody"/>
        <w:bidi w:val="0"/>
        <w:spacing w:before="0" w:after="0"/>
        <w:jc w:val="left"/>
        <w:rPr/>
      </w:pPr>
      <w:r>
        <w:rPr/>
      </w:r>
    </w:p>
    <w:tbl>
      <w:tblPr>
        <w:tblW w:w="7887" w:type="dxa"/>
        <w:jc w:val="left"/>
        <w:tblInd w:w="0" w:type="dxa"/>
        <w:tblLayout w:type="fixed"/>
        <w:tblCellMar>
          <w:top w:w="28" w:type="dxa"/>
          <w:left w:w="28" w:type="dxa"/>
          <w:bottom w:w="28" w:type="dxa"/>
          <w:right w:w="28" w:type="dxa"/>
        </w:tblCellMar>
      </w:tblPr>
      <w:tblGrid>
        <w:gridCol w:w="1355"/>
        <w:gridCol w:w="1184"/>
        <w:gridCol w:w="1196"/>
        <w:gridCol w:w="109"/>
        <w:gridCol w:w="109"/>
        <w:gridCol w:w="109"/>
        <w:gridCol w:w="743"/>
        <w:gridCol w:w="2540"/>
        <w:gridCol w:w="542"/>
      </w:tblGrid>
      <w:tr>
        <w:trPr/>
        <w:tc>
          <w:tcPr>
            <w:tcW w:w="135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February 28, 2025 through March 31, 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44,065 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25,799 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15,722 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maximum exposure to loss as a result of its involvement with Holdings is limited to its equity method investment in Holdings.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Exchangeable 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2021, a business combination with Roman DBDR Tech Acquisition Corp. ("Roman DBDR") was completed whereby Holdings was left as the surviving company and wholly-owned subsidiary of Roman DBDR (the "Business Combination"). On April 19, 2021, concurrent with the execution of the merger agreement related to the Business Combination, the Company and its subsidiary, Holdings, entered into subscription agreements (the “Note Subscription Agreements”) with certain investors ("Notes Investors") pursuant to which such Notes Investors, severally and not jointly, purchased on December 27, 2021, the closing date of the Business Combination (the Closing Date"), the exchangeable notes issued by Holdings and guaranteed by its operating subsidiaries, CompoSecure, L.L.C. and Arculus Holdings, L.L.C., in an aggregate principal amount of up to $130,000 that were exchangeable into shares of Class A Common Stock at a conversion price of $11.50 per share (the "Exchangeable Notes"), subject to the terms and conditions of an Indenture entered into by the Company and its wholly owned subsidiary, Holdings and the trustee under the Indenture.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11, 2024, the Company paid a special cash dividend to Class A shareholders of CompoSecure, Inc., and made a corresponding distribution to Class B unitholders of Holdings. As a result of the special cash dividend and distribution, the conversion price was adjusted to $10.98 per share, which resulted in an adjustment to the exchange rate to 91.0972 shares of the Company’s Class A Common Stock per $1,000 principal amount of Notes exchanged. On September 17, 2024, the Tungsten Transactions closed, where a majority interest of the Company was acquired through privately negotiated sales. See Note 7 for additional information on the special cash dividend and sale of the majority interest.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sale of the majority interest and subsequent filing of a Schedule 13D report with the SEC by Tungsten on September 19, 2024 triggered the occurrence of a “Make-Whole Fundamental Change” (as defined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Indenture), pursuant to which the Company, on September 20, 2024, issued a Notice of Make-Whole Fundamental Change to the holders of the Exchangeable Notes to notify the holders that the exchange rate for the Exchangeable Notes has been temporarily increased from 91.0972 shares of Class A Common Stock per $1,000 principal amount of Notes to 104.5199 shares of Class A Common Stock per $1,000 principal amount of notes. This temporary increase in the exchange rate resulted in an adjustment of the conversion price to $9.57 per share from September 19, 2024 to November 29, 2024. All Exchangeable Notes were exchanged prior to November 29, 2024. An aggregate of $130,000 of the Notes were surrendered and exchanged for an aggregate of 13,587,565 newly-issued shares of Class A Common Stock.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assessed all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a derivative liability. The fair value of the optional redemption with a make-whole provision feature was determined based on the difference between the fair value of the notes with the redemption with a make-whole provision feature and the fair value of the notes without the redemption with a make-whole provision feature. The Company employed a Lattice model to determine the fair value of the derivative liability upon issuance of the Exchangeable Notes and at the end of each reporting period when the derivative liability was remeasured to its fair value. The derivative liability was written off when the Exchangeable Notes were surrendered and exchanged in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the Company recognized $2,396 of interest expense related to the Exchangeable Notes at the effective interest rate of 7.4%. The Company did not recognize any interest expense related to the Exchangeable Notes during the three months ended March 31, 2025 as all of the Exchangeable Notes were exchanged as of December 31, 2024.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2016, Holdings entered into a $120,000 credit facility (the “2016 Credit Facility”) with J.P. Morgan Chase (“JPMC”) as the lending agent that provided Holdings with a revolving credit facility with a maximum borrowing capacity of $40,000 (the “2016 Revolver”) and a term loan of $80,000 (the “2016 Term Loan”) that was scheduled to mature in July 2021. The 2016 Credit Facility was subsequently amended in July 2019, November 2020 and December 2021 (the “2021 Credit Facility”) to increase the borrowing capacity of the 2016 Revolver and the 2016 Term Loan and to extend the maturity date of the 2016 Credit Facility. The 2021 Credit Facility increased the overall borrowing capacity of the credit facility to $310,000 comprised of a revolving credit facility with a maximum borrowing capacity of $60,000 (the “2021 Revolver”) and a term loan of $250,000 (the “2021 Term Loan”). The 2021 Credit Facility was set to mature on December 16, 2025. The 2021 Credit Facility was also amended in February 2023, May 2023 and March 2024 to (i) transition the 2021 Credit Facility from bearing interest based on LIBOR to Secured Overnight Financing Rate Data ("SOFR"), (ii) to remove certain lenders who no longer wanted to participate in the 2021 Credit Facility, and (iii) to allow the Company to repurchase outstanding shares of common stock, common stock warrants and Exchangeable Notes in an aggregate amount not to exceed $40,000. The 2021 Credit Facility was accounted for as a modification and approximately $1,800 of additional costs incurred in connection with the modification were capitalized as debt issuance costs.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7, 2024, Holdings entered into a Fourth Amended and Restated Credit Agreement with JPMC (the “2024 Credit Facility” and collectively with the 2021 Credit Facility, the “Credit Facilities”) and the lenders party thereto to refinance the 2021 Credit Facility. The 2024 Credit Facility amended and restated the 2021 Credit Facility in its entirety. In conjunction with the 2024 Credit Facility, the maximum borrowing capacity of the overall credit facility was increased to $330,000 comprised of a term loan of $200,000 (the “2024 Term Loan”) and a revolving credit facility of $130,000 (the “2024 Revolver”). Two lenders who participated in the 2021 Credit Facility did not participate in the 2024 Credit Facility and transferred their debt to other lenders. The 2024 Credit Facility is set to mature on August 7, 2029. The 2024 Credit Facility was accounted for as an extinguishment for the two lenders who transferred their debt and as a modification for all other remaining lenders. As a result, Holdings wrote-off approximately $148 in unamortized debt issuance costs related to the lenders who did not participate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Credit Facility during the year ended December 31, 2024. In connection with the 2024 Credit Facility, the Company pledged its ownership interests in Holdings (representing 100% ownership) as collateral pursuant to a pledge and security agreement with the lenders.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2024 Credit Facility, Holdings incurred approximately $686 in lender fees and $147 in other third-party fees related to the 2024 Revolver and approximately $1,056 in lender fees and $225 in other third-party fees related to the 2024 Term Loan. The $1,056 of lender fees related to the 2024 Term Loan have been capitalized and these fees, along with $832 of unamortized debt issuance costs related to the 2021 Credit Facility, will be amortized into interest expense through the maturity date of the 2024 Term Loan using the effective interest method. Similarly, $686 of lender fees and $147 of other third-party fees related to the 2024 Revolver have been capitalized as an other long-term asset and will be amortized into interest expense through the maturity date of the 2024 Revolver using the straight-line method. The $225 other third-party fees related to the 2024 Term Loan were expensed as incurred during the year ended December 31,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2024, Holdings executed Amendment No. 1 to the 2024 Credit Facility (the "December 2024 Amendment") to allow the Company to facilitate the Spin-Off of Resolute Holdings. There were no changes to the lenders as a result of the December 2024 Amendment and the December 2024 Amendment was accounted for as a debt modification. In connection with the December 2024 Amendment, Holdings incurred $215 in lenders fees which were capitalized and will be amortized to interest expense through the maturity of the 2024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requires Holdings to make quarterly principal payments until maturity, at which point a balloon principal payment is due for the outstanding principal. The Credit Facility also requires Holdings to make monthly interest payments as well as pay a quarterly unused commitment fee of 0.35% for any unused portion of the revolving credit facilities. The Credit Facility permits Holdings to prepay the term loans without penalty or premium. The Credit Facility is secured by substantially all of the assets of Holdings and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revolving credit facility and the term loan are based on outstanding principal amount during the interest period multiplied by the quoted SOFR rate plus the applicable margin of 1.75% to 2.75% based on Holdings' leverage ratio. As of December 31, 2024, the effective interest rate on the 2024 Revolver and 2024 Term Loan was 6.81% per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$1,688 and $4,459 of interest expense related to the 2024 Revolver and 2024 Term Loan for the three months ended March 31, 2025 and 2024,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contain certain financial covenants including a minimum interest coverage ratio, a maximum total debt to EBITDA ratio and a minimum fixed charge coverage ratio. As of March 31, 2025 and December 31, 2024, Holdings was in compliance with all financial covenants. The fair value of the Credit Facilities approximate the carrying value for all periods presented.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there were no balances outstanding on the 2024 Revolver.</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Reflecting the change to equity method accounting, the balances payable under all borrowing facilities are as follows:</w:t>
      </w:r>
    </w:p>
    <w:p>
      <w:pPr>
        <w:pStyle w:val="TextBody"/>
        <w:bidi w:val="0"/>
        <w:spacing w:before="0" w:after="0"/>
        <w:jc w:val="left"/>
        <w:rPr/>
      </w:pPr>
      <w:r>
        <w:rPr/>
      </w:r>
    </w:p>
    <w:tbl>
      <w:tblPr>
        <w:tblW w:w="8169" w:type="dxa"/>
        <w:jc w:val="left"/>
        <w:tblInd w:w="0" w:type="dxa"/>
        <w:tblLayout w:type="fixed"/>
        <w:tblCellMar>
          <w:top w:w="28" w:type="dxa"/>
          <w:left w:w="28" w:type="dxa"/>
          <w:bottom w:w="28" w:type="dxa"/>
          <w:right w:w="28" w:type="dxa"/>
        </w:tblCellMar>
      </w:tblPr>
      <w:tblGrid>
        <w:gridCol w:w="1679"/>
        <w:gridCol w:w="1473"/>
        <w:gridCol w:w="1482"/>
        <w:gridCol w:w="418"/>
        <w:gridCol w:w="805"/>
        <w:gridCol w:w="216"/>
        <w:gridCol w:w="109"/>
        <w:gridCol w:w="109"/>
        <w:gridCol w:w="109"/>
        <w:gridCol w:w="313"/>
        <w:gridCol w:w="1228"/>
        <w:gridCol w:w="228"/>
      </w:tblGrid>
      <w:tr>
        <w:trPr/>
        <w:tc>
          <w:tcPr>
            <w:tcW w:w="167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Term loan balance</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term loan (scheduled payments)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deferred financing and discount costs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 term debt</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184,389 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hedge exposure of Holdings to variable interest rate fluctuations related to the $310,000 of borrowings under its 2021 Credit Facility, Holdings entered into two interest rate swap agreements with Bank of America on January 11, 2022, the first of which had an effective date of January 5, 2022 (the “January 2022 Swap”),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the second of which had an effective date of December 5, 2023 (the “December 2023 Swap” and, collectively with the January 2022 Swap, the “Interest Rate Swap Agreements”). The January 2022 Swap expired on December 5, 2023 while the December 2023 Swap is set to expire on December 2025. Both the January 2022 Swap and the December 2023 Swap are settled at the end of the month between the parties. The December 2023 Swap has a notional amount of $125,000 and was designated as a cash flow hedge for accounting purposes.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derivative assets related to the Interest Rate Swap Agreements are no longer reflected in the Company’s balance sheet subsequent to the deconsolidation of Holdings. Holdings determined the fair value of the Interest Rate Swap Agreements to be zero at the inception of the agreements and $2,749 as of December 31, 2024. Holdings reflects the realized gains and losses of the actual monthly settlement activity of the Interest Rate Swap Agreements through interest income or expense in its consolidated statements of operations. The Company had historically reflected the unrealized changes in fair value of the Interest Rate Swap Agreements at each reporting period in other comprehensive income, and a derivative asset or liability was recognized at each reporting period in the Company’s consolidated balance sheets for the Interest Rate Swap Agreements. Subsequent to the Spin-Off, the derivative asset or liability is no longer reflected on the Company's balance sheet due to the deconsolidation of Holdings. Interest related to the Interest Rate Swap Agreements converted from LIBOR to SOFR at the same time as the amendment of 2021 Credit Facility in February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7. EQUITY STRUCTURE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Shares Authorized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authorized a total of 250,000,000 shares for issuance designated as Class A Common Stock, 75,000,000 designated as Class B Common Stock and 10,000,000 shares designated as preferred stock. As of March 31, 2025, there were 102,317,852 shares of Class A Common Stock issued and outstanding, no shares of Class B Common Stock issued and outstanding and no shares of Preferred Stock issued and outstanding.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Issuance of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the Company issued 1,429,908 new shares of Class A Common Stock pursuant primarily to the vesting of certain restricted stock units ("RSUs"), performance and market-based stock units ("PSUs") and exercises of stock options, as well as employee stock purchase plan ("ESPP") transactions. The Class A Common Stock issued pursuant to the vesting of RSUs were issued net of shares withheld for applicable taxes.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had 21,990,079 and 22,415,179 warrants outstanding, respectively. Until the expiration date of December 27, 2026, each warrant entitles the registered holder to purchase one share of the Company’s Class A Common Stock at a price of $11.50 per share, subject to adjustment. The exercise price of the warrants was adjusted to $7.97 as the result of the spin-off of Resolute Holdings. See Note 1 for additional discussion of the Spin-Off. Pursuant to the warrant agreement, a warrant holder may exercise its warrants only for a whole number of shares.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Non-Controlling Interest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Non-controlling interest represented the direct interests held in Holdings other than by the Company. The non-controlling interest in the Company was represented by Class B Units. Since the potential cash redemptions of the non-controlling interest was outside the control of the Company, the non-controlling interest was classified as temporary equity on the consolidated balance sheet in accordance with ASC 480, </w:t>
      </w:r>
      <w:r>
        <w:rPr>
          <w:rFonts w:ascii="Times New Roman;sans-serif" w:hAnsi="Times New Roman;sans-serif"/>
          <w:b w:val="false"/>
          <w:i/>
          <w:color w:val="000000"/>
          <w:sz w:val="20"/>
        </w:rPr>
        <w:t xml:space="preserve">Distinguishing liabilities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0"/>
        <w:jc w:val="left"/>
        <w:rPr/>
      </w:pPr>
      <w:r>
        <w:rPr>
          <w:rFonts w:ascii="Times New Roman;sans-serif" w:hAnsi="Times New Roman;sans-serif"/>
          <w:b w:val="false"/>
          <w:i/>
          <w:color w:val="000000"/>
          <w:sz w:val="20"/>
        </w:rPr>
        <w:t xml:space="preserve">equity </w:t>
      </w:r>
      <w:r>
        <w:rPr>
          <w:rFonts w:ascii="Times New Roman;sans-serif" w:hAnsi="Times New Roman;sans-serif"/>
          <w:b w:val="false"/>
          <w:color w:val="000000"/>
          <w:sz w:val="20"/>
        </w:rPr>
        <w:t xml:space="preserve">("ASC 480"). Income tax benefits or provisions were applied to the income attributable to the controlling interest as the income attributable to the non-controlling interest was pass-through income.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 Company did not have a non-controlling interest as a result of the exchange of all Class B shares for Class A shares in connection with the Tungsten Transactions. The non-controlling interest was historically adjusted to redemption value at each balance sheet date and in accordance with ASC 480-10. This measurement adjustment resulted in a corresponding adjustment to shareholders’ deficit through adjustments to additional paid-in capital and retained earnings. </w:t>
      </w:r>
    </w:p>
    <w:p>
      <w:pPr>
        <w:pStyle w:val="TextBody"/>
        <w:bidi w:val="0"/>
        <w:spacing w:before="0" w:after="2"/>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8. EQUITY COMPENSATION</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included in selling, general and administrative expenses within the consolidated statements of operations:</w:t>
      </w:r>
    </w:p>
    <w:tbl>
      <w:tblPr>
        <w:tblW w:w="6070" w:type="dxa"/>
        <w:jc w:val="left"/>
        <w:tblInd w:w="0" w:type="dxa"/>
        <w:tblLayout w:type="fixed"/>
        <w:tblCellMar>
          <w:top w:w="28" w:type="dxa"/>
          <w:left w:w="28" w:type="dxa"/>
          <w:bottom w:w="28" w:type="dxa"/>
          <w:right w:w="28" w:type="dxa"/>
        </w:tblCellMar>
      </w:tblPr>
      <w:tblGrid>
        <w:gridCol w:w="1247"/>
        <w:gridCol w:w="1098"/>
        <w:gridCol w:w="1105"/>
        <w:gridCol w:w="246"/>
        <w:gridCol w:w="720"/>
        <w:gridCol w:w="127"/>
        <w:gridCol w:w="127"/>
        <w:gridCol w:w="127"/>
        <w:gridCol w:w="127"/>
        <w:gridCol w:w="246"/>
        <w:gridCol w:w="720"/>
        <w:gridCol w:w="180"/>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 expense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bookmarkStart w:id="0" w:name="iaabc0da26ca54c3c97833a02fda3b30f_4-1-1-"/>
            <w:bookmarkEnd w:id="0"/>
            <w:r>
              <w:rPr>
                <w:rFonts w:ascii="Times New Roman;sans-serif" w:hAnsi="Times New Roman;sans-serif"/>
                <w:b w:val="false"/>
                <w:color w:val="000000"/>
                <w:sz w:val="20"/>
              </w:rPr>
              <w:t>432 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of Holdings and Resolute Holdings were granted equity awards from the Company's plan. Prior to the Spin-Off and execution of the Management Agreement, the expense related to these awards was recognized as expense by the Company. Subsequent to the Spin-Off and execution of the Management Agreement, the expense related to the awards is presented as an expense at Holdings and Resolute Holdings as they are deemed to derive the benefits associated with the related expense. The increase in the Company's additional paid-in capital arising from equity awards expensed at Holdings and Resolute Holdings amounted to $1,870 and $0 during the three months ended March 31, 2025 and 2024, respectively. Subsequent to the Spin-Off, 449,775 RSUs were granted to a Resolute Holdings Employee. The awards had a grant date fair value of $13.34. As the awards were granted from the Company's plan, the related share information is reflected in this footnote. </w:t>
      </w:r>
    </w:p>
    <w:p>
      <w:pPr>
        <w:pStyle w:val="TextBody"/>
        <w:bidi w:val="0"/>
        <w:spacing w:lineRule="auto" w:line="288" w:before="0"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outstanding, Performance and Market Based Stock Units ("PSUs"), Restricted Stock Units ("RSUs") and stock options were adjusted as required by the Company's equity plan. These equity awards were adjusted to maintain equal value for award holders immediately prior to and subsequent to the Spin-Off. As the awards were considered to be an equitable adjustment, no incremental compensation cost was recognized. The incremental shares related to the Spin-Off are reflected in the below tables.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RSUs, PSUs and stock option activity under the Company's CompoSecure, Inc. 2021 Incentive Equity Plan during the three months ended March 31, 2025 is presented below:</w:t>
      </w:r>
    </w:p>
    <w:p>
      <w:pPr>
        <w:pStyle w:val="TextBody"/>
        <w:bidi w:val="0"/>
        <w:spacing w:before="120" w:after="120"/>
        <w:ind w:left="0" w:right="0" w:firstLine="72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Restricted Stock Unit Activity </w:t>
      </w:r>
    </w:p>
    <w:tbl>
      <w:tblPr>
        <w:tblW w:w="8698" w:type="dxa"/>
        <w:jc w:val="left"/>
        <w:tblInd w:w="0" w:type="dxa"/>
        <w:tblLayout w:type="fixed"/>
        <w:tblCellMar>
          <w:top w:w="28" w:type="dxa"/>
          <w:left w:w="28" w:type="dxa"/>
          <w:bottom w:w="28" w:type="dxa"/>
          <w:right w:w="28" w:type="dxa"/>
        </w:tblCellMar>
      </w:tblPr>
      <w:tblGrid>
        <w:gridCol w:w="913"/>
        <w:gridCol w:w="801"/>
        <w:gridCol w:w="806"/>
        <w:gridCol w:w="539"/>
        <w:gridCol w:w="539"/>
        <w:gridCol w:w="541"/>
        <w:gridCol w:w="981"/>
        <w:gridCol w:w="2863"/>
        <w:gridCol w:w="715"/>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455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45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2025</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6,216,661 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1,311,116 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Spin-Off Grants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783,008 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(2,362,918)</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(31,468)</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2025</w:t>
            </w:r>
          </w:p>
        </w:tc>
        <w:tc>
          <w:tcPr>
            <w:tcW w:w="10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5,916,399 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no unrecognized compensation expense for RSUs as of March 31, 2025. Of the nonvested RSUs outstanding at March 31, 2025, 1,270,610 were for Resolute employees and 4,645,789 were for Holdings employees.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Performance and Market Based Stock Units Activity</w:t>
      </w:r>
    </w:p>
    <w:p>
      <w:pPr>
        <w:pStyle w:val="TextBody"/>
        <w:bidi w:val="0"/>
        <w:spacing w:before="0" w:after="0"/>
        <w:jc w:val="left"/>
        <w:rPr/>
      </w:pPr>
      <w:r>
        <w:rPr/>
      </w:r>
    </w:p>
    <w:tbl>
      <w:tblPr>
        <w:tblW w:w="8698" w:type="dxa"/>
        <w:jc w:val="left"/>
        <w:tblInd w:w="0" w:type="dxa"/>
        <w:tblLayout w:type="fixed"/>
        <w:tblCellMar>
          <w:top w:w="28" w:type="dxa"/>
          <w:left w:w="28" w:type="dxa"/>
          <w:bottom w:w="28" w:type="dxa"/>
          <w:right w:w="28" w:type="dxa"/>
        </w:tblCellMar>
      </w:tblPr>
      <w:tblGrid>
        <w:gridCol w:w="913"/>
        <w:gridCol w:w="801"/>
        <w:gridCol w:w="806"/>
        <w:gridCol w:w="539"/>
        <w:gridCol w:w="539"/>
        <w:gridCol w:w="541"/>
        <w:gridCol w:w="1096"/>
        <w:gridCol w:w="2657"/>
        <w:gridCol w:w="806"/>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45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2025</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1,755,531 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Spin-Off Grants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297,783 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2025</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2,053,314 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unrecognized compensation expense for PSUs as of March 31, 2025. All of the nonvested PSUs outstanding at March 31, 2025 were for Holdings employees.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options activity for the three months ended March 31, 2025:</w:t>
      </w:r>
    </w:p>
    <w:tbl>
      <w:tblPr>
        <w:tblW w:w="10205" w:type="dxa"/>
        <w:jc w:val="left"/>
        <w:tblInd w:w="0" w:type="dxa"/>
        <w:tblLayout w:type="fixed"/>
        <w:tblCellMar>
          <w:top w:w="28" w:type="dxa"/>
          <w:left w:w="28" w:type="dxa"/>
          <w:bottom w:w="28" w:type="dxa"/>
          <w:right w:w="28" w:type="dxa"/>
        </w:tblCellMar>
      </w:tblPr>
      <w:tblGrid>
        <w:gridCol w:w="1167"/>
        <w:gridCol w:w="1023"/>
        <w:gridCol w:w="1030"/>
        <w:gridCol w:w="539"/>
        <w:gridCol w:w="513"/>
        <w:gridCol w:w="472"/>
        <w:gridCol w:w="109"/>
        <w:gridCol w:w="109"/>
        <w:gridCol w:w="109"/>
        <w:gridCol w:w="286"/>
        <w:gridCol w:w="835"/>
        <w:gridCol w:w="147"/>
        <w:gridCol w:w="109"/>
        <w:gridCol w:w="109"/>
        <w:gridCol w:w="109"/>
        <w:gridCol w:w="629"/>
        <w:gridCol w:w="629"/>
        <w:gridCol w:w="631"/>
        <w:gridCol w:w="109"/>
        <w:gridCol w:w="109"/>
        <w:gridCol w:w="109"/>
        <w:gridCol w:w="282"/>
        <w:gridCol w:w="826"/>
        <w:gridCol w:w="215"/>
      </w:tblGrid>
      <w:tr>
        <w:trPr/>
        <w:tc>
          <w:tcPr>
            <w:tcW w:w="116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w:t>
              <w:br/>
              <w:t xml:space="preserve">Exercise Price </w:t>
              <w:br/>
              <w:t>Per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w:t>
              <w:br/>
              <w:t xml:space="preserve">Remaining Contractual </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Aggregate </w:t>
              <w:br/>
              <w:t>Intrinsic Value</w:t>
              <w:br/>
              <w:t>(in thousands)</w:t>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2025</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2,275,671 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Spin-Off Grants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2,603,195 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March 31, 2025</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2,603,195 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2025</w:t>
            </w:r>
          </w:p>
        </w:tc>
        <w:tc>
          <w:tcPr>
            <w:tcW w:w="1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362,746 </w:t>
            </w:r>
          </w:p>
        </w:tc>
        <w:tc>
          <w:tcPr>
            <w:tcW w:w="4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Unrecognized compensation expense for options was $1,542 as of March 31, 2025 and is expected to be </w:t>
      </w:r>
      <w:r>
        <w:rPr>
          <w:rFonts w:ascii="Times New Roman;sans-serif" w:hAnsi="Times New Roman;sans-serif"/>
          <w:b w:val="false"/>
          <w:color w:val="000000"/>
          <w:sz w:val="20"/>
          <w:shd w:fill="FFFFFF" w:val="clear"/>
        </w:rPr>
        <w:t xml:space="preserve">recognized over a remaining term of </w:t>
      </w:r>
      <w:r>
        <w:rPr>
          <w:rFonts w:ascii="Times New Roman;sans-serif" w:hAnsi="Times New Roman;sans-serif"/>
          <w:b w:val="false"/>
          <w:color w:val="000000"/>
          <w:sz w:val="20"/>
        </w:rPr>
        <w:t>3.5 years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Of the vested and expected to vest options outstanding at March 31, 2025, 1,958,040 were related to Resolute employees and 362,746 were related to Holdings employees.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Earnout Consideration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equity holders of Holdings (including certain employees) have the right to receive an aggregate of up to 7,500,000 additional shares of the Company's Class A Common Stock in earnout consideration based on the achievement of certain stock price thresholds (collectively, the “Earnouts”). The Earnouts were subject to two price thresholds and require half of the shares to be awarded upon the achievement of each threshold. The Earnouts expire in two phases if the achievement thresholds are not met. The earnouts under the first phase were achieved on December 13, 2024. The second phase has not yet been achieved and expires in December 2025. A total of 657,160 shares, or 328,580 shares for each phase, were issued to employees and were accounted for in accordance with ASC 718 as they were considered to be compensation. The following is a summary of the earnout activity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tbl>
      <w:tblPr>
        <w:tblW w:w="4320" w:type="dxa"/>
        <w:jc w:val="left"/>
        <w:tblInd w:w="0" w:type="dxa"/>
        <w:tblLayout w:type="fixed"/>
        <w:tblCellMar>
          <w:top w:w="28" w:type="dxa"/>
          <w:left w:w="28" w:type="dxa"/>
          <w:bottom w:w="28" w:type="dxa"/>
          <w:right w:w="28" w:type="dxa"/>
        </w:tblCellMar>
      </w:tblPr>
      <w:tblGrid>
        <w:gridCol w:w="962"/>
        <w:gridCol w:w="844"/>
        <w:gridCol w:w="849"/>
        <w:gridCol w:w="487"/>
        <w:gridCol w:w="487"/>
        <w:gridCol w:w="691"/>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2025</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328,580 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Spin-Off Adjustment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55,737 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2025</w:t>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384,317 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9. RETIREMENT PLAN</w:t>
      </w:r>
    </w:p>
    <w:p>
      <w:pPr>
        <w:pStyle w:val="TextBody"/>
        <w:bidi w:val="0"/>
        <w:spacing w:lineRule="auto" w:line="288" w:before="0" w:after="120"/>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Defined Contribution Plan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401(k) profit sharing plan for all full-time employees who have attained the age of 21 and have completed 90 days of service. Through December 31, 2024, the Company matched 100% of the first 1% and then 50% of the next 5% of employee contributions. Retirement plan expense for the three months ended March 31, 2025 and 2024 was $563, and $591, respectively. On January 1, 2025, the Company began matching 100% of the first 3% and then 50% of the next 2% of employee contributions. </w:t>
      </w:r>
    </w:p>
    <w:p>
      <w:pPr>
        <w:pStyle w:val="TextBody"/>
        <w:bidi w:val="0"/>
        <w:spacing w:before="0" w:after="2"/>
        <w:ind w:left="0" w:right="0" w:hanging="2"/>
        <w:jc w:val="left"/>
        <w:rPr/>
      </w:pPr>
      <w:r>
        <w:rPr/>
      </w:r>
    </w:p>
    <w:p>
      <w:pPr>
        <w:pStyle w:val="TextBody"/>
        <w:bidi w:val="0"/>
        <w:spacing w:before="0" w:after="2"/>
        <w:ind w:left="0" w:right="0" w:hanging="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FAIR VALUE MEASUREMENTS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ASC 820-10, the Company evaluates assets and liabilities subject to fair value measurements on a recurring basis to determine the appropriate level at which to classify them for each reporting period. This determination requires the Company to make significant judgements.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measured at fair value on a recurring basis, consisted of the following types of instruments as of the following dates:</w:t>
      </w:r>
    </w:p>
    <w:p>
      <w:pPr>
        <w:pStyle w:val="TextBody"/>
        <w:bidi w:val="0"/>
        <w:spacing w:before="0" w:after="0"/>
        <w:jc w:val="left"/>
        <w:rPr/>
      </w:pPr>
      <w:r>
        <w:rPr/>
      </w:r>
    </w:p>
    <w:tbl>
      <w:tblPr>
        <w:tblW w:w="7675" w:type="dxa"/>
        <w:jc w:val="left"/>
        <w:tblInd w:w="0" w:type="dxa"/>
        <w:tblLayout w:type="fixed"/>
        <w:tblCellMar>
          <w:top w:w="28" w:type="dxa"/>
          <w:left w:w="28" w:type="dxa"/>
          <w:bottom w:w="28" w:type="dxa"/>
          <w:right w:w="28" w:type="dxa"/>
        </w:tblCellMar>
      </w:tblPr>
      <w:tblGrid>
        <w:gridCol w:w="947"/>
        <w:gridCol w:w="836"/>
        <w:gridCol w:w="841"/>
        <w:gridCol w:w="109"/>
        <w:gridCol w:w="109"/>
        <w:gridCol w:w="109"/>
        <w:gridCol w:w="196"/>
        <w:gridCol w:w="736"/>
        <w:gridCol w:w="109"/>
        <w:gridCol w:w="109"/>
        <w:gridCol w:w="109"/>
        <w:gridCol w:w="109"/>
        <w:gridCol w:w="196"/>
        <w:gridCol w:w="556"/>
        <w:gridCol w:w="109"/>
        <w:gridCol w:w="109"/>
        <w:gridCol w:w="109"/>
        <w:gridCol w:w="109"/>
        <w:gridCol w:w="210"/>
        <w:gridCol w:w="436"/>
        <w:gridCol w:w="109"/>
        <w:gridCol w:w="109"/>
        <w:gridCol w:w="109"/>
        <w:gridCol w:w="109"/>
        <w:gridCol w:w="196"/>
        <w:gridCol w:w="736"/>
        <w:gridCol w:w="154"/>
      </w:tblGrid>
      <w:tr>
        <w:trPr/>
        <w:tc>
          <w:tcPr>
            <w:tcW w:w="94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 Carried at 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 -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 Carried at 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 -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Derivative asset - interest rate swap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Holdings is exposed to interest rate risk on variable interest rate debt obligations. To manage interest rate risk, Holdings entered into an interest rate swap agreement on January 5, 2022. See Note 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Warrant Liability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had assumed a warrant liability related to previously issued warrants in connection with Roman DBDR's initial public offering. The warrants were accounted for as liabilities in accordance with ASC 815-40 and are presented within warrant liabilities on the consolidated balance sheets. The warrant liabilities were remeasured at March 31, 2025 with changes in fair value presented within revaluation of warrant liabilities in the consolidated statement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ending balances for the warrant liabilities remeasured at fair value:</w:t>
      </w:r>
    </w:p>
    <w:p>
      <w:pPr>
        <w:pStyle w:val="TextBody"/>
        <w:bidi w:val="0"/>
        <w:spacing w:before="0" w:after="0"/>
        <w:ind w:left="0" w:right="0" w:firstLine="720"/>
        <w:jc w:val="left"/>
        <w:rPr/>
      </w:pPr>
      <w:r>
        <w:rPr/>
      </w:r>
    </w:p>
    <w:tbl>
      <w:tblPr>
        <w:tblW w:w="5757" w:type="dxa"/>
        <w:jc w:val="left"/>
        <w:tblInd w:w="0" w:type="dxa"/>
        <w:tblLayout w:type="fixed"/>
        <w:tblCellMar>
          <w:top w:w="28" w:type="dxa"/>
          <w:left w:w="28" w:type="dxa"/>
          <w:bottom w:w="28" w:type="dxa"/>
          <w:right w:w="28" w:type="dxa"/>
        </w:tblCellMar>
      </w:tblPr>
      <w:tblGrid>
        <w:gridCol w:w="1287"/>
        <w:gridCol w:w="1130"/>
        <w:gridCol w:w="1138"/>
        <w:gridCol w:w="109"/>
        <w:gridCol w:w="109"/>
        <w:gridCol w:w="109"/>
        <w:gridCol w:w="332"/>
        <w:gridCol w:w="1301"/>
        <w:gridCol w:w="242"/>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 </w:t>
            </w:r>
            <w:r>
              <w:rPr>
                <w:rFonts w:ascii="Times New Roman;sans-serif" w:hAnsi="Times New Roman;sans-serif"/>
                <w:b/>
                <w:color w:val="000000"/>
                <w:sz w:val="20"/>
              </w:rPr>
              <w:t>Warrant Liabilities</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104,231 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84,003 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were valued using the quoted market price as the fair value as of each balance sheet date.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Earnout Consideration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Earnout consideration liabilities held by former holders of interests in Holdings (not including the holders under ASC 718) were determined to be derivative instruments in accordance with ASC 815 and were accounted as derivative liabilities. The earnout consideration liabilities were initially valued at fair value in accordance with ASC 815-40-30-1 and are subsequently remeasured at each reporting period with changes in fair value recorded in earnings in accordance with ASC 815-40-35-4. The Company established the initial fair value for the earnout consideration liabilities at the closing date on December 27, 2021 using a Monte Carlo simulation model.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ending balances for the earnout consideration liabilities remeasured at fair value:</w:t>
      </w:r>
    </w:p>
    <w:p>
      <w:pPr>
        <w:pStyle w:val="TextBody"/>
        <w:bidi w:val="0"/>
        <w:spacing w:before="0" w:after="0"/>
        <w:ind w:left="0" w:right="0" w:firstLine="720"/>
        <w:jc w:val="left"/>
        <w:rPr/>
      </w:pPr>
      <w:r>
        <w:rPr/>
      </w:r>
    </w:p>
    <w:tbl>
      <w:tblPr>
        <w:tblW w:w="7075" w:type="dxa"/>
        <w:jc w:val="left"/>
        <w:tblInd w:w="0" w:type="dxa"/>
        <w:tblLayout w:type="fixed"/>
        <w:tblCellMar>
          <w:top w:w="28" w:type="dxa"/>
          <w:left w:w="28" w:type="dxa"/>
          <w:bottom w:w="28" w:type="dxa"/>
          <w:right w:w="28" w:type="dxa"/>
        </w:tblCellMar>
      </w:tblPr>
      <w:tblGrid>
        <w:gridCol w:w="1395"/>
        <w:gridCol w:w="1225"/>
        <w:gridCol w:w="1234"/>
        <w:gridCol w:w="109"/>
        <w:gridCol w:w="109"/>
        <w:gridCol w:w="109"/>
        <w:gridCol w:w="561"/>
        <w:gridCol w:w="1920"/>
        <w:gridCol w:w="413"/>
      </w:tblGrid>
      <w:tr>
        <w:trPr/>
        <w:tc>
          <w:tcPr>
            <w:tcW w:w="13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Earnout Consideration Liability</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20,533 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earnout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determine the fair value of the earnout consideration liabilities as of March 31, 2025</w:t>
      </w:r>
    </w:p>
    <w:p>
      <w:pPr>
        <w:pStyle w:val="TextBody"/>
        <w:bidi w:val="0"/>
        <w:spacing w:before="0" w:after="0"/>
        <w:ind w:left="0" w:right="0" w:firstLine="720"/>
        <w:jc w:val="both"/>
        <w:rPr/>
      </w:pPr>
      <w:r>
        <w:rPr/>
      </w:r>
    </w:p>
    <w:tbl>
      <w:tblPr>
        <w:tblW w:w="4045" w:type="dxa"/>
        <w:jc w:val="left"/>
        <w:tblInd w:w="0" w:type="dxa"/>
        <w:tblLayout w:type="fixed"/>
        <w:tblCellMar>
          <w:top w:w="28" w:type="dxa"/>
          <w:left w:w="28" w:type="dxa"/>
          <w:bottom w:w="28" w:type="dxa"/>
          <w:right w:w="28" w:type="dxa"/>
        </w:tblCellMar>
      </w:tblPr>
      <w:tblGrid>
        <w:gridCol w:w="809"/>
        <w:gridCol w:w="710"/>
        <w:gridCol w:w="715"/>
        <w:gridCol w:w="109"/>
        <w:gridCol w:w="109"/>
        <w:gridCol w:w="109"/>
        <w:gridCol w:w="274"/>
        <w:gridCol w:w="800"/>
        <w:gridCol w:w="410"/>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date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41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41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1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years</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earnout consideration liabilities have been classified as a Level 3 liability as its valuation requires substantial judgment and estimation of factors that are not currently readily observable in the market. The expected term assumption reflected the period for which the instrument will remain outstanding. To determine volatility, the Company had used the historical closing values of comparable publicly held entities to estimate volatility. The risk-free rate reflected the U.S. Treasury yield curve for a similar expected life instrument in effect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reporting date. If different assumptions were used for the various inputs to the valuation approach, the estimated fair value could be significantly higher or lower than the fair value determined.</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11. GEOGRAPHIC INFORMATION AND CONCENTRATIONS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wholly-owned subsidiary, Holdings, is headquartered in and substantially all of its operations, including its long-lived assets, are located in the United States. Geographical revenue information based on the location of the customer follows:</w:t>
      </w:r>
    </w:p>
    <w:p>
      <w:pPr>
        <w:pStyle w:val="TextBody"/>
        <w:bidi w:val="0"/>
        <w:spacing w:before="0" w:after="0"/>
        <w:jc w:val="left"/>
        <w:rPr/>
      </w:pPr>
      <w:r>
        <w:rPr/>
      </w:r>
    </w:p>
    <w:tbl>
      <w:tblPr>
        <w:tblW w:w="4599" w:type="dxa"/>
        <w:jc w:val="left"/>
        <w:tblInd w:w="0" w:type="dxa"/>
        <w:tblLayout w:type="fixed"/>
        <w:tblCellMar>
          <w:top w:w="28" w:type="dxa"/>
          <w:left w:w="28" w:type="dxa"/>
          <w:bottom w:w="28" w:type="dxa"/>
          <w:right w:w="28" w:type="dxa"/>
        </w:tblCellMar>
      </w:tblPr>
      <w:tblGrid>
        <w:gridCol w:w="641"/>
        <w:gridCol w:w="563"/>
        <w:gridCol w:w="565"/>
        <w:gridCol w:w="233"/>
        <w:gridCol w:w="799"/>
        <w:gridCol w:w="120"/>
        <w:gridCol w:w="120"/>
        <w:gridCol w:w="120"/>
        <w:gridCol w:w="120"/>
        <w:gridCol w:w="233"/>
        <w:gridCol w:w="915"/>
        <w:gridCol w:w="170"/>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country</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3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direct customers as of March 31, 2025 consist primarily of leading international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Four customers individually accounted for more than 10% of the Company’s revenue, or 70.0% of total revenue, for the three months ended March 31, 2025. Two customers individually accounted for more than 10% of the Company’s revenue, or 73.2% of total revenue, for the three months ended March 31, 2024. Four customers individually accounted for 10% of total accounts receivable, or 70%, as of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Three individual vendors accounted for more than 10% of purchases of supplies, or approximately 31% of total purchases, for the three months ended March 31, 2025. Two individual vendors accounted for more than 10% of purchases of supplies, or approximately 31% of total purchases, for the three months ended March 31, 2024.</w:t>
      </w:r>
    </w:p>
    <w:p>
      <w:pPr>
        <w:pStyle w:val="TextBody"/>
        <w:bidi w:val="0"/>
        <w:spacing w:before="0" w:after="0"/>
        <w:jc w:val="left"/>
        <w:rPr/>
      </w:pPr>
      <w:r>
        <w:rPr/>
      </w:r>
    </w:p>
    <w:p>
      <w:pPr>
        <w:pStyle w:val="TextBody"/>
        <w:bidi w:val="0"/>
        <w:spacing w:before="0" w:after="2"/>
        <w:ind w:left="0" w:right="0" w:hanging="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12. INCOME TAXES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income tax provision of $27,004 for the three months ended March 31, 2025. The Company recorded income tax benefit of $836 for the three months ended March 31,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and local income tax returns for years prior to 2020 are no longer subject to examination by tax authorities. During the year 2024, federal tax authorities completed their audit of fiscal 2020. There were no proposed adjustments resulting from the examination.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18.60% and (5.10)% for the three months ended March 31, 2025 and March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overall effective tax rate was affected by the elimination of the Up-C structure discussed in Note 1, which resulted in the Company owning 100% of Holdings. At March 31, 2025 and December 31, 2024, the Company had $28,520 and $444 of income taxes payable, respectively. Income taxes payable are a component of accrued expenses in the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Spin-Off resulted in a taxable gain to the Company related to the distribution of appreciated property which resulted in an increase in the income tax expense.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13. EARNINGS PER SHARE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has been computed by dividing net income attributable to Class A common shareholders by the weighted average number of shares of common stock outstanding for the same period. Diluted earnings per share of Class A Common Stock was computed by dividing net income available to CompoSecure, Inc. by the weighted-average number of shares of Class A Common Stock outstanding adjusted to give effect to potentially dilutive securities.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net income used to compute basic net income per share of Class A Common Stock for the three months ended March 31, 2025 and March 31, 2024, respectively.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93"/>
        <w:gridCol w:w="2114"/>
        <w:gridCol w:w="2028"/>
        <w:gridCol w:w="109"/>
        <w:gridCol w:w="109"/>
        <w:gridCol w:w="109"/>
        <w:gridCol w:w="268"/>
        <w:gridCol w:w="918"/>
        <w:gridCol w:w="118"/>
        <w:gridCol w:w="118"/>
        <w:gridCol w:w="118"/>
        <w:gridCol w:w="118"/>
        <w:gridCol w:w="244"/>
        <w:gridCol w:w="837"/>
        <w:gridCol w:w="118"/>
        <w:gridCol w:w="109"/>
        <w:gridCol w:w="109"/>
        <w:gridCol w:w="109"/>
        <w:gridCol w:w="159"/>
      </w:tblGrid>
      <w:tr>
        <w:trPr/>
        <w:tc>
          <w:tcPr>
            <w:tcW w:w="239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Plus: adjustment due to net effect of equity awards, warrant revaluation, Exchangeable Notes and Class B units to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Common shareholders after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used in computing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102,039,611 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20,566,970 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net effect of dilutive equity awards, Exchangeable Notes and Class B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11,230,575 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75,668,499 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used in computing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113,270,186 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96,235,469 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were not included in the calculation of net income per diluted share because their effects were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tbl>
      <w:tblPr>
        <w:tblW w:w="7214"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798"/>
        <w:gridCol w:w="310"/>
        <w:gridCol w:w="310"/>
        <w:gridCol w:w="310"/>
        <w:gridCol w:w="310"/>
        <w:gridCol w:w="310"/>
        <w:gridCol w:w="798"/>
        <w:gridCol w:w="310"/>
        <w:gridCol w:w="310"/>
        <w:gridCol w:w="109"/>
        <w:gridCol w:w="109"/>
        <w:gridCol w:w="109"/>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Potentially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21,990,079 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4,386,097 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2,177,396 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2,918,984 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Tax Receivable Agreement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make payments under the tax receivable agreement to the TRA Holders. Although the actual timing and amount of any payments that may be made under the agreement will vary, the Company expects the cash obligation required will be significant. Any payments made under the tax receivable 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Company made no payment related to the tax receivable agreement liability during the quarter ended March 31, 2025. Pursuant to the Holdings agreement, the Company makes pro rata tax distributions to the holders of interests in Holdings (i.e. non-controlling interest) in an amount sufficient to fund all or part of their tax obligations with respect to the taxable income of Holdings that is allocated to them. As a result of the Tungsten Transaction, the Company became the sole member of Holdings, eliminating the requirement for further tax distributions to members other than the Co</w:t>
      </w:r>
      <w:r>
        <w:rPr>
          <w:rFonts w:ascii="Times New Roman;sans-serif" w:hAnsi="Times New Roman;sans-serif"/>
          <w:b w:val="false"/>
          <w:color w:val="000000"/>
          <w:sz w:val="20"/>
          <w:shd w:fill="FFFFFF" w:val="clear"/>
        </w:rPr>
        <w:t xml:space="preserve">mpany. </w:t>
      </w:r>
      <w:r>
        <w:rPr>
          <w:rFonts w:ascii="Times New Roman;sans-serif" w:hAnsi="Times New Roman;sans-serif"/>
          <w:b w:val="false"/>
          <w:color w:val="000000"/>
          <w:sz w:val="20"/>
        </w:rPr>
        <w:t>For the three months ended March 31, 2024, Holdings distributed a total of $13,422 of tax distributions to its members, of which $3,271 was paid to the Company, resulting in a net tax distribution to all other members of $10,151.</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the following obligations expected to be paid pursuant to the tax receivable agreement:</w:t>
      </w:r>
    </w:p>
    <w:p>
      <w:pPr>
        <w:pStyle w:val="TextBody"/>
        <w:bidi w:val="0"/>
        <w:spacing w:before="0" w:after="0"/>
        <w:ind w:left="0" w:right="0" w:firstLine="720"/>
        <w:jc w:val="left"/>
        <w:rPr/>
      </w:pPr>
      <w:r>
        <w:rPr/>
      </w:r>
    </w:p>
    <w:tbl>
      <w:tblPr>
        <w:tblW w:w="5991" w:type="dxa"/>
        <w:jc w:val="left"/>
        <w:tblInd w:w="0" w:type="dxa"/>
        <w:tblLayout w:type="fixed"/>
        <w:tblCellMar>
          <w:top w:w="28" w:type="dxa"/>
          <w:left w:w="28" w:type="dxa"/>
          <w:bottom w:w="28" w:type="dxa"/>
          <w:right w:w="28" w:type="dxa"/>
        </w:tblCellMar>
      </w:tblPr>
      <w:tblGrid>
        <w:gridCol w:w="1737"/>
        <w:gridCol w:w="1527"/>
        <w:gridCol w:w="1536"/>
        <w:gridCol w:w="211"/>
        <w:gridCol w:w="826"/>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(excluding the three months ended March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the Company's tax receivable agreement liability and future payments thereunder are expected to increase as we realize (or are deemed to realize) an increase in tax basis of Holdings’ assets resulting from any future purchases, redemptions or exchanges of Holdings' interests by holders. The Company currently expect to fund these future tax receivable agreement liability payments from some of the realized cash tax savings as a result of this increase in tax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be, from time to time, party to various disputes and claims arising from normal business activities. The Company accrues for amounts related to legal matters if it is probable that a liability has been incurred and the amount is reasonably estimable. Litigation costs are expensed as incurred.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15. SEGMENT REPORTING</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Spin-Off, the Company has one operating segment and one reportable segment, the equity method investment in CompoSecure Holdings, LLC. This is a change as of and for the year ended December 31, 2024, where the Company had two operating segments and two reportable segments: Payment Card and Arculus. Corporate, as reported below, for the quarter ended March 31, 2025 consists of the Company's corporate entity that was concluded to not be an operating segment as the entity's operations do not generate revenues and are limited to fair value adjustments related to warrants liability and earnout liability. For the quarter ended March 31, 2024, the Company's reportable segment is represented by the consolidated balance sheet and the consolidated statement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chief operating decision maker ("CODM") is the Chief Executive Officer of the Company. The CODM evaluates the performance of the equity method investment in CompoSecure Holdings, LLC primarily based on net sales, gross profit and net (loss) income and does not review discrete financial information at a level lower than consolidated Holdings. The Company does not have any intra-entity sales.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tbl>
      <w:tblPr>
        <w:tblW w:w="10205" w:type="dxa"/>
        <w:jc w:val="left"/>
        <w:tblInd w:w="0" w:type="dxa"/>
        <w:tblLayout w:type="fixed"/>
        <w:tblCellMar>
          <w:top w:w="28" w:type="dxa"/>
          <w:left w:w="28" w:type="dxa"/>
          <w:bottom w:w="28" w:type="dxa"/>
          <w:right w:w="28" w:type="dxa"/>
        </w:tblCellMar>
      </w:tblPr>
      <w:tblGrid>
        <w:gridCol w:w="979"/>
        <w:gridCol w:w="581"/>
        <w:gridCol w:w="590"/>
        <w:gridCol w:w="109"/>
        <w:gridCol w:w="109"/>
        <w:gridCol w:w="109"/>
        <w:gridCol w:w="196"/>
        <w:gridCol w:w="766"/>
        <w:gridCol w:w="109"/>
        <w:gridCol w:w="109"/>
        <w:gridCol w:w="109"/>
        <w:gridCol w:w="109"/>
        <w:gridCol w:w="431"/>
        <w:gridCol w:w="1423"/>
        <w:gridCol w:w="242"/>
        <w:gridCol w:w="109"/>
        <w:gridCol w:w="109"/>
        <w:gridCol w:w="109"/>
        <w:gridCol w:w="357"/>
        <w:gridCol w:w="1210"/>
        <w:gridCol w:w="201"/>
        <w:gridCol w:w="109"/>
        <w:gridCol w:w="109"/>
        <w:gridCol w:w="109"/>
        <w:gridCol w:w="321"/>
        <w:gridCol w:w="1232"/>
        <w:gridCol w:w="259"/>
      </w:tblGrid>
      <w:tr>
        <w:trPr/>
        <w:tc>
          <w:tcPr>
            <w:tcW w:w="9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8" w:type="dxa"/>
            <w:gridSpan w:val="21"/>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As of and for the Three Months Ended March 31, 2025</w:t>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Equity Method Investment in CompoSecure Holdings, LLC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 of Unconsolidated Affiliate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Total of CompoSecure, Inc.</w:t>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25,799 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(25,799)</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28,749 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(15,722)</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33,652 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in CompoSecure Holdings, LLC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of CompoSecure,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21,492 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203,677 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(203,677)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292,323 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(379,630)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(236,484)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(379,630)</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related to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completion of the Spin-Off, the Company and Resolute Holdings entered into a Separation and Distribution Agreement (the "Separation and Distribution Agreement") pursuant to which the Company delivered 100% of the issued and outstanding shares of Resolute Holdings’ Common Stock to the distribution agent for the Spin-Off to effectuate the delivery of the shares of Resolute Holdings’ Common Stock to the Company’s stockholders by means of a pro rata dividend. The Separation and Distribution Agreement also set out the principal actions to be taken in connection with the Spin-Off, including the transfer of assets and assumption of liabilities, and certain adjustments of existing CompoSecure awards, and establishes certain rights and obligations between Resolute Holdings and the Company following the Spin-Off, including procedures with respect to claims subject to indemnification, the exchange of information between Resolute Holdings and the Company, and tax and other matters. After the Spin-Off and execution of the Management Agreement, the Company and Resolute Holdings are under common control by Tungsten. Below is a summary of the significant agreements executed in connection with the Spin-Off.</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Resolute Holdings entered into the Management Agreement with Holdings pursuant to which Resolute Holdings is responsible for managing the day-to-day business and operations and overseeing the strategy of Holdings and its controlled affiliates. Pursuant to the Management Agreement, Holdings will pay Resolute Holdings a quarterly management fee (the “Management Fee”), payable in arrears, in a cash amount equal to 2.5% of Holdings’ last 12 months’ Adjusted EBITDA, measured for the period ending on the fiscal quarter then ended, as defined in the Management Agreement. Holdings is also required to reimburse Resolute Holdings and its affiliates for Resolute Holdings’ documented costs and expenses incurred on behalf of Holdings other than those expenses related to Resolute Holdings’ or its affiliates’ personnel who provide services to Holdings under the Management Agreement. Resolute Holdings will determine, in its sole and absolute discretion, whether a cost or expense will be borne by Resolute Holdings or by Holdings and is reflected as part of the Company's earnings in equity method investment.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Management Agreement has an initial term of 10 years and shall automatically renew for successive ten-year terms unless terminated in accordance with its terms. Resolute Holdings and Holdings may each terminate the Management Agreement upon the occurrence of certain other limited events, and in connection with certain of these limited events, Resolute Holdings has the right to require Holdings to pay a termination fee, which may be paid in cash, shares of the Company's common stock or a combination of cash and stock. The Management Agreement also provides for certain indemnification rights in Resolute Holdings’ favor, as well as certain additional covenants, representations and warranties. Holdings has not paid any Management Fees to date, and Resolute Holdings expects that Holdings will commence paying the Management Fee in the second quarter of the fiscal year ending December 31, 2025, pro rata for the first quarter of the 2025 fiscal year. The Management Fee for the period from the Spin-Off to March 31, 2025 was $1,129 and was paid by Holdings subsequent to March 31,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Tax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Resolute Holdings entered into a U.S. State and Local Tax Sharing Agreement (the “Tax Sharing Agreement”) with the Company that governs the respective rights, responsibilities, and obligations of the Company and Resolute Holdings after the Spin-Off with respect to certain state and local tax matters in jurisdictions and for taxable periods in which Resolute Holdings is required to file tax returns on a consolidated, combined, unitary or other group basis with the Company (the “Combined Returns”). Among other things, the Tax Sharing Agreement (i) allocates responsibility for the preparation and filing of the Combined Returns and the payment of taxes due in connection therewith, (ii) determines the appropriate allocation of any such tax liability between Resolute Holdings and the Company, (iii) requires compensation to be paid by the Company to Resolute Holdings to the extent the Company uses any tax attributes properly allocable to Resolute Holdings to offset taxes otherwise allocable to the Company and vice versa, (iv) allocates responsibility for the conduct of tax contests arising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tbl>
      <w:tblPr>
        <w:tblW w:w="5610" w:type="dxa"/>
        <w:jc w:val="left"/>
        <w:tblInd w:w="0" w:type="dxa"/>
        <w:tblLayout w:type="fixed"/>
        <w:tblCellMar>
          <w:top w:w="28" w:type="dxa"/>
          <w:left w:w="28" w:type="dxa"/>
          <w:bottom w:w="28" w:type="dxa"/>
          <w:right w:w="28" w:type="dxa"/>
        </w:tblCellMar>
      </w:tblPr>
      <w:tblGrid>
        <w:gridCol w:w="1795"/>
        <w:gridCol w:w="1579"/>
        <w:gridCol w:w="2236"/>
      </w:tblGrid>
      <w:tr>
        <w:trPr/>
        <w:tc>
          <w:tcPr>
            <w:tcW w:w="179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COMPOSECURE, INC. </w:t>
            </w:r>
          </w:p>
        </w:tc>
      </w:tr>
      <w:tr>
        <w:trPr/>
        <w:tc>
          <w:tcPr>
            <w:tcW w:w="56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Notes to Consolidated Financial Statements (Unaudited)</w:t>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color w:val="000000"/>
                <w:sz w:val="20"/>
              </w:rPr>
              <w:t>(amounts in thousands,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Combined Returns, and (v) ensures that the parties are aligned on cooperating and coordinating with respect to the Combined Returns.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Letter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Resolute Holdings entered into a Letter Agreement (the “Letter Agreement”) with the Company pursuant to which the Company will (i) delegate by resolution of the Company's board of directors the authority to Resolute Holdings to approve issuances of the Company's equity for mergers, acquisitions and equity awards, (ii) issue the Company's equity pursuant to those delegations, (iii) make customary representations, warranties and covenants in connection with any acquisition, business combination transaction or other transaction that is intended to qualify in whole or in part as a tax-free for U.S. federal income tax purposes, and is entered into, in each case, in accordance with the Management Agreement and (iv) make filings and deliver notices in connection with the performance of Resolute Holdings’ duties and obligations under the Management Agreement. The Letter Agreement is coterminous with the Management Agreement.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Consulting Agreements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2025, upon the completion of the Spin-Off and the transfer of his employment to Resolute Holdings, we entered into a consulting agreement with David M. Cote, under which Mr. Cote will be eligible to receive grants of restricted stock units or other equity incentive awards as determined by the Company and will remain eligible to vest in equity incentive awards previously granted by CompoSecure, in exchange for his provision of certain consulting and advisory services with respect to executing strategic corporate transactions and related activities, and such other similar services as reasonably requested by the Company. We also entered into a similar agreement with Mr. Knott.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Board Adviser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2025 and upon the completion of the Spin-Off, Roger Fradin resigned from the Company's board of directors for personal reasons and not as a result of any disagreement with management or any matter relating to the Company’s operations, policies or practices. In connection with Mr. Fradin’s resignation, the Company entered into a Board Adviser Agreement with Fradin Consulting LLC (“Fradin Consulting”) and Resolute Holdings (the “Board Adviser Agreement”), effective as of the date of Mr. Fradin’s resignation, for a period of 12 months subject to automatic renewal for 12-month periods unless earlier terminated in accordance therewith. Pursuant to the Board Adviser Agreement, Mr. Fradin, as the representative of Fradin Consulting, will provide advisory services to the Company's board of directors in exchange for which Fradin Consulting will receive an annual cash retainer fee of $50, payable quarterly in arrears, and Mr. Fradin, on behalf of Fradin Consulting, will be granted an annual award of options to purchase shares of the Company's common stock with a fair market value, as defined in the Third Amended and Restated CompoSecure, Inc. Non-Employee Director Compensation Policy, of $150.</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Liquidity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sources of liquidity are its existing cash and cash equivalents balances and funding from its wholly-owned subsidiary, Holdings. Holdings' primary sources of liquidity are its existing cash and cash equivalents balances, cash flows from operations and borrowings on its term loan and revolving credit facility. The Company’s primary cash requirements include limited operating expenses relating primarily to public company expenses such as D&amp;O insurance, professional fees, payments to taxing authorities, payments related to the tax receivable agreement and stock exchange listing fees. The Company anticipates that its operations will continue to be funded by Holdings.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ind w:left="0" w:right="0" w:hanging="2"/>
        <w:jc w:val="left"/>
        <w:rPr>
          <w:rFonts w:ascii="Times New Roman;sans-serif" w:hAnsi="Times New Roman;sans-serif"/>
          <w:b/>
          <w:color w:val="000000"/>
          <w:sz w:val="20"/>
        </w:rPr>
      </w:pPr>
      <w:r>
        <w:rPr>
          <w:rFonts w:ascii="Times New Roman;sans-serif" w:hAnsi="Times New Roman;sans-serif"/>
          <w:b/>
          <w:color w:val="000000"/>
          <w:sz w:val="20"/>
        </w:rPr>
        <w:t>17. SUBSEQUENT EVENT</w:t>
      </w:r>
    </w:p>
    <w:p>
      <w:pPr>
        <w:pStyle w:val="TextBody"/>
        <w:bidi w:val="0"/>
        <w:spacing w:before="0" w:after="2"/>
        <w:ind w:left="0" w:right="0" w:hanging="2"/>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98"/>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the Company’s financial condition and results of operations should be read in conjunction with the Company's audited consolidated financial statements and related notes thereto included in the Annual Report on Form 10-K for the year ended December 31, 2024 filed with the SEC. In addition to historical consolidated financial information,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together with its wholly owned subsidiary, CompoSecure Holdings, L.L.C. ("Holdings") and its operating subsidiaries, creates innovative, highly differentiated and customized financial payment card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2024, Resolute Holdings Management, Inc. ("Resolute Holdings") was created as a wholly owned subsidiary of to Holdings. On February 28, 2025, the Company completed the previously-announced spin-off (the "Spin-Off") of Resolute Holdings. In connection with the Spin-Off, Holdings entered into a management agreement (the "Management Agreement") pursuant to which Resolute Holdings provides management and other related services to Holdings in exchange for payment of quarterly management fees based on 2.5% of trailing twelve-month adjusted EBITDA. The Spin-Off of Resolute Holdings from the Company was achieved through the distribution of all outstanding shares of common stock, par value $0.0001 per share, of Resolute Holdings (the "Resolute Holdings Common Stock"), on a pro rata basis, to holders of record of the Company’s Class A Common Stock, par value $0.0001 per share (the “CompoSecure Common Stock”). Each holder of record of CompoSecure Common Stock received one share of Resolute Holdings Common Stock for every twelve shares of CompoSecure Common Stock held on February 20, 2025, the record date for the Spin-Off. In lieu of fractional shares of Resolute Holdings Common Stock, holders of CompoSecure Common Stock received cash.</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distribution of shares in connection with the Spin-Off constituted an Extraordinary Dividend as defined in the agreement governing the Company's outstanding warrants (the "warrant agreement"). As a result, the warrant price was decreased from $11.50 per share of CompoSecure Common Stock to $7.97 per share of CompoSecure Common Stock, and the redemption trigger price was decreased from $18.00 per share of CompoSecure Common Stock to $14.47 per share of CompoSecure Common Stock, effective as of February 28, 2025.</w:t>
      </w:r>
    </w:p>
    <w:p>
      <w:pPr>
        <w:pStyle w:val="TextBody"/>
        <w:bidi w:val="0"/>
        <w:spacing w:before="0" w:after="0"/>
        <w:jc w:val="left"/>
        <w:rPr/>
      </w:pPr>
      <w:r>
        <w:rPr/>
      </w:r>
    </w:p>
    <w:p>
      <w:pPr>
        <w:pStyle w:val="TextBody"/>
        <w:bidi w:val="0"/>
        <w:spacing w:lineRule="auto" w:line="268" w:before="0" w:after="0"/>
        <w:ind w:left="0" w:right="0" w:firstLine="72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virtue of control of the board of managers of Holdings, the Company historically operated and controlled the business and affairs of Holdings and thus consolidated Holdings. As of February 28, 2025 and subsequent to the Spin-Off and execution of the Management Agreement, control of Holdings transferred to Resolute Holdings and the Company no longer consolidates Holdings. Rather, the Company accounts for the investment in Holdings as an equity method investment. </w:t>
      </w:r>
    </w:p>
    <w:p>
      <w:pPr>
        <w:pStyle w:val="TextBody"/>
        <w:bidi w:val="0"/>
        <w:spacing w:before="0" w:after="0"/>
        <w:ind w:left="0" w:right="0" w:firstLine="724"/>
        <w:jc w:val="both"/>
        <w:rPr/>
      </w:pPr>
      <w:r>
        <w:rPr/>
      </w:r>
    </w:p>
    <w:p>
      <w:pPr>
        <w:pStyle w:val="TextBody"/>
        <w:bidi w:val="0"/>
        <w:spacing w:before="0" w:after="0"/>
        <w:ind w:left="0" w:right="0" w:firstLine="724"/>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Economic Conditions - globally and in the digital asset marketplace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and international markets, and particularly the rapidly evolving digital assets industry, are experiencing uncertain and volatile economic conditions, including the war in Ukraine, the ongoing conflict in Israel, Gaza and the surrounding areas, sustained inflation, international trade restrictions and tariffs,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a portion of the raw materials used by us to manufacture our products are obtained, directly or indirectly, from companies located outside of the United States. There is currently significant uncertainty about the future relationship between the U.S. and various other countries with respect to trade policies and tariffs. Recently, tariffs have been imposed on imports from certain countries outside of the United States. For example, the Trump administration has instituted substantial changes to U.S. foreign trade policy with respect to China and other countries, including a significant increase in tariffs on goods imported into the U.S., and has signaled possibly imposing further restrictions on international trade.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increase the costs of certain raw materials we purchase, and/or materially and adversely affect our business, financial condition and results of operations. These and future tariffs, including any retaliatory tariffs that may be imposed by other countries on U.S. exports, as well as uncertainties surrounding domestic and foreign tariffs and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Arculus platform offers a broad range of secure authentication and digital asset storage solutions and enables our consumer Arculus Cold Storage Wallet for digital assets. We believe consumers can achieve enhanced protection by controlling their private keys with a cold storage wallet, such as the Arculus Cold Storage Wallet. At the same time, this market cycle has created uncertainty in timing for our anticipated Arculus ramp up, as some of our partners and targets have been impacted. Therefore, we have been taking a measured approach to better target the timing of our investments to support near-term and long-term opportunities.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below components of results of operations primarily relate to the operations of Holdings prior to the Spin-Off and when the Company consolidated the operating results of Holdings. Subsequent to the Spin-Off, the Company's operations are limited to non-revenue generating activities such as its stock market listing, compliance with public company reporting obligations, obligations under the tax receivable agreement and the earnout consideration.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Net Sales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refers to pre-laminated sub-assemblies consisting of a composite of material layers which are partially laminated to be used as a component in the multiple layers of a final payment card or other card construction). Net sales include the effect of discounts and allowances which consist primarily of volume-based rebates.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Cost of Sales</w:t>
      </w:r>
      <w:r>
        <w:rPr>
          <w:color w:val="000000"/>
        </w:rPr>
        <w:t xml:space="preserve">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The Company’s cost of sales includes the direct and indirect costs related to manufacturing products and providing related services. Product costs include the cost of raw materials and supplies, including various metals, EMV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Gross Profit and Gross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gross profit represents its net sales less cost of sales, and its gross margin represents gross profit as a percentage of its net sales.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are comprised of selling, general, and administrative expenses, which generally consist of personnel-related expenses for its corporate, executive, finance, information technology, and other administrative functions, expenses for outside professional services, including legal, audit and accounting services, as well as expenses for facilities, depreciation, amortization, travel, sales and marketing.</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Income from Operations and Operating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operations consists of the Company’s gross profit less its operating expenses. Operating margin is income from the Company’s operations as a percentage of its net sales.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Other Expense, net</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primarily consists of changes in fair value of warrant liability, earnout consideration liability and interest expense, net of any interest income.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Earnings in CompoSecure Holdings, L.L.C. Equity Method Investment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in CompoSecure Holdings, L.L.C. Equity Method Investment consists of the net income of CompoSecure Holdings, L.L.C. attributable to the Company resulting from the Company's equity method investment in CompoSecure Holdings, L.L.C.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Net Income</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consists of the Company’s income from operations, less other expenses and income tax provision or benefit.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the Company’s Operating Results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performance and future success depend on a number of factors that present significant opportunities for us but also pose risks and challenges. Please see the factors discussed elsewhere in this Quarterly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on Form 10-Q, including those discussed in “Risk Factors” and “Cautionary Note Regarding Forward-Looking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2025 compared with Three Months Ended March 31, 2024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results of operations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5"/>
        <w:gridCol w:w="1434"/>
        <w:gridCol w:w="1380"/>
        <w:gridCol w:w="211"/>
        <w:gridCol w:w="721"/>
        <w:gridCol w:w="109"/>
        <w:gridCol w:w="109"/>
        <w:gridCol w:w="109"/>
        <w:gridCol w:w="109"/>
        <w:gridCol w:w="211"/>
        <w:gridCol w:w="826"/>
        <w:gridCol w:w="109"/>
        <w:gridCol w:w="203"/>
        <w:gridCol w:w="203"/>
        <w:gridCol w:w="109"/>
        <w:gridCol w:w="211"/>
        <w:gridCol w:w="783"/>
        <w:gridCol w:w="109"/>
        <w:gridCol w:w="109"/>
        <w:gridCol w:w="109"/>
        <w:gridCol w:w="109"/>
        <w:gridCol w:w="315"/>
        <w:gridCol w:w="316"/>
        <w:gridCol w:w="616"/>
      </w:tblGrid>
      <w:tr>
        <w:trPr/>
        <w:tc>
          <w:tcPr>
            <w:tcW w:w="168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6"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earnings in equity method investment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in equity method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redeemable non-controlling interests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CompoSecure, Inc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40"/>
        <w:jc w:val="left"/>
        <w:rPr/>
      </w:pPr>
      <w:r>
        <w:rPr/>
      </w:r>
    </w:p>
    <w:tbl>
      <w:tblPr>
        <w:tblW w:w="4372" w:type="dxa"/>
        <w:jc w:val="left"/>
        <w:tblInd w:w="0" w:type="dxa"/>
        <w:tblLayout w:type="fixed"/>
        <w:tblCellMar>
          <w:top w:w="28" w:type="dxa"/>
          <w:left w:w="28" w:type="dxa"/>
          <w:bottom w:w="28" w:type="dxa"/>
          <w:right w:w="28" w:type="dxa"/>
        </w:tblCellMar>
      </w:tblPr>
      <w:tblGrid>
        <w:gridCol w:w="559"/>
        <w:gridCol w:w="491"/>
        <w:gridCol w:w="494"/>
        <w:gridCol w:w="228"/>
        <w:gridCol w:w="228"/>
        <w:gridCol w:w="569"/>
        <w:gridCol w:w="228"/>
        <w:gridCol w:w="228"/>
        <w:gridCol w:w="228"/>
        <w:gridCol w:w="228"/>
        <w:gridCol w:w="228"/>
        <w:gridCol w:w="663"/>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6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i/>
          <w:color w:val="000000"/>
          <w:sz w:val="20"/>
        </w:rPr>
        <w:t>Net Sales</w:t>
      </w:r>
      <w:r>
        <w:rPr>
          <w:color w:val="000000"/>
        </w:rPr>
        <w:t xml:space="preserve"> </w:t>
      </w:r>
    </w:p>
    <w:tbl>
      <w:tblPr>
        <w:tblW w:w="6984" w:type="dxa"/>
        <w:jc w:val="left"/>
        <w:tblInd w:w="0" w:type="dxa"/>
        <w:tblLayout w:type="fixed"/>
        <w:tblCellMar>
          <w:top w:w="28" w:type="dxa"/>
          <w:left w:w="28" w:type="dxa"/>
          <w:bottom w:w="28" w:type="dxa"/>
          <w:right w:w="28" w:type="dxa"/>
        </w:tblCellMar>
      </w:tblPr>
      <w:tblGrid>
        <w:gridCol w:w="603"/>
        <w:gridCol w:w="528"/>
        <w:gridCol w:w="533"/>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11"/>
        <w:gridCol w:w="211"/>
        <w:gridCol w:w="61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region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sales for the three months ended March 31, 2025 decreased by $44.2 million, or 42%, to $59.8 million compared to $104.0 million for the three months ended March 31, 2024. The decrease was driven by the deconsolidation of Holdings on February 28, 2025. Holdings generated $44.1 million of net sales from February 28, 2025 to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Domestic:</w:t>
      </w:r>
      <w:r>
        <w:rPr>
          <w:color w:val="000000"/>
        </w:rPr>
        <w:t xml:space="preserve"> </w:t>
      </w:r>
      <w:r>
        <w:rPr>
          <w:rFonts w:ascii="Times New Roman;sans-serif" w:hAnsi="Times New Roman;sans-serif"/>
          <w:b w:val="false"/>
          <w:color w:val="000000"/>
          <w:sz w:val="20"/>
        </w:rPr>
        <w:t>The Company’s domestic net sales for the three months ended March 31, 2025 decreased $38.3 million, or 41%, to $54.5 million compared to $92.8 million for the three months ended March 31, 2024. Holdings generated $35.1 million of domestic net sales from February 28, 2025 to March 31, 2025.</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International:</w:t>
      </w:r>
      <w:r>
        <w:rPr>
          <w:color w:val="000000"/>
        </w:rPr>
        <w:t xml:space="preserve"> </w:t>
      </w:r>
      <w:r>
        <w:rPr>
          <w:rFonts w:ascii="Times New Roman;sans-serif" w:hAnsi="Times New Roman;sans-serif"/>
          <w:b w:val="false"/>
          <w:color w:val="000000"/>
          <w:sz w:val="20"/>
        </w:rPr>
        <w:t>The Company’s international net sales for the three months ended March 31, 2025 decreased $5.9 million , or 52%, to $5.3 million compared to $11.2 million for the three months ended March 31, 2024. The international customer base is comprised of a larger population of smaller customers relative to the domestic customer base. Holdings generated $9.0 million of international net sales from February 28, 2025 to March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gross profit for the three months ended March 31, 2025 decreased $26.5 million, or 48%, to $28.7 million compared to $55.2 million for the three months ended March 31, 2024, while the gross profit margin decreased from 53% to 48%. The decrease in gross profit was primarily driven by the deconsolidation of Holdings as a result of the Spin-Off on February 28, 2025. Holdings generated $25.8 million of gross profit from February 28, 2025 to March 31, 2025. Gross margin declined as a result of inefficiencies associated with new card constructions.</w:t>
      </w:r>
    </w:p>
    <w:p>
      <w:pPr>
        <w:pStyle w:val="TextBody"/>
        <w:bidi w:val="0"/>
        <w:spacing w:lineRule="auto" w:line="288" w:before="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for the three months ended March 31, 2025 decreased $1.4 million, or 6%, to $22.7 million compared to $24.1 million for the three months ended March 31, 2024. The decrease was driven primarily by the deconsolidation of Holdings as a result of the Spin-Off on February 28, 2025. Holdings incurred $10.1 million of operating expenses from February 28, 2025 to March 31, 2025. Additionally, costs associated with employees and professional costs at Resolute Holdings prior to the Spin-Off and costs associated with the Spin-Off offset the decrease in operating expenses related to the deconsolidation and Spin-Off.</w:t>
      </w:r>
    </w:p>
    <w:p>
      <w:pPr>
        <w:pStyle w:val="TextBody"/>
        <w:bidi w:val="0"/>
        <w:spacing w:lineRule="auto" w:line="26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Income from Operations and Operating Margin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had income from operations of $6.0 million compared to income from operations of $31.1 million for the three months ended March 31, 2024. The Company’s operating margin for the three months ended March 31, 2025 decreased to 10% compared to 30% for the three months ended March 31, 2024. The decrease in income from operations and operating margin was driven primarily by the deconsolidation of Holdings as a result of the Spin-Off on February 28, 2025. </w:t>
      </w:r>
    </w:p>
    <w:p>
      <w:pPr>
        <w:pStyle w:val="TextBody"/>
        <w:bidi w:val="0"/>
        <w:spacing w:lineRule="auto" w:line="288" w:before="24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for the three months ended March 31, 2025 was $27.6 million as compared to other expense of $14.9 million for the three months ended March 31, 2024. The change in other income (expense) was primarily due to changes in the fair value of earnout consideration liability, warrant liability and make-whole liability resulting in non-cash income of $29.2 million for the three months ended March 31, 2025, compared to an expense of $9.2 million for the three months ended March 31, 2024, as well as a decrease in net interest expense of $4.2 million resulting from the conversion of all Exchangeable Notes into shares of Class A Common Stock during the fourth quarter of 2024 and the deconsolidation of Holdings as a result of the Spin-Off on February 28, 2025. As a result of the deconsolidation, all debt and related interest was removed from the Company's financial position and results of operations. </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Earnings in CompoSecure Holdings, L.L.C. Equity Method Investment</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Earnings in CompoSecure Holdings, L.L.C. equity method investment consists of $14.8 million of net income of Holdings attributable to the Company. The equity method investment resulted from the deconsolidation associated with the Spin-Off and related Management Agreement. Refer to Note 5 in the consolidated financial statements for the results of our equity method investment.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24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income tax expense for the three months ended March 31, 2025 was $27.0 million, compared to an income tax benefit of $0.8 million for the three months ended March 31, 2024. The increase in tax expense was primarily related to the taxable gain on appreciated property resulting from the Spin-Off.</w:t>
      </w:r>
    </w:p>
    <w:p>
      <w:pPr>
        <w:pStyle w:val="TextBody"/>
        <w:bidi w:val="0"/>
        <w:spacing w:before="24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Form 10-Q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Adjusted Net Income, and non-GAAP earnings per share are useful to investors in evaluating the Company’s financial performance.</w:t>
      </w:r>
    </w:p>
    <w:p>
      <w:pPr>
        <w:pStyle w:val="TextBody"/>
        <w:bidi w:val="0"/>
        <w:spacing w:before="0" w:after="2"/>
        <w:ind w:left="0" w:right="0" w:hanging="6"/>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Spin-Off of Resolute Holdings and the related Management Agreement, and the resulting shift to equity method accounting under GAAP beginning February 28, 2025, CompoSecure is presenting a broader set of non-GAAP measures, including Net Sales and Gross Profit on a consolidated basis, to provide investors with consistent, comparable financial information that better represents the underlying performance of the business across reporting periods.</w:t>
      </w:r>
    </w:p>
    <w:p>
      <w:pPr>
        <w:pStyle w:val="TextBody"/>
        <w:bidi w:val="0"/>
        <w:spacing w:before="0" w:after="2"/>
        <w:ind w:left="0" w:right="0" w:firstLine="720"/>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these non-GAAP measures internally to establish forecasts, budgets and operational goals to manage and monitor its business, as well as evaluate its underlying historical performance and measure incentive compensation. We believe that these non-GAAP financial measures depict the true performance of the business by encompassing only relevant and controllable events, enabling the Company to evaluate and plan more effectively for the future. We believe EBITDA and Adjusted EBITDA provide valuable insight into operational efficiency independent of capital structure and tax environment; Adjusted Net Income and Adjusted EPS offer investors a clearer view of ongoing profitability by excluding non-recurring and non-operational items. Additionally, the Company’s debt agreements contain covenants based on variations of these measures for purposes of determining debt covenant compliance. The Company believes that investors should have access to the same set of tools that its management uses in analyzing operating results. </w:t>
      </w:r>
    </w:p>
    <w:p>
      <w:pPr>
        <w:pStyle w:val="TextBody"/>
        <w:bidi w:val="0"/>
        <w:spacing w:before="0" w:after="2"/>
        <w:ind w:left="0" w:right="0" w:hanging="6"/>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These non-GAAP measures may be different from similarly titled non-GAAP measures used by other companies.</w:t>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unaudited table presents the reconciliation of net income to EBITDA and Adjusted EBITDA for the three months ended March 31, 2025 and 2024.</w:t>
      </w:r>
    </w:p>
    <w:p>
      <w:pPr>
        <w:pStyle w:val="TextBody"/>
        <w:bidi w:val="0"/>
        <w:spacing w:before="0" w:after="0"/>
        <w:jc w:val="left"/>
        <w:rPr/>
      </w:pPr>
      <w:r>
        <w:rPr/>
      </w:r>
    </w:p>
    <w:tbl>
      <w:tblPr>
        <w:tblW w:w="6098" w:type="dxa"/>
        <w:jc w:val="left"/>
        <w:tblInd w:w="0" w:type="dxa"/>
        <w:tblLayout w:type="fixed"/>
        <w:tblCellMar>
          <w:top w:w="28" w:type="dxa"/>
          <w:left w:w="28" w:type="dxa"/>
          <w:bottom w:w="28" w:type="dxa"/>
          <w:right w:w="28" w:type="dxa"/>
        </w:tblCellMar>
      </w:tblPr>
      <w:tblGrid>
        <w:gridCol w:w="1181"/>
        <w:gridCol w:w="1036"/>
        <w:gridCol w:w="1052"/>
        <w:gridCol w:w="243"/>
        <w:gridCol w:w="833"/>
        <w:gridCol w:w="125"/>
        <w:gridCol w:w="125"/>
        <w:gridCol w:w="125"/>
        <w:gridCol w:w="125"/>
        <w:gridCol w:w="243"/>
        <w:gridCol w:w="833"/>
        <w:gridCol w:w="177"/>
      </w:tblGrid>
      <w:tr>
        <w:trPr/>
        <w:tc>
          <w:tcPr>
            <w:tcW w:w="1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(3)</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(1)(3)</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(3)</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adjustments, net (2)</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Spin-Off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
        <w:jc w:val="left"/>
        <w:rPr/>
      </w:pPr>
      <w:r>
        <w:rPr/>
      </w:r>
    </w:p>
    <w:p>
      <w:pPr>
        <w:pStyle w:val="TextBody"/>
        <w:bidi w:val="0"/>
        <w:spacing w:lineRule="auto" w:line="288" w:before="0" w:after="24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(1)Includes amortization of deferred financing costs for the three months ended March 31, 2025 and 2024.</w:t>
      </w:r>
    </w:p>
    <w:p>
      <w:pPr>
        <w:pStyle w:val="TextBody"/>
        <w:bidi w:val="0"/>
        <w:spacing w:lineRule="auto" w:line="288" w:before="0" w:after="2"/>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(2)Includes the changes in fair value of warrant liability, derivative liabilities and earnout consideration liability for the three months ended March 31, 2025 and 2024.</w:t>
      </w:r>
    </w:p>
    <w:p>
      <w:pPr>
        <w:pStyle w:val="TextBody"/>
        <w:bidi w:val="0"/>
        <w:spacing w:before="0" w:after="2"/>
        <w:jc w:val="left"/>
        <w:rPr/>
      </w:pPr>
      <w:r>
        <w:rPr/>
      </w:r>
    </w:p>
    <w:p>
      <w:pPr>
        <w:pStyle w:val="TextBody"/>
        <w:bidi w:val="0"/>
        <w:spacing w:lineRule="auto" w:line="288" w:before="0" w:after="2"/>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(3)The presented adjustments include amounts related to both the Company and its equity method investment in Holdings.</w:t>
      </w:r>
    </w:p>
    <w:p>
      <w:pPr>
        <w:pStyle w:val="TextBody"/>
        <w:bidi w:val="0"/>
        <w:spacing w:before="0" w:after="2"/>
        <w:jc w:val="left"/>
        <w:rPr/>
      </w:pPr>
      <w:r>
        <w:rPr/>
      </w:r>
    </w:p>
    <w:p>
      <w:pPr>
        <w:pStyle w:val="TextBody"/>
        <w:bidi w:val="0"/>
        <w:spacing w:before="0" w:after="2"/>
        <w:ind w:left="0" w:right="0" w:firstLine="720"/>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before="0" w:after="0"/>
        <w:jc w:val="left"/>
        <w:rPr/>
      </w:pPr>
      <w:r>
        <w:rPr/>
      </w:r>
    </w:p>
    <w:p>
      <w:pPr>
        <w:pStyle w:val="TextBody"/>
        <w:bidi w:val="0"/>
        <w:spacing w:before="0" w:after="2"/>
        <w:ind w:left="0" w:right="0" w:hanging="6"/>
        <w:jc w:val="left"/>
        <w:rPr/>
      </w:pPr>
      <w:r>
        <w:rPr/>
      </w:r>
    </w:p>
    <w:p>
      <w:pPr>
        <w:pStyle w:val="TextBody"/>
        <w:bidi w:val="0"/>
        <w:spacing w:lineRule="auto" w:line="288" w:before="0" w:after="2"/>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unaudited table presents the non-GAAP earnings per share and reconciliation of GAAP net income to non-GAAP adjusted net income for the periods indicated below to reflect current and deferred income tax expenses. The below presentation does not include a full tax provision. The Company applies a blended tax rate to its income before taxes and to all adjustments. Additionally, the below table includes Class B shares to eliminate the impact of the Company's historical Up-C structure. </w:t>
      </w:r>
    </w:p>
    <w:p>
      <w:pPr>
        <w:pStyle w:val="TextBody"/>
        <w:bidi w:val="0"/>
        <w:spacing w:before="0" w:after="2"/>
        <w:ind w:left="0" w:right="0" w:hanging="6"/>
        <w:jc w:val="left"/>
        <w:rPr/>
      </w:pPr>
      <w:r>
        <w:rPr/>
      </w:r>
    </w:p>
    <w:tbl>
      <w:tblPr>
        <w:tblW w:w="8668" w:type="dxa"/>
        <w:jc w:val="left"/>
        <w:tblInd w:w="0" w:type="dxa"/>
        <w:tblLayout w:type="fixed"/>
        <w:tblCellMar>
          <w:top w:w="28" w:type="dxa"/>
          <w:left w:w="28" w:type="dxa"/>
          <w:bottom w:w="28" w:type="dxa"/>
          <w:right w:w="28" w:type="dxa"/>
        </w:tblCellMar>
      </w:tblPr>
      <w:tblGrid>
        <w:gridCol w:w="2017"/>
        <w:gridCol w:w="1781"/>
        <w:gridCol w:w="1811"/>
        <w:gridCol w:w="226"/>
        <w:gridCol w:w="748"/>
        <w:gridCol w:w="126"/>
        <w:gridCol w:w="126"/>
        <w:gridCol w:w="126"/>
        <w:gridCol w:w="126"/>
        <w:gridCol w:w="226"/>
        <w:gridCol w:w="748"/>
        <w:gridCol w:w="126"/>
        <w:gridCol w:w="109"/>
        <w:gridCol w:w="109"/>
        <w:gridCol w:w="109"/>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Basic:</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(less): Provision (benefit) for income taxes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(less): mark-to-market adjustments (1)</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stock-based compensation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Spin-Off costs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before tax</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(2)</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outstanding used in computing net income per share, basic:</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and Class B common shares (3)</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per share - basic</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Diluted:</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Add: Interest on Exchangeable Notes, net of tax</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used in computing net income per share, diluted (5)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outstanding used in computing net income per share, diluted:</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(4)</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Exchangeable Notes (5)</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outstanding used in computing net income per share - diluted (5)</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115,451 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104,329 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per share - diluted</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6"/>
        <w:jc w:val="left"/>
        <w:rPr/>
      </w:pPr>
      <w:r>
        <w:rPr/>
      </w:r>
    </w:p>
    <w:p>
      <w:pPr>
        <w:pStyle w:val="TextBody"/>
        <w:bidi w:val="0"/>
        <w:spacing w:lineRule="auto" w:line="288" w:before="0" w:after="2"/>
        <w:ind w:left="0" w:right="0" w:hanging="6"/>
        <w:jc w:val="left"/>
        <w:rPr>
          <w:rFonts w:ascii="Times New Roman;sans-serif" w:hAnsi="Times New Roman;sans-serif"/>
          <w:b w:val="false"/>
          <w:i/>
          <w:color w:val="000000"/>
          <w:sz w:val="18"/>
        </w:rPr>
      </w:pPr>
      <w:r>
        <w:rPr>
          <w:rFonts w:ascii="Times New Roman;sans-serif" w:hAnsi="Times New Roman;sans-serif"/>
          <w:b w:val="false"/>
          <w:i/>
          <w:color w:val="000000"/>
          <w:sz w:val="18"/>
        </w:rPr>
        <w:t>1) Includes the changes in fair value of warrant liability, make-whole provision of Exchangeable Notes and earnout consideration liability.</w:t>
      </w:r>
    </w:p>
    <w:p>
      <w:pPr>
        <w:pStyle w:val="TextBody"/>
        <w:bidi w:val="0"/>
        <w:spacing w:lineRule="auto" w:line="288" w:before="0" w:after="2"/>
        <w:ind w:left="0" w:right="0" w:hanging="6"/>
        <w:jc w:val="left"/>
        <w:rPr/>
      </w:pPr>
      <w:r>
        <w:rPr>
          <w:rFonts w:ascii="Times New Roman;sans-serif" w:hAnsi="Times New Roman;sans-serif"/>
          <w:b w:val="false"/>
          <w:color w:val="000000"/>
          <w:sz w:val="18"/>
        </w:rPr>
        <w:t xml:space="preserve">2) </w:t>
      </w:r>
      <w:r>
        <w:rPr>
          <w:rFonts w:ascii="Times New Roman;sans-serif" w:hAnsi="Times New Roman;sans-serif"/>
          <w:b w:val="false"/>
          <w:i/>
          <w:color w:val="000000"/>
          <w:sz w:val="18"/>
        </w:rPr>
        <w:t xml:space="preserve">Reflects current and deferred income tax expenses. For the three months ended March 31, 2024 it was calculated using the Company's blended tax rate as if the Company did not have any non-controlling interest associated with its historical Up-C structure. For the three months ended March 31, 2025, it was calculated by applying the Company's blended tax rate to the presented adjustments and including the Company's provision less tax associated with a taxable gain from the distribution of appreciated property related to the Spin-Off. </w:t>
      </w:r>
    </w:p>
    <w:p>
      <w:pPr>
        <w:pStyle w:val="TextBody"/>
        <w:bidi w:val="0"/>
        <w:spacing w:lineRule="auto" w:line="288" w:before="0" w:after="2"/>
        <w:ind w:left="0" w:right="0" w:hanging="6"/>
        <w:jc w:val="left"/>
        <w:rPr>
          <w:rFonts w:ascii="Times New Roman;sans-serif" w:hAnsi="Times New Roman;sans-serif"/>
          <w:b w:val="false"/>
          <w:i/>
          <w:color w:val="000000"/>
          <w:sz w:val="18"/>
        </w:rPr>
      </w:pPr>
      <w:r>
        <w:rPr>
          <w:rFonts w:ascii="Times New Roman;sans-serif" w:hAnsi="Times New Roman;sans-serif"/>
          <w:b w:val="false"/>
          <w:i/>
          <w:color w:val="000000"/>
          <w:sz w:val="18"/>
        </w:rPr>
        <w:t>3) Assumes both Class A and Class B shares participate in earnings and are outstanding at the end of the period. There were no Class B shares outstanding as of March 31, 2025.</w:t>
      </w:r>
    </w:p>
    <w:p>
      <w:pPr>
        <w:pStyle w:val="TextBody"/>
        <w:bidi w:val="0"/>
        <w:spacing w:lineRule="auto" w:line="288" w:before="0" w:after="2"/>
        <w:ind w:left="0" w:right="0" w:hanging="6"/>
        <w:jc w:val="left"/>
        <w:rPr/>
      </w:pPr>
      <w:r>
        <w:rPr>
          <w:rFonts w:ascii="Times New Roman;sans-serif" w:hAnsi="Times New Roman;sans-serif"/>
          <w:b w:val="false"/>
          <w:i/>
          <w:color w:val="000000"/>
          <w:sz w:val="18"/>
        </w:rPr>
        <w:t>4)</w:t>
      </w:r>
      <w:r>
        <w:rPr>
          <w:color w:val="000000"/>
          <w:shd w:fill="FFFFFF" w:val="clear"/>
        </w:rPr>
        <w:t xml:space="preserve"> </w:t>
      </w:r>
      <w:r>
        <w:rPr>
          <w:rFonts w:ascii="Times New Roman;sans-serif" w:hAnsi="Times New Roman;sans-serif"/>
          <w:b w:val="false"/>
          <w:i/>
          <w:color w:val="000000"/>
          <w:sz w:val="18"/>
          <w:shd w:fill="FFFFFF" w:val="clear"/>
        </w:rPr>
        <w:t xml:space="preserve">Assumes treasury stock method, valuation at assumed fair market value of $14.47 and $18.00 for the three months ended </w:t>
      </w:r>
      <w:r>
        <w:rPr>
          <w:rFonts w:ascii="Times New Roman;sans-serif" w:hAnsi="Times New Roman;sans-serif"/>
          <w:b w:val="false"/>
          <w:i/>
          <w:color w:val="000000"/>
          <w:sz w:val="18"/>
        </w:rPr>
        <w:t>March 31, 2025 and 2024, respectively.</w:t>
      </w:r>
    </w:p>
    <w:p>
      <w:pPr>
        <w:pStyle w:val="TextBody"/>
        <w:bidi w:val="0"/>
        <w:spacing w:lineRule="auto" w:line="288" w:before="0" w:after="2"/>
        <w:ind w:left="0" w:right="0" w:hanging="6"/>
        <w:jc w:val="left"/>
        <w:rPr>
          <w:rFonts w:ascii="Times New Roman;sans-serif" w:hAnsi="Times New Roman;sans-serif"/>
          <w:b w:val="false"/>
          <w:i/>
          <w:color w:val="000000"/>
          <w:sz w:val="18"/>
        </w:rPr>
      </w:pPr>
      <w:r>
        <w:rPr>
          <w:rFonts w:ascii="Times New Roman;sans-serif" w:hAnsi="Times New Roman;sans-serif"/>
          <w:b w:val="false"/>
          <w:i/>
          <w:color w:val="000000"/>
          <w:sz w:val="18"/>
        </w:rPr>
        <w:t>5) The Exchangeable Notes were included through the application of the "if-converted" method. Interest related to the Exchangeable Notes, net of tax was excluded from net income. No Exchangeable Notes were outstanding during the three months ended March 31, 2025.</w:t>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before="0" w:after="0"/>
        <w:jc w:val="left"/>
        <w:rPr/>
      </w:pPr>
      <w:r>
        <w:rPr/>
      </w:r>
    </w:p>
    <w:p>
      <w:pPr>
        <w:pStyle w:val="TextBody"/>
        <w:bidi w:val="0"/>
        <w:spacing w:before="0" w:after="2"/>
        <w:ind w:left="0" w:right="0" w:hanging="6"/>
        <w:jc w:val="left"/>
        <w:rPr/>
      </w:pPr>
      <w:r>
        <w:rPr/>
      </w:r>
    </w:p>
    <w:p>
      <w:pPr>
        <w:pStyle w:val="TextBody"/>
        <w:bidi w:val="0"/>
        <w:spacing w:before="0" w:after="2"/>
        <w:ind w:left="0" w:right="0" w:firstLine="720"/>
        <w:jc w:val="left"/>
        <w:rPr/>
      </w:pPr>
      <w:r>
        <w:rPr/>
      </w:r>
    </w:p>
    <w:p>
      <w:pPr>
        <w:pStyle w:val="TextBody"/>
        <w:bidi w:val="0"/>
        <w:spacing w:before="0" w:after="2"/>
        <w:ind w:left="0" w:right="0" w:hanging="6"/>
        <w:jc w:val="left"/>
        <w:rPr/>
      </w:pPr>
      <w:r>
        <w:rPr/>
      </w:r>
    </w:p>
    <w:p>
      <w:pPr>
        <w:pStyle w:val="TextBody"/>
        <w:bidi w:val="0"/>
        <w:spacing w:before="0" w:after="2"/>
        <w:ind w:left="0" w:right="0" w:hanging="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Critical accounting policies are detailed in the Company’s Annual Report on Form 10-K for the year ended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Recently Adopted Accounting Policies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Note 2 of Notes to Financial Statements - unaudited in Item 1, “Financial Statements,” for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concerning recent accounting pronouncements since the filing of the Company’s Annual Report on Form 10-K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Inc's primary sources of liquidity are its existing cash and cash equivalents balances and funding from its wholly owned subsidiary, Holdings. Holdings primary sources of liquidity are its existing cash and cash equivalents balances, cash flows from operations and borrowings on its term loan and revolving credit facility. The Company’s primary cash requirements include limited operating expenses relating primarily to public company expenses such as D&amp;O insurance, professional fees, and stock exchange listing fees.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cash and cash equivalents of $9.5 million. As of December 31, 2024, the Company had cash and cash equivalents of $77.5 million and total debt principal outstanding of $197.5 million. The decrease in cash and cash equivalents and debt resulted from the adoption of equity method accounting presentation for Holdings on February 28, 2025 as a result of the Spin-Off and Management Agreement.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Holdings' cash flows from its operations and available cash and cash equivalents at March 31, 2025 of $9.5 million as well as its available $130.0 million under the 2024 Revolver, are sufficient to meet the liquidity needs of Holdings and the Company, including the repayment by Holdings of its outstanding debt, for at least the next 12 months. The Company anticipates that to the extent that Holdings requires additional liquidity, it will be funded through borrowings on its revolving credit facility, the incurrence of other indebtedness, or a combination thereof and/or offering of its shares in capital markets. The Company cannot be assured that it or Holdings will be able to obtain this additional liquidity on reasonable terms, or at all. Additionally, the liquidity of the Company and Holdings and their ability to meet their obligations and their capital requirements are also dependent on the future financial performance of Holdings, which is subject to general economic, financial and other factors that are beyond its control. Accordingly, the Company cannot be assured that Holdings will generate sufficient cash flows from operations or that future borrowings will be available from additional indebtedness or otherwise to meet the liquidity needs of the Company and Holdings. Although the Company has no specific current plans to do so, if the Company decides to pursue one or more significant acquisitions, the Company and/or Holdings may incur additional debt to finance such acquisitions.</w:t>
      </w:r>
    </w:p>
    <w:p>
      <w:pPr>
        <w:pStyle w:val="TextBody"/>
        <w:bidi w:val="0"/>
        <w:spacing w:lineRule="auto" w:line="288" w:before="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Provided by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the Company’s operating activities for the three months ended March 31, 2025 was $3.0 million as compared to cash provided by its operating activities of $33.8 million during the three months ended March 31, 2024. The decrease in cash provided by operating activities of $(30.7) million was primarily attributable to a favorable changes in mark to market fair values of $38.3 million and equity in net income of Holdings of $14.8 million. These decreases were partially offset by an increase in net income of $4.4 million and an increase in working capital of $19.6 million.</w:t>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Investing</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the Company’s investing activities for the three months ended March 31, 2025 was $60.7 million, primarily related to cash and cash equivalents that were deconsolidated as a result of the Spin-Off, compared to cash used in investing activities for the three months ended March 31, 2024 of $1.6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Financing</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the Company’s financing activities for the three months ended March 31, 2025 was $10.3 million, compared to cash used in the Company's financing activities for the three months ended March 31, 2024 of $18.2 million. Cash used in financing activities for the three months ended March 31, 2025 primarily related to $15.3 million of payments for taxes related to net share settlement of equity awards, offset by proceeds from the exercise of warrants of $4.9 million. Cash used in financing activities for the three months ended March 31, 2024 primarily related to distributions to non-controlling interest holders of $10.2 million, repayment of scheduled principal payments of the 2024 Term Loan of $4.7 million, and payments for taxes related to net share settlement of equity awards of $3.5 million. This was partially offset by proceeds of $0.1 million pursuant to the exercise of equity awards and issuance of shares for ESPP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minimum contractual obligations of the Company and Holdings relating to our material outstanding contractual commitments is included in Notes 7, 8 and 16 of our Annual Report on Form 10-K for the year ended December 31, 2024 as filed with the SEC. Our long-term contractual obligations include commitments and estimated purchase obligations entered into in the normal course of business.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Holdings is party to the 2024 Credit Facility with various banks. For more information on the 2024 Credit Facility, see "Management's Discussion and Analysis of Financial Condition and Results of Operations" and Note 6 to the Company's financial statements included in its Annual Report on Form 10-K for the fiscal year ended December 31, 2025, filed with the SEC on March 5,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24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existing cash balances and cash provided by operating activities of Holdings, Holdings uses variable rate debt to finance its operations. Holdings is exposed to interest rate risk on these debt obligations and a related interest rate swap agreement. As of March 31, 2025, Holdings had $195 million in debt outstanding under the 2024 Credit Facility, all of which was variable rate debt.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performed a sensitivity analysis based on the principal amount of Holdings debt outstanding as of March 31, 2025, as well as the effect of the Holdings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11, 2022, Holdings entered into an interest rate swap agreement to hedge forecasted interest rate payments on its variable rate debt. As of March 31, 2025, Holdings had the following interest rate swap agreements (in thousands):</w:t>
      </w:r>
    </w:p>
    <w:p>
      <w:pPr>
        <w:pStyle w:val="TextBody"/>
        <w:bidi w:val="0"/>
        <w:spacing w:before="0" w:after="0"/>
        <w:ind w:left="0" w:right="0" w:firstLine="720"/>
        <w:jc w:val="left"/>
        <w:rPr/>
      </w:pPr>
      <w:r>
        <w:rPr/>
      </w:r>
    </w:p>
    <w:tbl>
      <w:tblPr>
        <w:tblW w:w="7257" w:type="dxa"/>
        <w:jc w:val="left"/>
        <w:tblInd w:w="0" w:type="dxa"/>
        <w:tblLayout w:type="fixed"/>
        <w:tblCellMar>
          <w:top w:w="28" w:type="dxa"/>
          <w:left w:w="28" w:type="dxa"/>
          <w:bottom w:w="28" w:type="dxa"/>
          <w:right w:w="28" w:type="dxa"/>
        </w:tblCellMar>
      </w:tblPr>
      <w:tblGrid>
        <w:gridCol w:w="1410"/>
        <w:gridCol w:w="1240"/>
        <w:gridCol w:w="1249"/>
        <w:gridCol w:w="109"/>
        <w:gridCol w:w="109"/>
        <w:gridCol w:w="109"/>
        <w:gridCol w:w="287"/>
        <w:gridCol w:w="1125"/>
        <w:gridCol w:w="148"/>
        <w:gridCol w:w="109"/>
        <w:gridCol w:w="109"/>
        <w:gridCol w:w="109"/>
        <w:gridCol w:w="255"/>
        <w:gridCol w:w="256"/>
        <w:gridCol w:w="633"/>
      </w:tblGrid>
      <w:tr>
        <w:trPr/>
        <w:tc>
          <w:tcPr>
            <w:tcW w:w="14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Effective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r>
      <w:tr>
        <w:trPr/>
        <w:tc>
          <w:tcPr>
            <w:tcW w:w="3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5, 2023 through December 22,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interest rate swap agreement, Holdings receives payments based on the greater of 1-month SOFR rate or a minimum of 1.00%.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Holdings has designated the interest rate swap as a cash flow hedge for accounting purposes that was determined to be effective. Holdings reflects the unrealized changes in fair value of the interest rate swap at each reporting period in other comprehensive income and a derivative asset or liability is recognized at each reporting period in the its financial statements.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of and with the participation of our management, including our principal executive officer and principal financial officer, we conducted an evaluation of our disclosure controls and procedures as of March 31, 2025. Based on this evaluation, our principal executive officer and our principal financial officer concluded that our disclosure controls and procedures as of March 31, 2025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March 31, 2025 which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May 07, 2025, the Company was not a party to, nor were any of its properties the subject of, any material pending legal proceedings, other than ordinary routine claims incidental to the business.</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Summary of Risk Factors</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Risks Related to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Rapidly evolving domestic and global economic conditions are beyond our control and could materially adversely affect our business, operations,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retain existing customers or identify and attract new customers could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failure by us to identify, manage, integrate and complete acquisitions and other significant transactions successfully could harm our financial results, business and prospects.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Data and security breaches could compromise our systems and confidential information, cause reputational and financial damage, and increase risks of litigation, which could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System outages, data loss or other interruptions affecting our operations could adversely affect our business and reputation.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recruit, retain and develop qualified personnel, including for areas of newer specialized technology which could adversely affect our ability to grow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growth may depend upon our ability to develop and commercialize new products, and we may be unable to introduce new products and services in a timely manner.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disruption in our operations or supply chain or the performance of our suppliers and/or development partners could adversely affect our business and financial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limited experience in the digital assets industry and may not succeed in fully commercializing the products and solutions derived from the Arculus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Security markets, including the market for authentication solutions, are rapidly evolving to address increasing and challenging cyber threats, including identity theft, and the Company's Arculus Authenticate solutions may not achieve widespread market acceptance.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Production quality and manufacturing process disruptions could adversely affect our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Risks Related to the Tungsten Transaction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a controlled company following the completion of the Tungsten Transaction, and are subject to the significant influence of Tungsten, which may result in conflicts of interest and limit the governance protections available to other shareholders.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Management Agreement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reliance on Resolute Holdings for management services under the Management Agreement exposes us to risks including those related to Resolute Holdings' substantial influence over our business, operations, and strategy.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Indebtedness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indebtedness may limit our operating flexibility.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Upon the occurrence of an event of default in our credit facility, the lenders could elect to accelerate payments due and terminate all commitments to extend further credit.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debt outstanding under the Company's existing credit facility has a variable rate of interest that is currently based on the Secured Overnight Financing Rate (“SOFR”). These rates may have consequences that cannot be reasonably predicted and may increase the Company's cost of borrowing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the ownership of our Securities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only significant asset is our ownership of Holdings. If the business of Holdings is not profitably operated, Holdings may be unable to make distributions to enable us to satisfy our financial obligations.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Provisions in our charter (the "Charter") and Delaware law may inhibit a takeover of us, which could limit the price investors might be willing to pay in the future for our common stock and could entrench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As an “emerging growth company,” we cannot be certain if the reduced disclosure requirements applicable to “emerging growth companies” will make our common stock less attractive to investors.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our performance does not meet market expectations, the price of our securities may decline.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warrants, each of which entitles the registered holder to purchase one share of the Company’s Class A Common Stock at a price of $7.97 per share (as adjusted effective February 28, 2025) (the "Warrants") may not remain in the money, and they may expire worthless.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w:t>
      </w:r>
      <w:r>
        <w:rPr>
          <w:color w:val="000000"/>
        </w:rPr>
        <w:t xml:space="preserve"> </w:t>
      </w:r>
      <w:r>
        <w:rPr>
          <w:rFonts w:ascii="Times New Roman;sans-serif" w:hAnsi="Times New Roman;sans-serif"/>
          <w:b w:val="false"/>
          <w:i/>
          <w:color w:val="000000"/>
          <w:sz w:val="20"/>
        </w:rPr>
        <w:t>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Rapidly evolving domestic and global economic conditions are beyond our control and could materially adversely affect our business, operations,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and international markets and, in particular, the rapidly evolving digital assets industry, are experiencing uncertain and volatile economic conditions, including from the after-effects of the COVID-19 pandemic, the war in Ukraine, the conflict in Israel, Gaza and the surrounding areas,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Arculus products and services. If these uncertain business, macroeconomic or political conditions continue or further decline, our business, financial condition and results of operations could be materially adversely affected.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sustain our revenue growth rate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continue to achieve sales growth in the future and you should not consider our sales growth in fiscal 2024 as indicative of future performance. It is also possible that our growth rate may slow in future periods due to a number of factors, which may include slowing demand for our products, increased competition, decreasing growth of the overall market, or inability to engage and retain customers. If we are unable to maintain consistent sales or continue our sales growth, it may be difficult for us to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Failure to retain existing customers or identify and attract new customers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two largest customers are JPMorgan Chase and American Express. Together, these customers represented approximately 63% and 71% of our net sales for the years ended December 31, 2024 and 2023, respectively.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relationships with our customers or attract new customers may be affected by several factors beyond our control, including more attractive product offerings from our competitors, widespread industry disruptions (such as adverse crypto market disruptions, adoption or enactment of new legislation or agency rules and the outcomes of regulatory enforcement actions and other major litigation),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Any failure by us to identify, manage, integrate and complete acquisitions and other significant transactions successfully could harm our financial results, business and prospects.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may from time to time seek to acquire businesses or interests in businesses, including non-controlling interests, or form joint ventures or create strategic alliances. The due diligence we undertake with respect to potential targets may not reveal or highlight all relevant facts that are necessary or helpful in evaluating the potential target, and we will incur expenses in connection with performing such due diligence whether or not an acquisition is ultimately completed. Whether we realize the anticipated benefits from such activities may depend, in part, upon the successful integration between the businesses involved, the performance and development of the underlying products, capabilities or technologies, our correct assessment of assumed liabilities and the management of the operations. Accordingly, our financial results could be adversely affected by unanticipated performance and liability issues, our failure to achieve synergies and other benefits we expected to obtain, transaction-related charges, amortization related to intangibles, and charges for impairment of long-term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realize the expected synergies and benefits of an acquisition may be subject to, among other things, our ability to complete the timely integration of operations and systems, standards, controls, procedures, policies and technologies, difficulties in achieving anticipated cost savings, synergies, business opportunities and growth prospects from the combination, and difficulties in managing the expanded operations of a significantly larger and more complex combined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Data and security breaches could compromise our systems and confidential information, cause reputational and financial damage, and increase risks of litigation, which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penalties from regulatory or governmental authorities, cause a loss of customers, pose increased risks of lawsuits and subject us to potential financial losses.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it is possible that unauthorized access to sensitive customer and business data may be obtained through inadequate use of security controls by our customers, suppliers or other vendors.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System outages, data loss or other interruptions affecting our operations could adversely affect our business and reputation.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Disruptions at our primary production facility may adversely affect our business, results of operations and/or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revenues.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an alternative supply of metal cards. Any such production disruptions could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For example, we have historically focused on the payment card industry, but we are a new entrant into the digital assets industry.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recent widespread disruptions in the digital asset industry, that could delay or prevent the successful research and development, marketing launches and consumer deployment of such newly designed products, whereby we could incur significant additional cost and expense. If the products and solutions derived from the Arculus platform fail to gain market acceptance, our ability to achieve future growth could be significantly impaired. In addition, competitors may develop and commercialize competing products faster and more efficiently than we are able to do so, which could further negatively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develop and implement new processes for the manufacture or offer of new products or services;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 disruption in our operations or supply chain or the performance of our suppliers, liquidity partners and/or development partners could adversely affect our business and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chips and EMV chips, which we source from several key suppliers. We obtain our 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partner with third-party providers to offer certain Arculus-related services to our customers. If any of these third parties experiences operational interference or disruptions, fails to perform its obligations and meet our expectations, experiences a cybersecurity incident, fails to comply with applicable regulatory and/or licensing requirements which may evolve over time, or is subject to regulatory enforcement proceedings concerning their operations, the operations of the Arculus solutions could be disrupted or otherwise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Security markets, including the market for authentication solutions, are rapidly evolving to address increasing and challenging cyber threats, including identity theft, and the Company's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markets are experiencing significant and fast-paced technological change, evolving industry standards and customer needs. The Company's Arculus Authenticate solutions represent a new and innovative approach to identity protection, and may not achieve widespread market acceptance. Other methods, technologies, products or services may offer similar or better authentication solutions than our hardware authentication solutions. If the Company is unable to adapt to such changes, our ability to compete effectively may be adversely impacted, which could have a negative effect on our business, financial condition or results of operations. In addition, there is a risk that the Arculus Authenticate solutions may not provide protection against all or a sufficient amount of the ever-changing security vulnerabilities, exploits or cyber attacks. Internal and external factors, including possible defects in the Company’s products, or system failures in services provided by third parties for use with Arculus Authenticate solutions, could cause the Company’s products and/or services to become vulnerable to security attacks which could result in the loss of identity protection for businesses and consumers. As the Arculus Authenticate solutions include hardware tokens which are expected to be replaced from time to time as needed (similar to payment cards), the Company does not intend to provide remote updates or upgrades to its hardware products. There is, therefore, a risk that the Company’s hardware authentication products could become ineffective against evolving cybersecurity threats. Any such developments, real or perceived, may have a negative impact on our reputation, which could have a negative effect upon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 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Regulatory changes or actions may restrict the use of the Arculus Cold Storage Wallet or digital assets in a manner that adversely affects our business, prospects or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uncertainty surrounding the digital asset environment, and the regulatory classification of such digital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digital assets have grown in both popularity and market size, the regulatory approach by governments worldwide has varied significantly, with some deeming them illegal and others permitting their use and trade under specified conditions. Currently, there is no uniformly applicable legal or regulatory regime governing digital assets in most jurisdictions, including in the 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of adverse market events, such as bankruptcies of prominent digital asset entities (like the FTX bankruptcy), may increase regulatory scrutiny and may prompt new compliance requirements that could adversely affect our ability to develop and offer digital asset-related services and products, such as the Arculus Cold Storage Wallet, or impose significant costs on the Company. </w:t>
      </w:r>
    </w:p>
    <w:p>
      <w:pPr>
        <w:pStyle w:val="TextBody"/>
        <w:bidi w:val="0"/>
        <w:spacing w:before="0" w:after="0"/>
        <w:jc w:val="left"/>
        <w:rPr/>
      </w:pPr>
      <w:r>
        <w:rPr/>
      </w:r>
    </w:p>
    <w:p>
      <w:pPr>
        <w:pStyle w:val="TextBody"/>
        <w:bidi w:val="0"/>
        <w:spacing w:lineRule="auto" w:line="268" w:before="0" w:after="0"/>
        <w:ind w:left="0" w:right="0" w:firstLine="50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 legal and regulatory landscape applicable to digital assets remains uncertain, with overlapping authority existing between and among various U.S. federal agencies, including the CFTC and SEC. This regulatory overlap contributes to ongoing legal and regulatory ambiguity, particularly concerning whether and, if so, when certain transactions in digital assets constitute transactions in securities. </w:t>
      </w:r>
    </w:p>
    <w:p>
      <w:pPr>
        <w:pStyle w:val="TextBody"/>
        <w:bidi w:val="0"/>
        <w:spacing w:before="0" w:after="0"/>
        <w:jc w:val="left"/>
        <w:rPr/>
      </w:pPr>
      <w:r>
        <w:rPr/>
      </w:r>
    </w:p>
    <w:p>
      <w:pPr>
        <w:pStyle w:val="TextBody"/>
        <w:bidi w:val="0"/>
        <w:spacing w:lineRule="auto" w:line="268" w:before="0" w:after="0"/>
        <w:ind w:left="0" w:right="0" w:firstLine="509"/>
        <w:jc w:val="left"/>
        <w:rPr>
          <w:rFonts w:ascii="Times New Roman;sans-serif" w:hAnsi="Times New Roman;sans-serif"/>
          <w:b w:val="false"/>
          <w:color w:val="000000"/>
          <w:sz w:val="20"/>
        </w:rPr>
      </w:pPr>
      <w:r>
        <w:rPr>
          <w:rFonts w:ascii="Times New Roman;sans-serif" w:hAnsi="Times New Roman;sans-serif"/>
          <w:b w:val="false"/>
          <w:color w:val="000000"/>
          <w:sz w:val="20"/>
        </w:rPr>
        <w:t>U.S. regulators, courts and lawmakers alike are grappling with these questions, and the legal landscape remains uncertain.</w:t>
      </w:r>
    </w:p>
    <w:p>
      <w:pPr>
        <w:pStyle w:val="TextBody"/>
        <w:bidi w:val="0"/>
        <w:spacing w:before="0" w:after="0"/>
        <w:jc w:val="left"/>
        <w:rPr/>
      </w:pPr>
      <w:r>
        <w:rPr/>
      </w:r>
    </w:p>
    <w:p>
      <w:pPr>
        <w:pStyle w:val="TextBody"/>
        <w:bidi w:val="0"/>
        <w:spacing w:lineRule="auto" w:line="268" w:before="0" w:after="0"/>
        <w:ind w:left="0" w:right="0" w:firstLine="509"/>
        <w:jc w:val="left"/>
        <w:rPr>
          <w:rFonts w:ascii="Times New Roman;sans-serif" w:hAnsi="Times New Roman;sans-serif"/>
          <w:b w:val="false"/>
          <w:color w:val="000000"/>
          <w:sz w:val="20"/>
        </w:rPr>
      </w:pPr>
      <w:r>
        <w:rPr>
          <w:rFonts w:ascii="Times New Roman;sans-serif" w:hAnsi="Times New Roman;sans-serif"/>
          <w:b w:val="false"/>
          <w:color w:val="000000"/>
          <w:sz w:val="20"/>
        </w:rPr>
        <w:t>While the SEC has brought multiple enforcement actions against digital asset projects, including trading platforms that the SEC believes were operating, among other things, as unregistered exchanges, thus far, such cases have not provided any additional clarity in the U.S. with respect to the regulation of digital assets, including questions concerning the very application of the U.S. federal securities laws to digital assets and digital asset-related activities, including in the secondary trading market. Several of such recent SEC enforcement actions have been court cases, and to the extent that courts have rendered opinions concerning any such enforcement actions, those opinions, and the reasoning in support of them, have not necessarily been consistent with one another. In addition, although the SEC recently has agreed to dismiss or otherwise pause several high-profile digital asset-related enforcement actions, in addition to closing certain previously announced investigations, this shift in approach has not resolved uncertainty concerning the application of the U.S. federal securities laws to digital assets and digital asset market participants.</w:t>
      </w:r>
    </w:p>
    <w:p>
      <w:pPr>
        <w:pStyle w:val="TextBody"/>
        <w:bidi w:val="0"/>
        <w:spacing w:before="0" w:after="0"/>
        <w:jc w:val="left"/>
        <w:rPr/>
      </w:pPr>
      <w:r>
        <w:rPr/>
      </w:r>
    </w:p>
    <w:p>
      <w:pPr>
        <w:pStyle w:val="TextBody"/>
        <w:bidi w:val="0"/>
        <w:spacing w:lineRule="auto" w:line="259" w:before="0" w:after="0"/>
        <w:ind w:left="0" w:right="0" w:firstLine="509"/>
        <w:jc w:val="left"/>
        <w:rPr>
          <w:rFonts w:ascii="Times New Roman;sans-serif" w:hAnsi="Times New Roman;sans-serif"/>
          <w:b w:val="false"/>
          <w:color w:val="000000"/>
          <w:sz w:val="20"/>
        </w:rPr>
      </w:pPr>
      <w:r>
        <w:rPr>
          <w:rFonts w:ascii="Times New Roman;sans-serif" w:hAnsi="Times New Roman;sans-serif"/>
          <w:b w:val="false"/>
          <w:color w:val="000000"/>
          <w:sz w:val="20"/>
        </w:rPr>
        <w:t>While actions taken by President Trump and certain U.S. federal regulators following Trump's January 2025 inauguration have appeared to signal the beginning of a much more favorable U.S. governmental approach to digital assets, legal and regulatory uncertainty remains, including concerning the regulatory characterization and treatment of various digital asset-related products, services, platforms, markets and activities, including NFTs, decentralized finance (“DeFi”) and decentralized autonomous organizations (“DAOs”), all of which have drawn regulatory attention in recent years.</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as a result of actions by private plaintiffs and regulators alike, under various theories of liability, among other things, DAOs have been characterized by certain plaintiffs as unincorporated associations or general partnerships, with some plaintiffs asserting that liability should be assigned to participants in DAO governance, while others have sought to establish joint and several liability for DAO members generally, including on negligence theories of liability. The terms “DeFi” and “DAO” may be interpreted broadly to encompass a wide variety of projects, services and participants, and if a regulator or private plaintiff were to claim that Arculus is deemed to have participated in or facilitated DeFi- or DAO-related activities that were in violation of applicable law, there may be significant associated risks, including the potential for joint and several liability.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U.S. regulatory questions before the courts, multiple Congressional digital asset-related bills have been published, including some with a focus on digital asset market structure. While multiple bills describe joint oversight by the SEC and CFTC over the digital assets markets and focus on market structure, at this time, it is unclear whether any of these bills ultimately will become law. </w:t>
      </w:r>
    </w:p>
    <w:p>
      <w:pPr>
        <w:pStyle w:val="TextBody"/>
        <w:bidi w:val="0"/>
        <w:spacing w:before="0" w:after="0"/>
        <w:jc w:val="left"/>
        <w:rPr/>
      </w:pPr>
      <w:r>
        <w:rPr/>
      </w:r>
    </w:p>
    <w:p>
      <w:pPr>
        <w:pStyle w:val="TextBody"/>
        <w:bidi w:val="0"/>
        <w:spacing w:lineRule="auto" w:line="28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given recent geopolitical conflict and instability, certain U.S. legislators and regulators have signaled heightened concerns about national security and the importance of “know your customer” (“KYC”), anti-money laundering (“AML”), counter financing of terrorism (“CFT”) and sanctions checks and compliance, including concerns about potential use by certain terrorist groups of digital assets to fund their operations or evade U.S. sanctions. In addition to the introduction of potential digital asset-focused legislation in Congress aimed at addressing such concerns, regulators have focused on enforcement. In 2022 and 2023, OFAC sanctioned digital assets market participants alleged to have supported sanctioned countries and/or terrorist operations, and, in 2023, the U.S. Treasury’s FinCEN, pursuant to seldom-used powers granted to it under Section 311 of the USA PATRIOT Act, designated an entire class of transactions, namely transactions associated with digital asset mixers, as being of primary money laundering concern. At present, as a result of litigation concerning the virtual currency mixer known as Tornado Cash, uncertainty exists concerning the ability of OFAC to impose sanctions in the digital asset space, particularly in the case of immutable smart contracts. </w:t>
      </w:r>
    </w:p>
    <w:p>
      <w:pPr>
        <w:pStyle w:val="TextBody"/>
        <w:bidi w:val="0"/>
        <w:spacing w:before="0" w:after="0"/>
        <w:jc w:val="left"/>
        <w:rPr/>
      </w:pPr>
      <w:r>
        <w:rPr/>
      </w:r>
    </w:p>
    <w:p>
      <w:pPr>
        <w:pStyle w:val="TextBody"/>
        <w:bidi w:val="0"/>
        <w:spacing w:lineRule="auto" w:line="285"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 Treasury, the IRS and other agencies also continue to propose new rules and guidance applicable to digital assets, such as regulations on tax information reporting and withholding obligations. In December 2024, the U.S. Treasury finalized a rule requiring digital asset brokers, including non-custodial brokers, to report additional user information, although such rule is the subject of ongoing litigation.</w:t>
      </w:r>
    </w:p>
    <w:p>
      <w:pPr>
        <w:pStyle w:val="TextBody"/>
        <w:bidi w:val="0"/>
        <w:spacing w:before="0" w:after="0"/>
        <w:jc w:val="left"/>
        <w:rPr/>
      </w:pPr>
      <w:r>
        <w:rPr/>
      </w:r>
    </w:p>
    <w:p>
      <w:pPr>
        <w:pStyle w:val="TextBody"/>
        <w:bidi w:val="0"/>
        <w:spacing w:lineRule="auto" w:line="259" w:before="0" w:after="0"/>
        <w:ind w:left="0" w:right="0" w:firstLine="50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a lack of clarity at the U.S. federal level, the various U.S. states and the District of Columbia take a variety of differing approaches to digital asset regulation and legislation, which may not be consistent with the positions of other U.S. states or other jurisdictions, or with the U.S. federal government’s approach. For that reason, even if the U.S. federal government under the Trump administration takes a more crypto-friendly stance to digital asset regulations, that does not necessarily mean that U.S. states or other jurisdictions will adopt a consistent or similar approach.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sum, the U.S. federal regulators and courts, and various U.S. state and non-U.S. regulators, are still developing their frameworks for regulating digital assets. If we are found to have supported purchase and swap transactions in the Arculus Cold Storage Wallet for digital assets which subsequently are determined to be securities, it is possible that we could be viewed as inadvertently acting as an unlicensed broker-dealer which could subject us to, among other things, regulatory enforcement actions, censure, monetary fines, restrictions on the conduct of our Arculus activities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a particular digital asset’s - or a transaction in a digital asset's - status as a “security” or other regulatory investment or the treatment of digital currency for tax purposes, in any relevant jurisdiction is subject to a high degree of uncertainty and potential inconsistency across regulatory regimes, and if we are unable to properly characterize a digital asset (or transaction in a digital asset) or assess our tax treatment, we may be subject to regulatory scrutiny, investigations, fines, and other penalties, which may adversely affect our business, operating results, and financial condition.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determine whether a particular digital asset is a security (or whether transactions in such digital assets would constitute offers or sales of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of a security.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Arculus Cold Storage Wallet may facilitate purchase and swap transactions in digital assets that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Cold Storage Wallet supports purchase and swap transactions in any digital assets that are deemed to be securities under any of the laws of the U.S. or another jurisdiction, or in a proceeding in a court of law or otherwise, it may have adverse consequences. To counter such risks, we may have to remove Arculus Cold Storage Wallet support for purchase and swap transactions in certain digital assets if and when such digital assets (or transactions in such digital assets) are designated as securities, which could hurt sales of our Arculus products and services. Alternatively, we may be required to partner with third-party registered securities broker/dealers to facilitate securities trading by Arculus customers, and we may be unsuccessful in efforts to establish such a partnership.</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do not currently intend to effect or otherwise facilitate trading in securities by our Arculus customers through the use of our Arculus Cold Storage Wallet if such activities would require the use of a registered broker-dealer or investment adviser. Despite implementing policies and procedures to monitor compliance with relevant laws, with a goal of ensuring that our Arculus activities do not result in us inadvertently acting as an unregistered broker-dealer or investment advisor, we cannot assure that these measures will be completely effective. Should regulators challenge our stance regarding our non-obligations under various securities regulations, this could have a material and adverse impact on our operations. If we are found by relevant regulatory agencies to have inadvertently acted as an unregistered broker-dealer with respect to purchase and swap transactions in particular digital assets, we would expect to immediately cease supporting purchase and swap transactions in those digital assets unless and until either the digital asset at issue (or transaction in such digital asset)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activities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storage and peer-to-peer/send &amp; receive functionality provided by the Arculus Cold Storage Wallet does not involve any purchase, sale or other transaction effected by us (or any party other than the sender and the recipient). Further, we are not compensated for such user-directed activities. However, regulators may determine that user-directed peer-to-peer transfers using the Arculus Cold Storage Wallet, or other Arculus-related activities would require registration and compliance with broker-dealer and/or securities exchange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Risks of Operating as an Unregistered Exchange or as Part of an Unregistered Exchange Mechanism</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venue that brings together purchasers and sellers of digital assets, where such digital assets or transactions in such digital assets are characterized as securities under the U.S. federal securities laws is generally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digital assets that become subject to characterization as securities and due to operation of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digital assets or otherwise limit or modify Arculus Cold Storage Wallet functionality or access.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the SEC proposed a rule change concerning the definition of “exchange.” Especially in light of the recent political developments in the U.S., it is not yet clear whether or in what form such proposed rule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may be adopted. While, in a March 2025 speech, SEC Commissioner Mark Uyeda indicated, among other things, that he had asked SEC staff for options on abandoning the aspects of the proposed rule that would apply to digital assets, the fate of such proposed rule remains uncertain. Nevertheless, it remains possible that a change to the definition of “exchange” could result in regulators determining that the Arculus Cold Storage Wallet is functioning as a securities exchange or ATS or is part of an unregistered exchange mechanism, in which case, the potential registration requirements, or cessation, limitation or other modifications contemplated above could become necessary or advisable. Any such discontinuation, limitation or other modification could negatively affect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inability to safeguard against misappropriation or infringement of our intellectual property may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because of litigation or other proceedings relating to patents and other intellectual property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Production quality and manufacturing process disruptions could adversely affect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and our technological processes are highly complex, require specialized equipment to manufacture and are subject to strict tolerances and requirements. We have experienced in the past, and may experience in the future,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dependent on certain distribution partners for distribution of our products and services. A loss of distribution partners could adversely affect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competition that may result in a loss of our market share and/or a decline in profitability.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effectively in our product markets and maintain market share, which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failure to operate our business in compliance with the security standards of the payment card industry or other industry standards applicable to our customers, such as payment networks certification standards,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customers issue their cards on the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make significant investments in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consumers and businesses spend less, our business, operation outcomes, and financial state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Product liability and warranty claims and their associated costs may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revenue and operations may be materially and adversely affected by tariffs and other restrictions on imported goods that have been, and may continue to be, imposed by the U.S. government.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raw materials used by us to manufacture our products are obtained, directly or indirectly, from companies located outside of the United States. There is currently significant uncertainty about the future relationship between the U.S. and various other countries with respect to trade policies and tariffs. Recently, tariffs have been imposed on imports from certain countries outside of the United States. For example, the Trump administration has instituted substantial changes to U.S. foreign trade policy with respect to China and other countries, including a significant increase in tariffs on goods imported into the U.S., and has signaled possibly imposing further restrictions on international trade.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increase the costs of certain raw materials we purchase, and/or materially and adversely affect our business, financial condition and results of operations. These and future tariffs, including any retaliatory tariffs that may be imposed by other countries on U.S. exports, as well as uncertainties surrounding domestic and foreign tariffs and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international sales subject us to additional risks that can adversely affect our business, operating results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each of 2024 and 2023, we derived 18%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subject the Company to a variety of risks and challenges,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fluctuations in currency exchange rates and related effects on our operating results;</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general economic and geopolitical conditions, including wars, in each country or region;</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the impact of Brexit; reduction in billings, foreign currency exchange rates, and trade with the EU;</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the effects of a widespread outbreak of an illness or disease, or any other public health crisis, such</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as a resurgence of the COVID-19 pandemic, in each country or region;</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economic uncertainty around the world; and</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compliance with U.S. and foreign laws and regulations imposed by other countries on foreign operations, including the Foreign Corrupt Practices Act, the U.K. Bribery Act, import and export control laws, tariffs, trade barriers, economic sanctions and other regulatory or contractual limitations on our ability to sell our products in certain foreign markets, and the risks and costs of non-compliance.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licensing arrangements in production and other fields, and actions taken by any of our licensing partners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adoption of new tax legislation could affect our financial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and other taxes in the United States. Our effective tax rate in the future could be adversely affected by changes in tax laws. More generally, it is possible that U.S. federal income or other tax laws or the interpretation of tax laws will change. It is difficult to predict whether and when there will be tax law changes having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Pandemics or a resurgence of a pandemic may adversely affect our business, financial condition, liquidity or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negatively impacted certain aspects of our business and operations. The resurgence of the COVID-19 pandemic, or a future pandemic or health epidemic, could adversely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financial condition, liquidity or results of operations. These adverse effects include, but are not limited to, the potential adverse effects on the global economy, our manufacturing processes, including our supply chain, or on our employees. The ultimate impact will depend on the severity and duration of the pandemic and actions taken by governmental authorities and other third parties in response, each of which is uncertain and difficult to predict.</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the Resolute Holdings Management Agreement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is managed for a fee by Resolute Holdings, which has substantial influence over our business, operations and strategy and upon which our business is heavily reliant.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Management Agreement between Holdings and Resolute Holdings, Resolute Holdings exercises substantial influence over our business, including being responsible for, among other things: establishing and monitoring business objectives, financing activities and operating performance; selecting and overseeing the management team and their operating performance; reviewing and approving compensation and benefit plans, programs, policies and agreements, including with respect to any grants of equity awards to persons providing services; devising capital allocation strategies, plans and policies; setting budget parameters and expense guidelines and monitoring compliance therewith; identifying, analyzing and overseeing the consummation of business opportunities and potential acquisitions, dispositions and other business combinations; originating and recommending opportunities to form or acquire, and structuring and managing, any joint ventures; leading or overseeing negotiations with potential participants in any business opportunity under consideration and determining (or delegating to any officer of Holdings the decision to determine) if and when to proceed; engaging and supervising independent contractors and third-party service providers; reviewing and approving compensation and benefit plans, programs, policies and agreements; communicating with the holders of any securities (i) as required to satisfy any reporting and other requirements of any governmental authority having jurisdiction over Holdings and (ii) to maintain effective relations with such holders; overseeing all claims, disputes or controversies (including all litigation, arbitration, settlement or other proceedings or negotiations) (other than with Resolute Holdings or its affiliates); counselling Holdings in connection with decisions required by Delaware law to be made by the Company's Board; and performing such other services from time to time in connection with the management of the business and affairs of Holdings and its activities as the Company's Board shall reasonably request and/or Resolute Holdings shall deem appropriate under the particular circumstances, in each case to the fullest extent permitted by Delaware law, federal securities laws, the Nasdaq listing rules and any other applicable rules and regulations.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Determinations by Resolute Holdings with respect to these matters will impact our day-to-day business and operations, our strategy, and the manner in which we present our results and operations to our stockholders, all of which may change at the discretion of Resolute Holdings. We have also delegated by resolution of the Company's Board authority to approve issuances of our equity for M&amp;A and equity awards, and we have agreed to issue the Company's equity pursuant to those delegations, which could result in existing holders of our Class A Common Stock experiencing dilution.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on the ability of Resolute Holdings to effectively manage our business and operations. We rely heavily on the skill and expertise of Resolute Holdings and its management team, particularly David Cote and Thomas Knott. The extent and nature of the experience of Mr. Cote, Mr. Knott and Resolute Holdings’ other personnel and the nature of the relationships they have with external contacts, although not guarantees of positive results, are critical to the success of our business. Personnel of Resolute Holdings, including its directors and executive officers, can be replaced or added over time or be required to recuse themselves or otherwise be restricted from participating in their duties, which may impact Resolute Holdings' performance when managing our business and operations. Additionally, while we believe that Resolute Holdings has access to the resources, relationships, and expertise necessary to manage our business, there can be no assurance that such resources, relationships, and expertise will be available in the future.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Management Agreement does not create a mutually exclusive relationship between Holdings and Resolute Management.</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Agreement and the obligations thereunder to provide Holdings with management services does not create a mutually exclusive relationship between Resolute Holdings, on the one hand, and any of the companies that Resolute Holdings manages, including Holdings, on the other. The allocation of Resolute Holdings’ resources is within Resolute Holdings’ sole discretion, and the resources of Resolute Holdings are not required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 are they, fully dedicated to our business and operations. Resolute Holdings is responsible for its own business activities and, as a result, not all of the business time of Resolute Holdings’ personnel will be devoted to our business. Furthermore, we expect that Resolute Holdings will from time to time pursue new business activities, including the management of additional businesses. Accordingly, in addition to the management of Holdings, Resolute Holdings may alternatively focus its efforts on the business(es) of one or more of its other managed companies, the pursuit of additional management agreements with additional managed companies, other strategies, or a combination thereof, each of which could require Resolute Holdings to divert some of its personnel's time and attention away from the management of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Management Agreement may be terminated by Resolute Holdings or Holdings, and a termination fee may be payable in certain circumstances.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Management Agreement has an initial term of 10 years, following which it will be subject to automatic renewal for successive 10-year periods. Resolute Holdings may terminate the Management Agreement for any reason upon 180 days’ notice before the last day of the initial term or a renewal term, and no termination fee would be payable upon such termination. Each of Holdings and Resolute Holdings may terminate the Management Agreement upon the occurrence of certain other limited events, and in connection with certain of these limited events, Resolute Holdings has the right to require Holdings to pay a termination fee. The termination fee that may become payable by us in connection with these events could be significant and may have a material adverse effect on our results of operations, or if paid all or partially in shares of our Class A Common Stock, could result in significant dilution to the holders of our Class A Common Stock. We can offer no assurance that Resolute Holdings will continue to manage our business and provide services to us in the future or that we will continue to have access to Resolute Holdings’ personnel. The loss of services or departure of one or more members of Resolute Holdings’ management team could adversely affect our financial performance, business, and results of operations. See “Business — Recent Developments.”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Resolute Holdings maintains a contractual as opposed to a fiduciary relationship with Holdings, and has limited liability under the Management Agreement for which they may be indemnified.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Management Agreement does not impose on Resolute Holdings an express or implied fiduciary duty to Holdings, any of its controlled affiliates or any holders of equity or voting interests in Holdings or such controlled affiliates, and under the Management Agreement, Resolute Holdings does not assume any responsibility other than to render to Holdings the services called for thereunder in good faith. Under the terms of the Management Agreement, Resolute Holdings and its affiliates and their respective directors, officers, employees, managers, trustees, control persons, partners, stockholders and equity holders (collectively, the “Resolute Holdings Indemnified Parties”) are not liable to Holdings, us or our stockholders for any acts or omissions performed in accordance with and pursuant to, or in furtherance of, the Management Agreement. Holdings has agreed to indemnify the Resolute Holdings Indemnified Parties with respect to all expenses, losses, damages, liabilities, demands, charges and claims of any nature whatsoever (excluding certain limited documented and reasonable out-of-pocket expenses incurred in connection with investigating, preparing or defending any acts or omissions by Holdings or its officers, employees or affiliates performed in accordance with, pursuant to or in furtherance of the Management Agreement) arising from any acts or omissions performed in good faith in accordance with, pursuant to, or in furtherance of the Management Agreement and not constituting bad faith, fraud, willful misconduct, gross negligence or reckless disregard of duties, performed or not performed in good faith in accordance with and pursuant to the Management Agreement. Accordingly, under the management of Resolute Holdings, our business may experience poor performance or losses or incur expenses for which Resolute Holdings will not be liable.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may have conflicts of interest with Resolute Holdings and its other affiliates.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providing management services to Holdings, Resolute Holdings may provide management services to other companies, including those that are in the same or similar lines of business as ours. Moreover, some of our executive officers and/or directors, including David Cote and Thomas Knott, are also executive officers and/or directors of Resolute Holdings and may serve in similar positions at other companies managed by Resolute Holdings. As a result, certain of our directors may have duties to Resolute Holdings which duties could conflict with the duties they owe to us, which could require them to recuse themselves from certain determinations, and could result in action or inaction that is detrimental to our business. In addition, we may from time to time have conflicts of interest with Resolute Holdings in its management of our business as operated through Holdings, which may arise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primarily from the involvement of Resolute Holdings and its affiliates in other activities that may conflict with our business, including conflicts between our business activities as operated through Holdings and the business activities of other companies managed by Resolute Holdings. Under the Management Agreement, Resolute Holdings and its affiliates are permitted to engage in such activities, and Resolute Holdings and its affiliates' engagement in such activities may not be favorable to us and may be contrary to our interests. These and other potential conflicts of interest between us and Resolute Holdings and its affiliates could have an adverse effect on the operation of our business.</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the Tax Receivable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only significant asset is our ownership interest in Holdings, and such ownership may not be sufficient to pay dividends or make distributions or loans to enable us to pay any dividends on our Class A Common Stock or satisfy our other financial obligations, including our obligations under the Tax Receivable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Class A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Class A Common Stock or satisfy our other financial obligations, including our obligations under the Tax Receivable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required to pay certain parties for most of the realized benefits relating to any additional tax depreciation or amortization deductions that we may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with Roman DBDR completed in December 2021 (the "Business Combination"), we entered into the Tax Receivable Agreement with Holdings and the TRA Parties (as defined therein). The Tax Receivable Agreement provides for the payment by us to certain TRA Parties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occurred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the Company may make under the Tax Receivable Agreement will be substantial.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be accelerated and/or significantly exceed the actual benefits we realize in respect of the tax attributes subject to the Tax Receivable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15% per annum (as amended in September 2024) of all future payments that TRA Parties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as well as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The acceleration of payments under the Tax Receivable Agreement in the case of certain changes of control may impair our ability to consummate change of control transactions or negatively impact the value received by owners of our Class A Common Stock.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substantial amount of indebtedness, which may limit our operating flexibility and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approximately $197.5 million of indebtedness as of December 31, 2024, consisting of amounts outstanding under our senior secured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indebtedness could have important consequences to our investors, including, but not limited 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our vulnerability to, and reducing our flexibility to respond to, general adverse economic and industry conditions;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requiring the dedication of a substantial portion of our cash flow from operations to servicing debt, including interest payments and excess cash flow prepayment obligations;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flexibility in planning for, or reacting to, changes in our business and the competitive environment;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ability to borrow additional funds and increasing the cost of any such borrowing.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rates in our credit facility are set based upon stated margins above the lender’s base rate and the SOFR, an interest rate at which banks can borrow funds, which is subject to fluctuation. In addition, the interest rate margin applicable to our term loan and revolving loans can vary by one hundred (100) basis points depending on our total leverage ratio. An increase in interest rates would adversely affect our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Upon the occurrence of an event of default relating to our credit facility, the lenders could elect to accelerate payments due and terminate all commitments to extend further 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debt outstanding under our existing credit facility has a variable rate of interest that is based on the SOFR which may have consequences for us that cannot be reasonably predicted and may increase our cost of borrowing in the future.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2023, we amended our credit facility to transition from bearing interest based on London Interbank Offered Rate (“LIBOR”) to SOFR.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credit facility contains restrictive covenants that may impair our ability to conduct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we may not be able to obtain waivers from the lenders and/or amend the covenants, which may result in foreclosure of our assets. See Note 6 of Notes to Consolidated Financial Statements in the Audited Consolidated Financial Statements of the Company in this report for additional information.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Risks Related to Ownership of our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only significant asset is our ownership of our subsidiaries’ business. If the business of our subsidiaries is not profitably operated, they may be unable to make distributions to enable us to pay any dividends on our common stock or satisfy our other financial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Inc. has no direct operations and no significant assets other than the ownership of its subsidiaries, which operate the Company’s business. CompoSecure, Inc. depends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Provisions in our Charter and Delaware law may inhibit a takeover of us, which could limit the price investors might be willing to pay in the future for our Class A Common Stock and could entrench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that may discourage unsolicited takeover proposals that stockholders may consider to be in their best interests. These provisions include the classification of our Board and the ability of our Board to designate the terms of and issue new series of preferred shares, which may make the removal of management more difficult and may discourage transactions that otherwise could involve payment of a premium over prevailing market prices for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prior to such time, our Board approved either the business combination or the transaction that resulted in the stockholder becoming an interested stockholder;</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upon consummation of the transaction that resulted in the stockholder becoming an interested stockholder, the interested stockholder owned at least 85% of our voting stock outstanding at the time the transaction commenced, excluding certain shares; or</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at or subsequent to that time, the business combination is approved by our Board and by the affirmative vote of holders of at least two-thirds of our outstanding voting stock that is not owned by the interested stockholder.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the Company. These provisions could also discourage proxy contests and make it more difficult for public stockholders to elect directors of their choosing.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unable to satisfy the Nasdaq Global Market listing requirements in the future, which could limit investors’ ability to effect transactions in our securities and subject us to additional trading restrictions.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maintain the listing of our securities on the Nasdaq Global Market in the future. If our securities are delisted from the Nasdaq Global Market, there could be significant material adverse consequences,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limited availability of market quotations for our securities;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limited amount of news and analyst coverage about the Company;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decreased ability to obtain capital or pursue acquisitions by issuing additional equity or convertible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incur significant costs and obligations as a result of being a public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thereto and the rules and regulations of the SEC and the Nasdaq Global Market, have increased the costs and the time that must be devoted to compliance matters.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We are a "controlled company" within the meaning of the Nasdaq listing rules and, as a result, qualify for and rely on certain exemptions from certain corporate governance requirements</w:t>
      </w:r>
      <w:r>
        <w:rPr>
          <w:rFonts w:ascii="Times New Roman;sans-serif" w:hAnsi="Times New Roman;sans-serif"/>
          <w:b w:val="false"/>
          <w:i/>
          <w:color w:val="000000"/>
          <w:sz w:val="20"/>
          <w:u w:val="single"/>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Tungsten holds a majority of our Class A Common Stock and accordingly has the ability to control us, including the ability to control any action requiring the general approval of our stockholders, including the election of our Board, the adoption of amendments to our certificate of incorporation and bylaws and the approval of any merger or sale of all or substantially all of our assets, we are a "controlled company" under the Sarbanes-Oxley Act and the Nasdaq listing rules. A controlled company does not need its board of directors to have a majority of independent directors or to form an independent compensation or nominating and corporate governance committee. We currently comply with the requirements for a majority of independent directors; however our Board may from time to time elect to rely on the exemption from such requirement. As a controlled company, we will remain subject to rules of the Sarbanes-Oxley Act and the Nasdaq listing rules that require us to have an audit committee composed entirely of independent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we cease to be a controlled company, we will take all actions necessary to comply with the Sarbanes-Oxley Act and the Nasdaq listing rules, including ensuring that we have a compensation committee and nominating and governance committee each composed entirely of independent directors, subject to a permitted "phase-in"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an “emerging growth company,” we cannot be certain if the reduced disclosure requirements applicable to “emerging growth companies” will make our securities less attractive to investors.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we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obtaining stockholder approval of any golden parachute payments not previously approved. In addition, the JOBS Act provides that an emerging growth company can take advantage of an extended transition period for complying with new or revised accounting standards, which we have elected to do. We expect to cease to be an "emerging growth company" in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if investors will find our securities less attractive because we rely on these exemptions. If some investors find our securities less attractive as a result, there may be a less active market for our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share price may be more volatile and the price at which our securities trade could be less than if we did not use these exemptions.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the Nasdaq Global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operating performance does not meet market expectations, the price of our securities may decline.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securities could be volatile and subject to wide fluctuations in response to various factors, some of which are beyond our control. Fluctuations in the price of our securities could result in the loss of all or part of your investment. Any of the factors listed below could have a material adverse effect on your investment in our securities and our securities may trade at prices significantly below the price you paid for them.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market’s expectations about our operating results;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success of competitors;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operating results failing to meet market expectations in a particular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reliance on Resolute Holdings for management services under the Management Agreement exposes us to risks related to their substantial influence over our business, operations, and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financial estimates and recommendations by securities analysts concerning us or the financial payment card and digital asset industries and markets in general;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market new and innovative products on a timely basis;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volume of shares of our securities available for public sale;</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significant change in our board or management;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of substantial amounts of our securities by our directors, executive officers or significant stockholders or the perception that such sales could occur;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and political conditions such as recessions, interest rates, fuel prices, international currency fluctuations and acts of war or terrorism.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depress the market price of our securities irrespective of our operating performance. The stock market in general and the Nasdaq Global Market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Warrants may not remain in the money, and they may expire worthless.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for our Warrants is $7.97 per share (as adjusted effective February 28, 2025), subject to adjustment. There can be no assurance that the Warrants will remain in the money prior to their expiration and, as such, the Warrants may expire worthless.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Warrants to make any change that adversely affects the interests of the registered holders. Accordingly, we may amend the terms of the Warrants in a manner adverse to a holder if holders of at least a majority of the then outstanding Warrants approve of such amendment. Our ability to amend the terms of the Warrants with the consent of at least a majority of the then outstanding Warrants is unlimited. Examples of such amendments could be amendments to, among other things, increase the exercise price of the Warrants, shorten the exercise period or decrease the number of shares of Class A Common Stock purchasable upon exercise of a Warrant.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Warrants may be redeemed prior to their exercise at a time that is disadvantageous to the holders, thereby making such Warrants worthless.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ability to redeem outstanding Warrants at any time after they become exercisable and prior to their expiration, at $0.01 per warrant, provided that the last reported sales price (or the closing bid price of our Class A Common Stock in the event the shares of our Class A Common Stock are not traded on any specific trading day) of the shares of Class A Common Stock equals or exceeds $14.47 per share (as adjusted effective February 28, 2025 and subject to further adjustment)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Class A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Warrants to purchase our Class A Common Stock are presently exercisable, which could increase the number of shares of Class A Common Stock eligible for future resale in the public market and result in dilution to our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outstanding Warrants to purchase an aggregate of 21,990,179 shares of our Class A Common Stock are exercisable in accordance with the terms of the warrant agreement governing those securities. Each Warrant entitles its holder to purchase one share of our Class A Common Stock at an exercise price of $7.97 per share (as adjusted effective February 28, 2025, subject to further adjustment,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timely and effectively implement controls and procedures required by Section 404 of the Sarbanes-Oxley Act of 2002, which could have a material adverse effect on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Sarbanes-Oxley Act of 2022,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is not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successfully operate our business largely depends upon the efforts of certain key personnel. The loss of such key personnel could adversely affect our operations and profitability.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abilities we expect or those necessary to manage a public company, the operations and profitability of our business may be adversely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securities may be influenced by the research and reports that industry or securities analysts may publish about us, our business, our market, or our competitors. Analyst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Future sales of our securities, including resale of securities issued to certain stockholders, may reduce the market price of our securities that you might otherwise obtain.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sales of our securities by stockholders which hold large amounts of our securities, including in underwritten offerings that we may be required to facilitate pursuant to such stockholders' registration rights, or in privately negotiated transactions, may reduce the price of our securities. The registration and availability of such a significant number of securities for trading in the public market may increase the volatility in the price of our securities or put significant downward pressure on the price of our securities. In addition, we may use shares of our Class A Common Stock as consideration for future acquisitions, which could further dilute our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Because certain significant stockholders control a significant percentage of our Class A Common Stock, such stockholders may influence major corporate decisions of the Company and our interests may conflict with the interests of other holders of our Class A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May 1, 2025, Tungsten beneficially owns approximately 50.5% of the shares of our outstanding shares of Class A Common Stock. As a result of this control, Tungsten is able to influence matters requiring approval by our stockholders and/or our Board, including the election of directors and the approval of business combinations or dispositions and other extraordinary transactions. Tungsten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Tungsten may in the future own businesses that directly compete with the business of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following the Spin-Off, our business, which we operate through Holdings, is managed by Resolute Holdings, a separate public company that is party to the Management Agreement with Holdings. Pursuant to the Management Agreement, Resolute Holdings has substantial influence over our business, operations and strategy. See "Risks Related to the Resolute Holdings Management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 of Chancery in the State of Delaware as the sole and exclusive forum for certain types of actions and proceedings that may be initiated by stockholders, which could limit the ability of stockholders to obtain a favorable judicial forum for disputes.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the Court of Chancery in the State of Delaware will be the sole and exclusive forum for any stockholder to bring any state law claims for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Unregistered Sales of Equity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6, 2024, we announced that our Board of Directors (“Board”) had authorized a program to repurchase (“Repurchase Program”) up to $40.0 million (increased to up to $100 million in February 2025) in the aggregate of our outstanding shares of Class A Common Stock or warrants (collectively, the “Securities”). The Repurchase Program is effective March 7, 2024 through March 7, 2027. Repurchases of Securities under the Repurchase Program may be made from time to time, on the open market, in privately negotiated transactions, tender offers, or by other methods, at the discretion of the management of the Company in accordance with our senior credit facility and Indenture for the Exchangeable Notes, as applicable, and other applicable legal requirements. Repurchases of Common Stock will be in accordance with the limitations set forth in Rule 10b-18 promulgated under the Securities Exchange Act of 1934, as amended. The timing and amount of the repurchases will depend on market conditions and other requirements. The Repurchase Program does not obligate the Company to repurchase any dollar amount of Securities and the Repurchase Program may be extended, modified, suspended, or discontinued at any time. Any shares of Common Stock repurchased under the program may either be returned to the status of authorized but unissued shares of Common Stock or held as treasury stock. There was no repurchase activity during the quarter ended March 31, 2025. As of March 31, 2025, $100.0 million of the repurchase authorization under the Repurchase Program remained available.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none of the Company’s directors or officers informed the Company of the adoption or termination of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2986"/>
        <w:gridCol w:w="2925"/>
        <w:gridCol w:w="2953"/>
        <w:gridCol w:w="157"/>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r:id="rId2">
              <w:r>
                <w:rPr>
                  <w:rStyle w:val="InternetLink"/>
                  <w:rFonts w:ascii="Times New Roman;sans-serif" w:hAnsi="Times New Roman;sans-serif"/>
                  <w:b w:val="false"/>
                  <w:color w:val="000080"/>
                  <w:sz w:val="20"/>
                  <w:u w:val="single"/>
                </w:rPr>
                <w:t>2.</w:t>
              </w:r>
            </w:hyperlink>
            <w:hyperlink r:id="rId3">
              <w:r>
                <w:rPr>
                  <w:rStyle w:val="InternetLink"/>
                  <w:rFonts w:ascii="Times New Roman;sans-serif" w:hAnsi="Times New Roman;sans-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ans-serif" w:hAnsi="Times New Roman;sans-serif"/>
                  <w:b w:val="false"/>
                  <w:color w:val="000080"/>
                  <w:sz w:val="20"/>
                  <w:u w:val="single"/>
                </w:rPr>
                <w:t>Separation and Distribution Agreement by and between CompoSecure, Inc. and Resolute Holdings Management, Inc. dated as of February 28, 2025</w:t>
              </w:r>
            </w:hyperlink>
            <w:hyperlink r:id="rId5">
              <w:r>
                <w:rPr>
                  <w:rStyle w:val="InternetLink"/>
                  <w:rFonts w:ascii="Times New Roman;sans-serif" w:hAnsi="Times New Roman;sans-serif"/>
                  <w:b w:val="false"/>
                  <w:color w:val="000080"/>
                  <w:sz w:val="20"/>
                  <w:u w:val="single"/>
                </w:rPr>
                <w:t xml:space="preserve"> </w:t>
              </w:r>
            </w:hyperlink>
            <w:hyperlink r:id="rId6">
              <w:r>
                <w:rPr>
                  <w:rStyle w:val="InternetLink"/>
                  <w:rFonts w:ascii="Times New Roman;sans-serif" w:hAnsi="Times New Roman;sans-serif"/>
                  <w:b w:val="false"/>
                  <w:color w:val="000080"/>
                  <w:sz w:val="20"/>
                  <w:u w:val="single"/>
                </w:rPr>
                <w:t>(</w:t>
              </w:r>
            </w:hyperlink>
            <w:hyperlink r:id="rId7">
              <w:r>
                <w:rPr>
                  <w:rStyle w:val="InternetLink"/>
                  <w:rFonts w:ascii="Times New Roman;sans-serif" w:hAnsi="Times New Roman;sans-serif"/>
                  <w:b w:val="false"/>
                  <w:color w:val="000080"/>
                  <w:sz w:val="20"/>
                  <w:u w:val="single"/>
                </w:rPr>
                <w:t>incorporated by reference to Exhibit 2.</w:t>
              </w:r>
            </w:hyperlink>
            <w:hyperlink r:id="rId8">
              <w:r>
                <w:rPr>
                  <w:rStyle w:val="InternetLink"/>
                  <w:rFonts w:ascii="Times New Roman;sans-serif" w:hAnsi="Times New Roman;sans-serif"/>
                  <w:b w:val="false"/>
                  <w:color w:val="000080"/>
                  <w:sz w:val="20"/>
                  <w:u w:val="single"/>
                </w:rPr>
                <w:t>3</w:t>
              </w:r>
            </w:hyperlink>
            <w:hyperlink r:id="rId9">
              <w:r>
                <w:rPr>
                  <w:rStyle w:val="InternetLink"/>
                  <w:rFonts w:ascii="Times New Roman;sans-serif" w:hAnsi="Times New Roman;sans-serif"/>
                  <w:b w:val="false"/>
                  <w:color w:val="000080"/>
                  <w:sz w:val="20"/>
                  <w:u w:val="single"/>
                </w:rPr>
                <w:t xml:space="preserve"> to the </w:t>
              </w:r>
            </w:hyperlink>
            <w:hyperlink r:id="rId10">
              <w:r>
                <w:rPr>
                  <w:rStyle w:val="InternetLink"/>
                  <w:rFonts w:ascii="Times New Roman;sans-serif" w:hAnsi="Times New Roman;sans-serif"/>
                  <w:b w:val="false"/>
                  <w:color w:val="000080"/>
                  <w:sz w:val="20"/>
                  <w:u w:val="single"/>
                </w:rPr>
                <w:t>Annual</w:t>
              </w:r>
            </w:hyperlink>
            <w:hyperlink r:id="rId11">
              <w:r>
                <w:rPr>
                  <w:rStyle w:val="InternetLink"/>
                  <w:rFonts w:ascii="Times New Roman;sans-serif" w:hAnsi="Times New Roman;sans-serif"/>
                  <w:b w:val="false"/>
                  <w:color w:val="000080"/>
                  <w:sz w:val="20"/>
                  <w:u w:val="single"/>
                </w:rPr>
                <w:t xml:space="preserve"> Report on Form </w:t>
              </w:r>
            </w:hyperlink>
            <w:hyperlink r:id="rId12">
              <w:r>
                <w:rPr>
                  <w:rStyle w:val="InternetLink"/>
                  <w:rFonts w:ascii="Times New Roman;sans-serif" w:hAnsi="Times New Roman;sans-serif"/>
                  <w:b w:val="false"/>
                  <w:color w:val="000080"/>
                  <w:sz w:val="20"/>
                  <w:u w:val="single"/>
                </w:rPr>
                <w:t>10</w:t>
              </w:r>
            </w:hyperlink>
            <w:hyperlink r:id="rId13">
              <w:r>
                <w:rPr>
                  <w:rStyle w:val="InternetLink"/>
                  <w:rFonts w:ascii="Times New Roman;sans-serif" w:hAnsi="Times New Roman;sans-serif"/>
                  <w:b w:val="false"/>
                  <w:color w:val="000080"/>
                  <w:sz w:val="20"/>
                  <w:u w:val="single"/>
                </w:rPr>
                <w:t>-K (File No. 001-39687)</w:t>
              </w:r>
            </w:hyperlink>
            <w:hyperlink r:id="rId14">
              <w:r>
                <w:rPr>
                  <w:rStyle w:val="InternetLink"/>
                  <w:rFonts w:ascii="Times New Roman;sans-serif" w:hAnsi="Times New Roman;sans-serif"/>
                  <w:b w:val="false"/>
                  <w:color w:val="000080"/>
                  <w:sz w:val="20"/>
                  <w:u w:val="single"/>
                </w:rPr>
                <w:t xml:space="preserve">, filed with the SEC </w:t>
              </w:r>
            </w:hyperlink>
            <w:hyperlink r:id="rId15">
              <w:r>
                <w:rPr>
                  <w:rStyle w:val="InternetLink"/>
                  <w:rFonts w:ascii="Times New Roman;sans-serif" w:hAnsi="Times New Roman;sans-serif"/>
                  <w:b w:val="false"/>
                  <w:color w:val="000080"/>
                  <w:sz w:val="20"/>
                  <w:u w:val="single"/>
                </w:rPr>
                <w:t xml:space="preserve">on </w:t>
              </w:r>
            </w:hyperlink>
            <w:hyperlink r:id="rId16">
              <w:r>
                <w:rPr>
                  <w:rStyle w:val="InternetLink"/>
                  <w:rFonts w:ascii="Times New Roman;sans-serif" w:hAnsi="Times New Roman;sans-serif"/>
                  <w:b w:val="false"/>
                  <w:color w:val="000080"/>
                  <w:sz w:val="20"/>
                  <w:u w:val="single"/>
                </w:rPr>
                <w:t>March 5</w:t>
              </w:r>
            </w:hyperlink>
            <w:hyperlink r:id="rId17">
              <w:r>
                <w:rPr>
                  <w:rStyle w:val="InternetLink"/>
                  <w:rFonts w:ascii="Times New Roman;sans-serif" w:hAnsi="Times New Roman;sans-serif"/>
                  <w:b w:val="false"/>
                  <w:color w:val="000080"/>
                  <w:sz w:val="20"/>
                  <w:u w:val="single"/>
                </w:rPr>
                <w:t>, 2025</w:t>
              </w:r>
            </w:hyperlink>
            <w:hyperlink r:id="rId18">
              <w:r>
                <w:rPr>
                  <w:rStyle w:val="InternetLink"/>
                  <w:rFonts w:ascii="Times New Roman;sans-serif" w:hAnsi="Times New Roman;sans-serif"/>
                  <w:b w:val="false"/>
                  <w:color w:val="000080"/>
                  <w:sz w:val="20"/>
                  <w:u w:val="single"/>
                </w:rPr>
                <w:t>)</w:t>
              </w:r>
            </w:hyperlink>
            <w:hyperlink r:id="rId19">
              <w:r>
                <w:rPr>
                  <w:rStyle w:val="InternetLink"/>
                  <w:rFonts w:ascii="Times New Roman;sans-serif" w:hAnsi="Times New Roman;sans-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r:id="rId20">
              <w:r>
                <w:rPr>
                  <w:rStyle w:val="InternetLink"/>
                  <w:rFonts w:ascii="Times New Roman;sans-serif" w:hAnsi="Times New Roman;sans-serif"/>
                  <w:b w:val="false"/>
                  <w:color w:val="000000"/>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21">
              <w:r>
                <w:rPr>
                  <w:rStyle w:val="InternetLink"/>
                  <w:rFonts w:ascii="Times New Roman;sans-serif" w:hAnsi="Times New Roman;sans-serif"/>
                  <w:b w:val="false"/>
                  <w:color w:val="000080"/>
                  <w:sz w:val="20"/>
                  <w:u w:val="single"/>
                </w:rPr>
                <w:t>Industrial Building Lease Extension Letter, dated January 28, 2025, by and between FR JH 10, LLC and CompoSecure, L.L.C.</w:t>
              </w:r>
            </w:hyperlink>
            <w:hyperlink r:id="rId22">
              <w:r>
                <w:rPr>
                  <w:rStyle w:val="InternetLink"/>
                  <w:rFonts w:ascii="Times New Roman;sans-serif" w:hAnsi="Times New Roman;sans-serif"/>
                  <w:b w:val="false"/>
                  <w:color w:val="000080"/>
                  <w:sz w:val="20"/>
                  <w:u w:val="single"/>
                </w:rPr>
                <w:t xml:space="preserve"> (incorporated by reference to Exhibit 10.</w:t>
              </w:r>
            </w:hyperlink>
            <w:hyperlink r:id="rId23">
              <w:r>
                <w:rPr>
                  <w:rStyle w:val="InternetLink"/>
                  <w:rFonts w:ascii="Times New Roman;sans-serif" w:hAnsi="Times New Roman;sans-serif"/>
                  <w:b w:val="false"/>
                  <w:color w:val="000080"/>
                  <w:sz w:val="20"/>
                  <w:u w:val="single"/>
                </w:rPr>
                <w:t>15</w:t>
              </w:r>
            </w:hyperlink>
            <w:hyperlink r:id="rId24">
              <w:r>
                <w:rPr>
                  <w:rStyle w:val="InternetLink"/>
                  <w:rFonts w:ascii="Times New Roman;sans-serif" w:hAnsi="Times New Roman;sans-serif"/>
                  <w:b w:val="false"/>
                  <w:color w:val="000080"/>
                  <w:sz w:val="20"/>
                  <w:u w:val="single"/>
                </w:rPr>
                <w:t xml:space="preserve"> to the Annual Report on Form 10-K (File No. 001-39687), filed with the SEC on March 5,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r:id="rId25">
              <w:r>
                <w:rPr>
                  <w:rStyle w:val="InternetLink"/>
                  <w:rFonts w:ascii="Times New Roman;sans-serif" w:hAnsi="Times New Roman;sans-serif"/>
                  <w:b w:val="false"/>
                  <w:color w:val="000080"/>
                  <w:sz w:val="20"/>
                  <w:u w:val="single"/>
                </w:rPr>
                <w:t>10.</w:t>
              </w:r>
            </w:hyperlink>
            <w:hyperlink r:id="rId26">
              <w:r>
                <w:rPr>
                  <w:rStyle w:val="InternetLink"/>
                  <w:rFonts w:ascii="Times New Roman;sans-serif" w:hAnsi="Times New Roman;sans-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27">
              <w:r>
                <w:rPr>
                  <w:rStyle w:val="InternetLink"/>
                  <w:rFonts w:ascii="Times New Roman;sans-serif" w:hAnsi="Times New Roman;sans-serif"/>
                  <w:b w:val="false"/>
                  <w:color w:val="000080"/>
                  <w:sz w:val="20"/>
                  <w:u w:val="single"/>
                </w:rPr>
                <w:t>Management Agreement, dated February 28, 2025, by and between CompoSecure Holdings, L.L.C. and Resolute Holdings Management, Inc.</w:t>
              </w:r>
            </w:hyperlink>
            <w:hyperlink r:id="rId28">
              <w:r>
                <w:rPr>
                  <w:rStyle w:val="InternetLink"/>
                  <w:rFonts w:ascii="Times New Roman;sans-serif" w:hAnsi="Times New Roman;sans-serif"/>
                  <w:b w:val="false"/>
                  <w:color w:val="000080"/>
                  <w:sz w:val="20"/>
                  <w:u w:val="single"/>
                </w:rPr>
                <w:t xml:space="preserve"> </w:t>
              </w:r>
            </w:hyperlink>
            <w:hyperlink r:id="rId29">
              <w:r>
                <w:rPr>
                  <w:rStyle w:val="InternetLink"/>
                  <w:rFonts w:ascii="Times New Roman;sans-serif" w:hAnsi="Times New Roman;sans-serif"/>
                  <w:b w:val="false"/>
                  <w:color w:val="000080"/>
                  <w:sz w:val="20"/>
                  <w:u w:val="single"/>
                </w:rPr>
                <w:t>(</w:t>
              </w:r>
            </w:hyperlink>
            <w:hyperlink r:id="rId30">
              <w:r>
                <w:rPr>
                  <w:rStyle w:val="InternetLink"/>
                  <w:rFonts w:ascii="Times New Roman;sans-serif" w:hAnsi="Times New Roman;sans-serif"/>
                  <w:b w:val="false"/>
                  <w:color w:val="000080"/>
                  <w:sz w:val="20"/>
                  <w:u w:val="single"/>
                </w:rPr>
                <w:t xml:space="preserve">incorporated by reference to Exhibit </w:t>
              </w:r>
            </w:hyperlink>
            <w:hyperlink r:id="rId31">
              <w:r>
                <w:rPr>
                  <w:rStyle w:val="InternetLink"/>
                  <w:rFonts w:ascii="Times New Roman;sans-serif" w:hAnsi="Times New Roman;sans-serif"/>
                  <w:b w:val="false"/>
                  <w:color w:val="000080"/>
                  <w:sz w:val="20"/>
                  <w:u w:val="single"/>
                </w:rPr>
                <w:t>10.34</w:t>
              </w:r>
            </w:hyperlink>
            <w:hyperlink r:id="rId32">
              <w:r>
                <w:rPr>
                  <w:rStyle w:val="InternetLink"/>
                  <w:rFonts w:ascii="Times New Roman;sans-serif" w:hAnsi="Times New Roman;sans-serif"/>
                  <w:b w:val="false"/>
                  <w:color w:val="000080"/>
                  <w:sz w:val="20"/>
                  <w:u w:val="single"/>
                </w:rPr>
                <w:t xml:space="preserve"> to the Annual Report on Form 10-K (File No. 001-39687), filed with the SEC on March 5, 2025</w:t>
              </w:r>
            </w:hyperlink>
            <w:hyperlink r:id="rId33">
              <w:r>
                <w:rPr>
                  <w:rStyle w:val="InternetLink"/>
                  <w:rFonts w:ascii="Times New Roman;sans-serif" w:hAnsi="Times New Roman;sans-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r:id="rId34">
              <w:r>
                <w:rPr>
                  <w:rStyle w:val="InternetLink"/>
                  <w:rFonts w:ascii="Times New Roman;sans-serif" w:hAnsi="Times New Roman;sans-serif"/>
                  <w:b w:val="false"/>
                  <w:color w:val="000080"/>
                  <w:sz w:val="20"/>
                  <w:u w:val="single"/>
                </w:rPr>
                <w:t>10.</w:t>
              </w:r>
            </w:hyperlink>
            <w:hyperlink r:id="rId35">
              <w:r>
                <w:rPr>
                  <w:rStyle w:val="InternetLink"/>
                  <w:rFonts w:ascii="Times New Roman;sans-serif" w:hAnsi="Times New Roman;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6">
              <w:r>
                <w:rPr>
                  <w:rStyle w:val="InternetLink"/>
                  <w:rFonts w:ascii="Times New Roman;sans-serif" w:hAnsi="Times New Roman;sans-serif"/>
                  <w:b w:val="false"/>
                  <w:color w:val="000080"/>
                  <w:sz w:val="20"/>
                  <w:u w:val="single"/>
                </w:rPr>
                <w:t>U.S. State and Local Tax Sharing Agreement, dated February 28, 2025, by and between CompoSecure, Inc. and Resolute Holdings Management, Inc.</w:t>
              </w:r>
            </w:hyperlink>
            <w:hyperlink r:id="rId37">
              <w:r>
                <w:rPr>
                  <w:rStyle w:val="InternetLink"/>
                  <w:rFonts w:ascii="Times New Roman;sans-serif" w:hAnsi="Times New Roman;sans-serif"/>
                  <w:b w:val="false"/>
                  <w:color w:val="000080"/>
                  <w:sz w:val="20"/>
                  <w:u w:val="single"/>
                </w:rPr>
                <w:t xml:space="preserve"> </w:t>
              </w:r>
            </w:hyperlink>
            <w:hyperlink r:id="rId38">
              <w:r>
                <w:rPr>
                  <w:rStyle w:val="InternetLink"/>
                  <w:rFonts w:ascii="Times New Roman;sans-serif" w:hAnsi="Times New Roman;sans-serif"/>
                  <w:b w:val="false"/>
                  <w:color w:val="000080"/>
                  <w:sz w:val="20"/>
                  <w:u w:val="single"/>
                </w:rPr>
                <w:t>(incorporated by reference to Exhibit 10.3</w:t>
              </w:r>
            </w:hyperlink>
            <w:hyperlink r:id="rId39">
              <w:r>
                <w:rPr>
                  <w:rStyle w:val="InternetLink"/>
                  <w:rFonts w:ascii="Times New Roman;sans-serif" w:hAnsi="Times New Roman;sans-serif"/>
                  <w:b w:val="false"/>
                  <w:color w:val="000080"/>
                  <w:sz w:val="20"/>
                  <w:u w:val="single"/>
                </w:rPr>
                <w:t>5</w:t>
              </w:r>
            </w:hyperlink>
            <w:hyperlink r:id="rId40">
              <w:r>
                <w:rPr>
                  <w:rStyle w:val="InternetLink"/>
                  <w:rFonts w:ascii="Times New Roman;sans-serif" w:hAnsi="Times New Roman;sans-serif"/>
                  <w:b w:val="false"/>
                  <w:color w:val="000080"/>
                  <w:sz w:val="20"/>
                  <w:u w:val="single"/>
                </w:rPr>
                <w:t xml:space="preserve"> to the Annual Report on Form 10-K (File No. 001-39687), filed with the SEC on March 5,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r:id="rId41">
              <w:r>
                <w:rPr>
                  <w:rStyle w:val="InternetLink"/>
                  <w:rFonts w:ascii="Times New Roman;sans-serif" w:hAnsi="Times New Roman;sans-serif"/>
                  <w:b w:val="false"/>
                  <w:color w:val="000080"/>
                  <w:sz w:val="20"/>
                  <w:u w:val="single"/>
                </w:rPr>
                <w:t>10.</w:t>
              </w:r>
            </w:hyperlink>
            <w:hyperlink r:id="rId42">
              <w:r>
                <w:rPr>
                  <w:rStyle w:val="InternetLink"/>
                  <w:rFonts w:ascii="Times New Roman;sans-serif" w:hAnsi="Times New Roman;sans-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3">
              <w:r>
                <w:rPr>
                  <w:rStyle w:val="InternetLink"/>
                  <w:rFonts w:ascii="Times New Roman;sans-serif" w:hAnsi="Times New Roman;sans-serif"/>
                  <w:b w:val="false"/>
                  <w:color w:val="000080"/>
                  <w:sz w:val="20"/>
                  <w:u w:val="single"/>
                </w:rPr>
                <w:t>Letter Agreement, dated as of February 28, 2025, by and between CompoSecure, Inc. and Resolute Holdings Management, Inc.</w:t>
              </w:r>
            </w:hyperlink>
            <w:hyperlink r:id="rId44">
              <w:r>
                <w:rPr>
                  <w:rStyle w:val="InternetLink"/>
                  <w:rFonts w:ascii="Times New Roman;sans-serif" w:hAnsi="Times New Roman;sans-serif"/>
                  <w:b w:val="false"/>
                  <w:color w:val="000080"/>
                  <w:sz w:val="20"/>
                  <w:u w:val="single"/>
                </w:rPr>
                <w:t xml:space="preserve"> </w:t>
              </w:r>
            </w:hyperlink>
            <w:hyperlink r:id="rId45">
              <w:r>
                <w:rPr>
                  <w:rStyle w:val="InternetLink"/>
                  <w:rFonts w:ascii="Times New Roman;sans-serif" w:hAnsi="Times New Roman;sans-serif"/>
                  <w:b w:val="false"/>
                  <w:color w:val="000080"/>
                  <w:sz w:val="20"/>
                  <w:u w:val="single"/>
                </w:rPr>
                <w:t>(incorporated by reference to Exhibit 10.3</w:t>
              </w:r>
            </w:hyperlink>
            <w:hyperlink r:id="rId46">
              <w:r>
                <w:rPr>
                  <w:rStyle w:val="InternetLink"/>
                  <w:rFonts w:ascii="Times New Roman;sans-serif" w:hAnsi="Times New Roman;sans-serif"/>
                  <w:b w:val="false"/>
                  <w:color w:val="000080"/>
                  <w:sz w:val="20"/>
                  <w:u w:val="single"/>
                </w:rPr>
                <w:t>6</w:t>
              </w:r>
            </w:hyperlink>
            <w:hyperlink r:id="rId47">
              <w:r>
                <w:rPr>
                  <w:rStyle w:val="InternetLink"/>
                  <w:rFonts w:ascii="Times New Roman;sans-serif" w:hAnsi="Times New Roman;sans-serif"/>
                  <w:b w:val="false"/>
                  <w:color w:val="000080"/>
                  <w:sz w:val="20"/>
                  <w:u w:val="single"/>
                </w:rPr>
                <w:t xml:space="preserve"> to the Annual Report on Form 10-K (File No. 001-39687), filed with the SEC on March 5,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r:id="rId48">
              <w:r>
                <w:rPr>
                  <w:rStyle w:val="InternetLink"/>
                  <w:rFonts w:ascii="Times New Roman;sans-serif" w:hAnsi="Times New Roman;sans-serif"/>
                  <w:b w:val="false"/>
                  <w:color w:val="000080"/>
                  <w:sz w:val="20"/>
                  <w:u w:val="single"/>
                </w:rPr>
                <w:t>10.</w:t>
              </w:r>
            </w:hyperlink>
            <w:hyperlink r:id="rId49">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50">
              <w:r>
                <w:rPr>
                  <w:rStyle w:val="InternetLink"/>
                  <w:rFonts w:ascii="Times New Roman;sans-serif" w:hAnsi="Times New Roman;sans-serif"/>
                  <w:b w:val="false"/>
                  <w:color w:val="000080"/>
                  <w:sz w:val="20"/>
                  <w:u w:val="single"/>
                </w:rPr>
                <w:t>Waiver Agreement, dated February 28, 2025, by and among CompoSecure, Inc., Resolute Compo Holdings LLC and Tungsten 2024 LLC</w:t>
              </w:r>
            </w:hyperlink>
            <w:hyperlink r:id="rId51">
              <w:r>
                <w:rPr>
                  <w:rStyle w:val="InternetLink"/>
                  <w:rFonts w:ascii="Times New Roman;sans-serif" w:hAnsi="Times New Roman;sans-serif"/>
                  <w:b w:val="false"/>
                  <w:color w:val="000080"/>
                  <w:sz w:val="20"/>
                  <w:u w:val="single"/>
                </w:rPr>
                <w:t xml:space="preserve"> </w:t>
              </w:r>
            </w:hyperlink>
            <w:hyperlink r:id="rId52">
              <w:r>
                <w:rPr>
                  <w:rStyle w:val="InternetLink"/>
                  <w:rFonts w:ascii="Times New Roman;sans-serif" w:hAnsi="Times New Roman;sans-serif"/>
                  <w:b w:val="false"/>
                  <w:color w:val="000080"/>
                  <w:sz w:val="20"/>
                  <w:u w:val="single"/>
                </w:rPr>
                <w:t>(incorporated by reference to Exhibit 10.3</w:t>
              </w:r>
            </w:hyperlink>
            <w:hyperlink r:id="rId53">
              <w:r>
                <w:rPr>
                  <w:rStyle w:val="InternetLink"/>
                  <w:rFonts w:ascii="Times New Roman;sans-serif" w:hAnsi="Times New Roman;sans-serif"/>
                  <w:b w:val="false"/>
                  <w:color w:val="000080"/>
                  <w:sz w:val="20"/>
                  <w:u w:val="single"/>
                </w:rPr>
                <w:t>8</w:t>
              </w:r>
            </w:hyperlink>
            <w:hyperlink r:id="rId54">
              <w:r>
                <w:rPr>
                  <w:rStyle w:val="InternetLink"/>
                  <w:rFonts w:ascii="Times New Roman;sans-serif" w:hAnsi="Times New Roman;sans-serif"/>
                  <w:b w:val="false"/>
                  <w:color w:val="000080"/>
                  <w:sz w:val="20"/>
                  <w:u w:val="single"/>
                </w:rPr>
                <w:t xml:space="preserve"> to the Annual Report on Form 10-K (File No. 001-39687), filed with the SEC on March 5, 2025)</w:t>
              </w:r>
            </w:hyperlink>
            <w:hyperlink r:id="rId55">
              <w:r>
                <w:rPr>
                  <w:rStyle w:val="InternetLink"/>
                  <w:rFonts w:ascii="Times New Roman;sans-serif" w:hAnsi="Times New Roman;sans-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r:id="rId56">
              <w:r>
                <w:rPr>
                  <w:rStyle w:val="InternetLink"/>
                  <w:rFonts w:ascii="Times New Roman;sans-serif" w:hAnsi="Times New Roman;sans-serif"/>
                  <w:b w:val="false"/>
                  <w:color w:val="000080"/>
                  <w:sz w:val="20"/>
                  <w:u w:val="single"/>
                </w:rPr>
                <w:t>10.</w:t>
              </w:r>
            </w:hyperlink>
            <w:hyperlink r:id="rId57">
              <w:r>
                <w:rPr>
                  <w:rStyle w:val="InternetLink"/>
                  <w:rFonts w:ascii="Times New Roman;sans-serif" w:hAnsi="Times New Roman;sans-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58">
              <w:r>
                <w:rPr>
                  <w:rStyle w:val="InternetLink"/>
                  <w:rFonts w:ascii="Times New Roman;sans-serif" w:hAnsi="Times New Roman;sans-serif"/>
                  <w:b w:val="false"/>
                  <w:color w:val="000080"/>
                  <w:sz w:val="20"/>
                  <w:u w:val="single"/>
                </w:rPr>
                <w:t>Board Adviser Agreement, dated February 28, 2025, by and among CompoSecure, Inc., Resolute Holdings Management, Inc. and Fradin Consulting LLC</w:t>
              </w:r>
            </w:hyperlink>
            <w:hyperlink r:id="rId59">
              <w:r>
                <w:rPr>
                  <w:rStyle w:val="InternetLink"/>
                  <w:rFonts w:ascii="Times New Roman;sans-serif" w:hAnsi="Times New Roman;sans-serif"/>
                  <w:b w:val="false"/>
                  <w:color w:val="000080"/>
                  <w:sz w:val="20"/>
                  <w:u w:val="single"/>
                </w:rPr>
                <w:t xml:space="preserve"> </w:t>
              </w:r>
            </w:hyperlink>
            <w:hyperlink r:id="rId60">
              <w:r>
                <w:rPr>
                  <w:rStyle w:val="InternetLink"/>
                  <w:rFonts w:ascii="Times New Roman;sans-serif" w:hAnsi="Times New Roman;sans-serif"/>
                  <w:b w:val="false"/>
                  <w:color w:val="000080"/>
                  <w:sz w:val="20"/>
                  <w:u w:val="single"/>
                </w:rPr>
                <w:t>(incorporated by reference to Exhibit 10.3</w:t>
              </w:r>
            </w:hyperlink>
            <w:hyperlink r:id="rId61">
              <w:r>
                <w:rPr>
                  <w:rStyle w:val="InternetLink"/>
                  <w:rFonts w:ascii="Times New Roman;sans-serif" w:hAnsi="Times New Roman;sans-serif"/>
                  <w:b w:val="false"/>
                  <w:color w:val="000080"/>
                  <w:sz w:val="20"/>
                  <w:u w:val="single"/>
                </w:rPr>
                <w:t>9</w:t>
              </w:r>
            </w:hyperlink>
            <w:hyperlink r:id="rId62">
              <w:r>
                <w:rPr>
                  <w:rStyle w:val="InternetLink"/>
                  <w:rFonts w:ascii="Times New Roman;sans-serif" w:hAnsi="Times New Roman;sans-serif"/>
                  <w:b w:val="false"/>
                  <w:color w:val="000080"/>
                  <w:sz w:val="20"/>
                  <w:u w:val="single"/>
                </w:rPr>
                <w:t xml:space="preserve"> to the Annual Report on Form 10-K (File No. 001-39687), filed with the SEC on March 5, 2025)</w:t>
              </w:r>
            </w:hyperlink>
            <w:hyperlink r:id="rId63">
              <w:r>
                <w:rPr>
                  <w:rStyle w:val="InternetLink"/>
                  <w:rFonts w:ascii="Times New Roman;sans-serif" w:hAnsi="Times New Roman;sans-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r:id="rId64">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65">
              <w:r>
                <w:rPr>
                  <w:rStyle w:val="InternetLink"/>
                  <w:rFonts w:ascii="Times New Roman;sans-serif" w:hAnsi="Times New Roman;sans-serif"/>
                  <w:b w:val="false"/>
                  <w:color w:val="000080"/>
                  <w:sz w:val="20"/>
                  <w:u w:val="single"/>
                </w:rPr>
                <w:t>Amended and Restated Offer Letter, dated February 28, 2025, by and between CompoSecure, L.L.C., Resolute Holdings Management, Inc., and David Cote</w:t>
              </w:r>
            </w:hyperlink>
            <w:hyperlink r:id="rId66">
              <w:r>
                <w:rPr>
                  <w:rStyle w:val="InternetLink"/>
                  <w:rFonts w:ascii="Times New Roman;sans-serif" w:hAnsi="Times New Roman;sans-serif"/>
                  <w:b w:val="false"/>
                  <w:color w:val="000080"/>
                  <w:sz w:val="20"/>
                  <w:u w:val="single"/>
                </w:rPr>
                <w:t xml:space="preserve"> </w:t>
              </w:r>
            </w:hyperlink>
            <w:hyperlink r:id="rId67">
              <w:r>
                <w:rPr>
                  <w:rStyle w:val="InternetLink"/>
                  <w:rFonts w:ascii="Times New Roman;sans-serif" w:hAnsi="Times New Roman;sans-serif"/>
                  <w:b w:val="false"/>
                  <w:color w:val="000080"/>
                  <w:sz w:val="20"/>
                  <w:u w:val="single"/>
                </w:rPr>
                <w:t>(incorporated by reference to Exhibit 10.</w:t>
              </w:r>
            </w:hyperlink>
            <w:hyperlink r:id="rId68">
              <w:r>
                <w:rPr>
                  <w:rStyle w:val="InternetLink"/>
                  <w:rFonts w:ascii="Times New Roman;sans-serif" w:hAnsi="Times New Roman;sans-serif"/>
                  <w:b w:val="false"/>
                  <w:color w:val="000080"/>
                  <w:sz w:val="20"/>
                  <w:u w:val="single"/>
                </w:rPr>
                <w:t>41</w:t>
              </w:r>
            </w:hyperlink>
            <w:hyperlink r:id="rId69">
              <w:r>
                <w:rPr>
                  <w:rStyle w:val="InternetLink"/>
                  <w:rFonts w:ascii="Times New Roman;sans-serif" w:hAnsi="Times New Roman;sans-serif"/>
                  <w:b w:val="false"/>
                  <w:color w:val="000080"/>
                  <w:sz w:val="20"/>
                  <w:u w:val="single"/>
                </w:rPr>
                <w:t xml:space="preserve"> to the Annual Report on Form 10-K (File No. 001-39687), filed with the SEC on March 5,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r:id="rId70">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71">
              <w:r>
                <w:rPr>
                  <w:rStyle w:val="InternetLink"/>
                  <w:rFonts w:ascii="Times New Roman;sans-serif" w:hAnsi="Times New Roman;sans-serif"/>
                  <w:b w:val="false"/>
                  <w:color w:val="000080"/>
                  <w:sz w:val="20"/>
                  <w:u w:val="single"/>
                </w:rPr>
                <w:t>Amended and Restated Offer Letter, dated February 28, 2025, by and between CompoSecure, L.L.C., Resolute Holdings Management, Inc., and Thomas Knott</w:t>
              </w:r>
            </w:hyperlink>
            <w:hyperlink r:id="rId72">
              <w:r>
                <w:rPr>
                  <w:rStyle w:val="InternetLink"/>
                  <w:rFonts w:ascii="Times New Roman;sans-serif" w:hAnsi="Times New Roman;sans-serif"/>
                  <w:b w:val="false"/>
                  <w:color w:val="000080"/>
                  <w:sz w:val="20"/>
                  <w:u w:val="single"/>
                </w:rPr>
                <w:t xml:space="preserve"> </w:t>
              </w:r>
            </w:hyperlink>
            <w:hyperlink r:id="rId73">
              <w:r>
                <w:rPr>
                  <w:rStyle w:val="InternetLink"/>
                  <w:rFonts w:ascii="Times New Roman;sans-serif" w:hAnsi="Times New Roman;sans-serif"/>
                  <w:b w:val="false"/>
                  <w:color w:val="000080"/>
                  <w:sz w:val="20"/>
                  <w:u w:val="single"/>
                </w:rPr>
                <w:t>(incorporated by reference to Exhibit 10.4</w:t>
              </w:r>
            </w:hyperlink>
            <w:hyperlink r:id="rId74">
              <w:r>
                <w:rPr>
                  <w:rStyle w:val="InternetLink"/>
                  <w:rFonts w:ascii="Times New Roman;sans-serif" w:hAnsi="Times New Roman;sans-serif"/>
                  <w:b w:val="false"/>
                  <w:color w:val="000080"/>
                  <w:sz w:val="20"/>
                  <w:u w:val="single"/>
                </w:rPr>
                <w:t>2</w:t>
              </w:r>
            </w:hyperlink>
            <w:hyperlink r:id="rId75">
              <w:r>
                <w:rPr>
                  <w:rStyle w:val="InternetLink"/>
                  <w:rFonts w:ascii="Times New Roman;sans-serif" w:hAnsi="Times New Roman;sans-serif"/>
                  <w:b w:val="false"/>
                  <w:color w:val="000080"/>
                  <w:sz w:val="20"/>
                  <w:u w:val="single"/>
                </w:rPr>
                <w:t xml:space="preserve"> to the Annual Report on Form 10-K (File No. 001-39687), filed with the SEC on March 5,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11-sox302certifica.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11-sox302certifica.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2"/>
        <w:gridCol w:w="160"/>
        <w:gridCol w:w="161"/>
        <w:gridCol w:w="109"/>
        <w:gridCol w:w="109"/>
        <w:gridCol w:w="109"/>
        <w:gridCol w:w="3070"/>
        <w:gridCol w:w="3070"/>
        <w:gridCol w:w="3077"/>
        <w:gridCol w:w="158"/>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12-sox302certifica.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12-sox302certifica.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21-section1350cert.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21-section1350cert.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22-section1350cert.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22-section1350cert.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158"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E32E1"/>
                <w:sz w:val="20"/>
              </w:rPr>
            </w:pPr>
            <w:r>
              <w:rPr>
                <w:rFonts w:ascii="Times New Roman;sans-serif" w:hAnsi="Times New Roman;sans-serif"/>
                <w:b w:val="false"/>
                <w:color w:val="0E32E1"/>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E32E1"/>
                <w:sz w:val="20"/>
              </w:rPr>
            </w:pPr>
            <w:r>
              <w:rPr>
                <w:rFonts w:ascii="Times New Roman;sans-serif" w:hAnsi="Times New Roman;sans-serif"/>
                <w:b w:val="false"/>
                <w:color w:val="0E32E1"/>
                <w:sz w:val="20"/>
              </w:rPr>
              <w:t>The following materials from CompoSecure, Inc.'s Form 10-Q for the quarter ended March 31, 2025, formatted in Extensible Business Reporting Language (XBRL): (i) Consolidated Balance Sheets as of March 31, 2025 (Unaudited) and December 31, 2024, (ii) Consolidated Statements of Operations (Unaudited) for the three months ended March 31, 2025 and March 31, 2024, (iii) Consolidated Statements of Comprehensive Income (Unaudited) for the three months ended March 31, 2025 and March 31, 2024, (iv) Consolidated Statements of Stockholders’ Equity (Unaudited) for the three months ended March 31, 2025 and March 31, 2024, (v) Consolidated Statements of Cash Flows (Unaudited) for the three months ended March 31, 2025 and March 31, 2024, and (vi) Notes to Consolidated Financial Statements - Unaudited.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E32E1"/>
                <w:sz w:val="20"/>
              </w:rPr>
            </w:pPr>
            <w:r>
              <w:rPr>
                <w:rFonts w:ascii="Times New Roman;sans-serif" w:hAnsi="Times New Roman;sans-serif"/>
                <w:b w:val="false"/>
                <w:color w:val="0E32E1"/>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E32E1"/>
                <w:sz w:val="20"/>
              </w:rPr>
            </w:pPr>
            <w:r>
              <w:rPr>
                <w:rFonts w:ascii="Times New Roman;sans-serif" w:hAnsi="Times New Roman;sans-serif"/>
                <w:b w:val="false"/>
                <w:color w:val="0E32E1"/>
                <w:sz w:val="20"/>
              </w:rPr>
              <w:t>Cover Page Interactive Data File (embedded within the inline XBRL document)</w:t>
            </w:r>
          </w:p>
        </w:tc>
        <w:tc>
          <w:tcPr>
            <w:tcW w:w="158" w:type="dxa"/>
            <w:tcBorders/>
            <w:vAlign w:val="center"/>
          </w:tcPr>
          <w:p>
            <w:pPr>
              <w:pStyle w:val="TableContents"/>
              <w:bidi w:val="0"/>
              <w:spacing w:before="0" w:after="283"/>
              <w:jc w:val="left"/>
              <w:rPr>
                <w:sz w:val="4"/>
                <w:szCs w:val="4"/>
              </w:rPr>
            </w:pPr>
            <w:r>
              <w:rPr>
                <w:sz w:val="4"/>
                <w:szCs w:val="4"/>
              </w:rPr>
            </w:r>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tbl>
      <w:tblPr>
        <w:tblW w:w="2097" w:type="dxa"/>
        <w:jc w:val="left"/>
        <w:tblInd w:w="0" w:type="dxa"/>
        <w:tblLayout w:type="fixed"/>
        <w:tblCellMar>
          <w:top w:w="28" w:type="dxa"/>
          <w:left w:w="28" w:type="dxa"/>
          <w:bottom w:w="28" w:type="dxa"/>
          <w:right w:w="28" w:type="dxa"/>
        </w:tblCellMar>
      </w:tblPr>
      <w:tblGrid>
        <w:gridCol w:w="124"/>
        <w:gridCol w:w="109"/>
        <w:gridCol w:w="109"/>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tbl>
      <w:tblPr>
        <w:tblW w:w="6117" w:type="dxa"/>
        <w:jc w:val="left"/>
        <w:tblInd w:w="0" w:type="dxa"/>
        <w:tblLayout w:type="fixed"/>
        <w:tblCellMar>
          <w:top w:w="28" w:type="dxa"/>
          <w:left w:w="28" w:type="dxa"/>
          <w:bottom w:w="28" w:type="dxa"/>
          <w:right w:w="28" w:type="dxa"/>
        </w:tblCellMar>
      </w:tblPr>
      <w:tblGrid>
        <w:gridCol w:w="124"/>
        <w:gridCol w:w="109"/>
        <w:gridCol w:w="109"/>
        <w:gridCol w:w="1691"/>
        <w:gridCol w:w="1691"/>
        <w:gridCol w:w="2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or arrangement.</w:t>
            </w:r>
          </w:p>
        </w:tc>
      </w:tr>
    </w:tbl>
    <w:tbl>
      <w:tblPr>
        <w:tblW w:w="10205" w:type="dxa"/>
        <w:jc w:val="left"/>
        <w:tblInd w:w="0" w:type="dxa"/>
        <w:tblLayout w:type="fixed"/>
        <w:tblCellMar>
          <w:top w:w="28" w:type="dxa"/>
          <w:left w:w="28" w:type="dxa"/>
          <w:bottom w:w="28" w:type="dxa"/>
          <w:right w:w="28" w:type="dxa"/>
        </w:tblCellMar>
      </w:tblPr>
      <w:tblGrid>
        <w:gridCol w:w="127"/>
        <w:gridCol w:w="112"/>
        <w:gridCol w:w="112"/>
        <w:gridCol w:w="2883"/>
        <w:gridCol w:w="2883"/>
        <w:gridCol w:w="4088"/>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68" w:before="0" w:after="2"/>
              <w:jc w:val="left"/>
              <w:rPr>
                <w:color w:val="000000"/>
              </w:rPr>
            </w:pPr>
            <w:r>
              <w:rPr>
                <w:color w:val="000000"/>
              </w:rPr>
              <w:t>†</w:t>
            </w:r>
          </w:p>
        </w:tc>
        <w:tc>
          <w:tcPr>
            <w:tcW w:w="985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exhibits to this agreement have been omitted pursuant to Item 601(b)(2) of Regulation S-K. A copy of any omitted schedule and/or exhibit will be furnished to the SEC upon request.</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68" w:before="0" w:after="2"/>
              <w:jc w:val="left"/>
              <w:rPr>
                <w:color w:val="000000"/>
              </w:rPr>
            </w:pPr>
            <w:r>
              <w:rPr>
                <w:color w:val="000000"/>
              </w:rPr>
              <w:t>††</w:t>
            </w:r>
          </w:p>
        </w:tc>
        <w:tc>
          <w:tcPr>
            <w:tcW w:w="985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redacted provisions or terms of this Exhibit pursuant to Regulation S-K Item 601(b)(10)(iv). The Company agrees to furnish an unredacted copy of the Exhibit to the SEC upon its request.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56"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5679"/>
        <w:jc w:val="left"/>
        <w:rPr/>
      </w:pPr>
      <w:r>
        <w:rPr/>
      </w:r>
    </w:p>
    <w:p>
      <w:pPr>
        <w:pStyle w:val="TextBody"/>
        <w:bidi w:val="0"/>
        <w:spacing w:before="0" w:after="0"/>
        <w:ind w:left="0" w:right="0" w:firstLine="5679"/>
        <w:jc w:val="left"/>
        <w:rPr/>
      </w:pPr>
      <w:r>
        <w:rPr/>
      </w:r>
    </w:p>
    <w:tbl>
      <w:tblPr>
        <w:tblW w:w="7709" w:type="dxa"/>
        <w:jc w:val="left"/>
        <w:tblInd w:w="0" w:type="dxa"/>
        <w:tblLayout w:type="fixed"/>
        <w:tblCellMar>
          <w:top w:w="28" w:type="dxa"/>
          <w:left w:w="28" w:type="dxa"/>
          <w:bottom w:w="28" w:type="dxa"/>
          <w:right w:w="28" w:type="dxa"/>
        </w:tblCellMar>
      </w:tblPr>
      <w:tblGrid>
        <w:gridCol w:w="1146"/>
        <w:gridCol w:w="1007"/>
        <w:gridCol w:w="1008"/>
        <w:gridCol w:w="261"/>
        <w:gridCol w:w="261"/>
        <w:gridCol w:w="261"/>
        <w:gridCol w:w="1099"/>
        <w:gridCol w:w="1099"/>
        <w:gridCol w:w="1567"/>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tcMar>
              <w:top w:w="0" w:type="dxa"/>
              <w:left w:w="0" w:type="dxa"/>
              <w:bottom w:w="0" w:type="dxa"/>
              <w:right w:w="0" w:type="dxa"/>
            </w:tcMar>
            <w:vAlign w:val="center"/>
          </w:tcPr>
          <w:p>
            <w:pPr>
              <w:pStyle w:val="TableContents"/>
              <w:bidi w:val="0"/>
              <w:spacing w:before="0" w:after="2"/>
              <w:ind w:left="0" w:right="0" w:firstLine="3060"/>
              <w:jc w:val="left"/>
              <w:rPr/>
            </w:pPr>
            <w:r>
              <w:rPr/>
            </w:r>
          </w:p>
        </w:tc>
        <w:tc>
          <w:tcPr>
            <w:tcW w:w="454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CompoSecure, Inc.</w:t>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c>
        <w:tc>
          <w:tcPr>
            <w:tcW w:w="783"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37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Jonathan C. Wilk</w:t>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left"/>
              <w:rPr>
                <w:rFonts w:ascii="Times New Roman;sans-serif" w:hAnsi="Times New Roman;sans-serif"/>
                <w:b w:val="false"/>
                <w:color w:val="231F20"/>
                <w:sz w:val="20"/>
              </w:rPr>
            </w:pPr>
            <w:r>
              <w:rPr>
                <w:rFonts w:ascii="Times New Roman;sans-serif" w:hAnsi="Times New Roman;sans-serif"/>
                <w:b w:val="false"/>
                <w:color w:val="231F20"/>
                <w:sz w:val="20"/>
              </w:rPr>
              <w:t>Name: Jonathan C. Wilk</w:t>
            </w:r>
          </w:p>
          <w:p>
            <w:pPr>
              <w:pStyle w:val="TableContents"/>
              <w:bidi w:val="0"/>
              <w:spacing w:lineRule="auto" w:line="276" w:before="0" w:after="2"/>
              <w:jc w:val="left"/>
              <w:rPr>
                <w:rFonts w:ascii="Times New Roman;sans-serif" w:hAnsi="Times New Roman;sans-serif"/>
                <w:b w:val="false"/>
                <w:color w:val="231F20"/>
                <w:sz w:val="20"/>
              </w:rPr>
            </w:pPr>
            <w:r>
              <w:rPr>
                <w:rFonts w:ascii="Times New Roman;sans-serif" w:hAnsi="Times New Roman;sans-serif"/>
                <w:b w:val="false"/>
                <w:color w:val="231F20"/>
                <w:sz w:val="20"/>
              </w:rPr>
              <w:t>Title: President and Chief Executive Officer</w:t>
            </w:r>
          </w:p>
          <w:p>
            <w:pPr>
              <w:pStyle w:val="TableContents"/>
              <w:bidi w:val="0"/>
              <w:spacing w:lineRule="auto" w:line="276" w:before="0" w:after="2"/>
              <w:jc w:val="left"/>
              <w:rPr>
                <w:rFonts w:ascii="Times New Roman;sans-serif" w:hAnsi="Times New Roman;sans-serif"/>
                <w:b w:val="false"/>
                <w:color w:val="231F20"/>
                <w:sz w:val="20"/>
              </w:rPr>
            </w:pPr>
            <w:r>
              <w:rPr>
                <w:rFonts w:ascii="Times New Roman;sans-serif" w:hAnsi="Times New Roman;sans-serif"/>
                <w:b w:val="false"/>
                <w:color w:val="231F20"/>
                <w:sz w:val="20"/>
              </w:rPr>
              <w:t>(Principal Executive Officer</w:t>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231F20"/>
                <w:sz w:val="20"/>
              </w:rPr>
            </w:pPr>
            <w:r>
              <w:rPr>
                <w:rFonts w:ascii="Times New Roman;sans-serif" w:hAnsi="Times New Roman;sans-serif"/>
                <w:b w:val="false"/>
                <w:color w:val="231F20"/>
                <w:sz w:val="20"/>
              </w:rPr>
              <w:t>Date: May 12, 2025</w:t>
            </w:r>
          </w:p>
        </w:tc>
        <w:tc>
          <w:tcPr>
            <w:tcW w:w="783" w:type="dxa"/>
            <w:gridSpan w:val="3"/>
            <w:tcBorders/>
            <w:tcMar>
              <w:top w:w="0" w:type="dxa"/>
              <w:left w:w="0" w:type="dxa"/>
              <w:bottom w:w="0" w:type="dxa"/>
              <w:right w:w="0" w:type="dxa"/>
            </w:tcMar>
            <w:vAlign w:val="center"/>
          </w:tcPr>
          <w:p>
            <w:pPr>
              <w:pStyle w:val="TableContents"/>
              <w:bidi w:val="0"/>
              <w:spacing w:lineRule="auto" w:line="276" w:before="0" w:after="2"/>
              <w:jc w:val="right"/>
              <w:rPr>
                <w:rFonts w:ascii="Times New Roman;sans-serif" w:hAnsi="Times New Roman;sans-serif"/>
                <w:b w:val="false"/>
                <w:color w:val="231F20"/>
                <w:sz w:val="20"/>
              </w:rPr>
            </w:pPr>
            <w:r>
              <w:rPr>
                <w:rFonts w:ascii="Times New Roman;sans-serif" w:hAnsi="Times New Roman;sans-serif"/>
                <w:b w:val="false"/>
                <w:color w:val="231F20"/>
                <w:sz w:val="20"/>
              </w:rPr>
              <w:t>By:</w:t>
            </w:r>
          </w:p>
          <w:p>
            <w:pPr>
              <w:pStyle w:val="TableContents"/>
              <w:bidi w:val="0"/>
              <w:spacing w:before="0" w:after="2"/>
              <w:jc w:val="right"/>
              <w:rPr/>
            </w:pPr>
            <w:r>
              <w:rPr/>
            </w:r>
          </w:p>
        </w:tc>
        <w:tc>
          <w:tcPr>
            <w:tcW w:w="376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231F20"/>
              </w:rPr>
            </w:pPr>
            <w:r>
              <w:rPr>
                <w:color w:val="231F20"/>
              </w:rPr>
              <w:t> </w:t>
            </w:r>
            <w:r>
              <w:rPr>
                <w:rFonts w:ascii="Times New Roman;sans-serif" w:hAnsi="Times New Roman;sans-serif"/>
                <w:b w:val="false"/>
                <w:color w:val="231F20"/>
                <w:sz w:val="20"/>
              </w:rPr>
              <w:t>/s/ Timothy Fitzsimmons</w:t>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
              <w:jc w:val="left"/>
              <w:rPr/>
            </w:pPr>
            <w:r>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u w:val="single"/>
              </w:rPr>
              <w:t xml:space="preserve">Name: </w:t>
            </w:r>
            <w:r>
              <w:rPr>
                <w:rFonts w:ascii="Times New Roman;sans-serif" w:hAnsi="Times New Roman;sans-serif"/>
                <w:b w:val="false"/>
                <w:color w:val="000000"/>
                <w:sz w:val="20"/>
              </w:rPr>
              <w:t>Timothy Fitzsimmons</w:t>
            </w:r>
          </w:p>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Wilk, certify that: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CompoSecure, Inc.;</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_</w:t>
      </w:r>
      <w:r>
        <w:rPr>
          <w:rFonts w:ascii="Times New Roman;sans-serif" w:hAnsi="Times New Roman;sans-serif"/>
          <w:b w:val="false"/>
          <w:color w:val="000000"/>
          <w:sz w:val="20"/>
          <w:u w:val="single"/>
        </w:rPr>
        <w:t>/s/ Jonathan Wilk</w:t>
      </w:r>
      <w:r>
        <w:rPr>
          <w:rFonts w:ascii="Times New Roman;sans-serif" w:hAnsi="Times New Roman;sans-serif"/>
          <w:b w:val="false"/>
          <w:color w:val="000000"/>
          <w:sz w:val="20"/>
        </w:rPr>
        <w:t>________________</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Wilk</w:t>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President and Chief Executive Officer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Timothy Fitzsimmons, certify that: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CompoSecure, Inc.;</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_</w:t>
      </w:r>
      <w:r>
        <w:rPr>
          <w:rFonts w:ascii="Times New Roman;sans-serif" w:hAnsi="Times New Roman;sans-serif"/>
          <w:b w:val="false"/>
          <w:color w:val="000000"/>
          <w:sz w:val="20"/>
          <w:u w:val="single"/>
        </w:rPr>
        <w:t>/s/ Timothy Fitzsimmons</w:t>
      </w:r>
      <w:r>
        <w:rPr>
          <w:rFonts w:ascii="Times New Roman;sans-serif" w:hAnsi="Times New Roman;sans-serif"/>
          <w:b w:val="false"/>
          <w:color w:val="000000"/>
          <w:sz w:val="20"/>
        </w:rPr>
        <w:t>________________</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CompoSecure, Inc., a Delaware corporation (the “Company”), on Form 10-Q for the quarter ended March 31, 2025,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_</w:t>
      </w:r>
      <w:r>
        <w:rPr>
          <w:rFonts w:ascii="Times New Roman;sans-serif" w:hAnsi="Times New Roman;sans-serif"/>
          <w:b w:val="false"/>
          <w:color w:val="000000"/>
          <w:sz w:val="20"/>
          <w:u w:val="single"/>
        </w:rPr>
        <w:t>/s/ Jonathan Wilk</w:t>
      </w:r>
      <w:r>
        <w:rPr>
          <w:rFonts w:ascii="Times New Roman;sans-serif" w:hAnsi="Times New Roman;sans-serif"/>
          <w:b w:val="false"/>
          <w:color w:val="000000"/>
          <w:sz w:val="20"/>
        </w:rPr>
        <w:t>________________</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Wilk</w:t>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center"/>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CompoSecure, Inc., a Delaware corporation (the “Company”), on Form 10-Q for the quarter ended March 31, 2025,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_</w:t>
      </w:r>
      <w:r>
        <w:rPr>
          <w:rFonts w:ascii="Times New Roman;sans-serif" w:hAnsi="Times New Roman;sans-serif"/>
          <w:b w:val="false"/>
          <w:color w:val="000000"/>
          <w:sz w:val="20"/>
          <w:u w:val="single"/>
        </w:rPr>
        <w:t>/s/ Timothy Fitzsimmons</w:t>
      </w:r>
      <w:r>
        <w:rPr>
          <w:rFonts w:ascii="Times New Roman;sans-serif" w:hAnsi="Times New Roman;sans-serif"/>
          <w:b w:val="false"/>
          <w:color w:val="000000"/>
          <w:sz w:val="20"/>
        </w:rPr>
        <w:t>________________</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3144/000182314425000004/ex23-sdaexecution.htm" TargetMode="External"/><Relationship Id="rId3" Type="http://schemas.openxmlformats.org/officeDocument/2006/relationships/hyperlink" Target="https://www.sec.gov/Archives/edgar/data/1823144/000182314425000004/ex23-sdaexecution.htm" TargetMode="External"/><Relationship Id="rId4" Type="http://schemas.openxmlformats.org/officeDocument/2006/relationships/hyperlink" Target="https://www.sec.gov/Archives/edgar/data/1823144/000182314425000004/ex23-sdaexecution.htm" TargetMode="External"/><Relationship Id="rId5" Type="http://schemas.openxmlformats.org/officeDocument/2006/relationships/hyperlink" Target="https://www.sec.gov/Archives/edgar/data/1823144/000182314425000004/ex23-sdaexecution.htm" TargetMode="External"/><Relationship Id="rId6" Type="http://schemas.openxmlformats.org/officeDocument/2006/relationships/hyperlink" Target="https://www.sec.gov/Archives/edgar/data/1823144/000182314425000004/ex23-sdaexecution.htm" TargetMode="External"/><Relationship Id="rId7" Type="http://schemas.openxmlformats.org/officeDocument/2006/relationships/hyperlink" Target="https://www.sec.gov/Archives/edgar/data/1823144/000182314425000004/ex23-sdaexecution.htm" TargetMode="External"/><Relationship Id="rId8" Type="http://schemas.openxmlformats.org/officeDocument/2006/relationships/hyperlink" Target="https://www.sec.gov/Archives/edgar/data/1823144/000182314425000004/ex23-sdaexecution.htm" TargetMode="External"/><Relationship Id="rId9" Type="http://schemas.openxmlformats.org/officeDocument/2006/relationships/hyperlink" Target="https://www.sec.gov/Archives/edgar/data/1823144/000182314425000004/ex23-sdaexecution.htm" TargetMode="External"/><Relationship Id="rId10" Type="http://schemas.openxmlformats.org/officeDocument/2006/relationships/hyperlink" Target="https://www.sec.gov/Archives/edgar/data/1823144/000182314425000004/ex23-sdaexecution.htm" TargetMode="External"/><Relationship Id="rId11" Type="http://schemas.openxmlformats.org/officeDocument/2006/relationships/hyperlink" Target="https://www.sec.gov/Archives/edgar/data/1823144/000182314425000004/ex23-sdaexecution.htm" TargetMode="External"/><Relationship Id="rId12" Type="http://schemas.openxmlformats.org/officeDocument/2006/relationships/hyperlink" Target="https://www.sec.gov/Archives/edgar/data/1823144/000182314425000004/ex23-sdaexecution.htm" TargetMode="External"/><Relationship Id="rId13" Type="http://schemas.openxmlformats.org/officeDocument/2006/relationships/hyperlink" Target="https://www.sec.gov/Archives/edgar/data/1823144/000182314425000004/ex23-sdaexecution.htm" TargetMode="External"/><Relationship Id="rId14" Type="http://schemas.openxmlformats.org/officeDocument/2006/relationships/hyperlink" Target="https://www.sec.gov/Archives/edgar/data/1823144/000182314425000004/ex23-sdaexecution.htm" TargetMode="External"/><Relationship Id="rId15" Type="http://schemas.openxmlformats.org/officeDocument/2006/relationships/hyperlink" Target="https://www.sec.gov/Archives/edgar/data/1823144/000182314425000004/ex23-sdaexecution.htm" TargetMode="External"/><Relationship Id="rId16" Type="http://schemas.openxmlformats.org/officeDocument/2006/relationships/hyperlink" Target="https://www.sec.gov/Archives/edgar/data/1823144/000182314425000004/ex23-sdaexecution.htm" TargetMode="External"/><Relationship Id="rId17" Type="http://schemas.openxmlformats.org/officeDocument/2006/relationships/hyperlink" Target="https://www.sec.gov/Archives/edgar/data/1823144/000182314425000004/ex23-sdaexecution.htm" TargetMode="External"/><Relationship Id="rId18" Type="http://schemas.openxmlformats.org/officeDocument/2006/relationships/hyperlink" Target="https://www.sec.gov/Archives/edgar/data/1823144/000182314425000004/ex23-sdaexecution.htm" TargetMode="External"/><Relationship Id="rId19" Type="http://schemas.openxmlformats.org/officeDocument/2006/relationships/hyperlink" Target="https://www.sec.gov/Archives/edgar/data/1823144/000182314425000004/ex23-sdaexecution.htm" TargetMode="External"/><Relationship Id="rId20" Type="http://schemas.openxmlformats.org/officeDocument/2006/relationships/hyperlink" Target="https://www.sec.gov/Archives/edgar/data/1823144/000182314425000004/exhibit10-15piercerenewa.htm" TargetMode="External"/><Relationship Id="rId21" Type="http://schemas.openxmlformats.org/officeDocument/2006/relationships/hyperlink" Target="https://www.sec.gov/Archives/edgar/data/1823144/000182314425000004/exhibit10-15piercerenewa.htm" TargetMode="External"/><Relationship Id="rId22" Type="http://schemas.openxmlformats.org/officeDocument/2006/relationships/hyperlink" Target="https://www.sec.gov/Archives/edgar/data/1823144/000182314425000004/exhibit10-15piercerenewa.htm" TargetMode="External"/><Relationship Id="rId23" Type="http://schemas.openxmlformats.org/officeDocument/2006/relationships/hyperlink" Target="https://www.sec.gov/Archives/edgar/data/1823144/000182314425000004/exhibit10-15piercerenewa.htm" TargetMode="External"/><Relationship Id="rId24" Type="http://schemas.openxmlformats.org/officeDocument/2006/relationships/hyperlink" Target="https://www.sec.gov/Archives/edgar/data/1823144/000182314425000004/exhibit10-15piercerenewa.htm" TargetMode="External"/><Relationship Id="rId25" Type="http://schemas.openxmlformats.org/officeDocument/2006/relationships/hyperlink" Target="https://www.sec.gov/Archives/edgar/data/1823144/000182314425000004/ex1034-managementagreement.htm" TargetMode="External"/><Relationship Id="rId26" Type="http://schemas.openxmlformats.org/officeDocument/2006/relationships/hyperlink" Target="https://www.sec.gov/Archives/edgar/data/1823144/000182314425000004/ex1034-managementagreement.htm" TargetMode="External"/><Relationship Id="rId27" Type="http://schemas.openxmlformats.org/officeDocument/2006/relationships/hyperlink" Target="https://www.sec.gov/Archives/edgar/data/1823144/000182314425000004/ex1034-managementagreement.htm" TargetMode="External"/><Relationship Id="rId28" Type="http://schemas.openxmlformats.org/officeDocument/2006/relationships/hyperlink" Target="https://www.sec.gov/Archives/edgar/data/1823144/000182314425000004/ex1034-managementagreement.htm" TargetMode="External"/><Relationship Id="rId29" Type="http://schemas.openxmlformats.org/officeDocument/2006/relationships/hyperlink" Target="https://www.sec.gov/Archives/edgar/data/1823144/000182314425000004/ex1034-managementagreement.htm" TargetMode="External"/><Relationship Id="rId30" Type="http://schemas.openxmlformats.org/officeDocument/2006/relationships/hyperlink" Target="https://www.sec.gov/Archives/edgar/data/1823144/000182314425000004/ex1034-managementagreement.htm" TargetMode="External"/><Relationship Id="rId31" Type="http://schemas.openxmlformats.org/officeDocument/2006/relationships/hyperlink" Target="https://www.sec.gov/Archives/edgar/data/1823144/000182314425000004/ex1034-managementagreement.htm" TargetMode="External"/><Relationship Id="rId32" Type="http://schemas.openxmlformats.org/officeDocument/2006/relationships/hyperlink" Target="https://www.sec.gov/Archives/edgar/data/1823144/000182314425000004/ex1034-managementagreement.htm" TargetMode="External"/><Relationship Id="rId33" Type="http://schemas.openxmlformats.org/officeDocument/2006/relationships/hyperlink" Target="https://www.sec.gov/Archives/edgar/data/1823144/000182314425000004/ex1034-managementagreement.htm" TargetMode="External"/><Relationship Id="rId34" Type="http://schemas.openxmlformats.org/officeDocument/2006/relationships/hyperlink" Target="https://www.sec.gov/Archives/edgar/data/1823144/000182314425000004/ex1035-usstateandlocaltaxs.htm" TargetMode="External"/><Relationship Id="rId35" Type="http://schemas.openxmlformats.org/officeDocument/2006/relationships/hyperlink" Target="https://www.sec.gov/Archives/edgar/data/1823144/000182314425000004/ex1035-usstateandlocaltaxs.htm" TargetMode="External"/><Relationship Id="rId36" Type="http://schemas.openxmlformats.org/officeDocument/2006/relationships/hyperlink" Target="https://www.sec.gov/Archives/edgar/data/1823144/000182314425000004/ex1035-usstateandlocaltaxs.htm" TargetMode="External"/><Relationship Id="rId37" Type="http://schemas.openxmlformats.org/officeDocument/2006/relationships/hyperlink" Target="https://www.sec.gov/Archives/edgar/data/1823144/000182314425000004/ex1035-usstateandlocaltaxs.htm" TargetMode="External"/><Relationship Id="rId38" Type="http://schemas.openxmlformats.org/officeDocument/2006/relationships/hyperlink" Target="https://www.sec.gov/Archives/edgar/data/1823144/000182314425000004/ex1035-usstateandlocaltaxs.htm" TargetMode="External"/><Relationship Id="rId39" Type="http://schemas.openxmlformats.org/officeDocument/2006/relationships/hyperlink" Target="https://www.sec.gov/Archives/edgar/data/1823144/000182314425000004/ex1035-usstateandlocaltaxs.htm" TargetMode="External"/><Relationship Id="rId40" Type="http://schemas.openxmlformats.org/officeDocument/2006/relationships/hyperlink" Target="https://www.sec.gov/Archives/edgar/data/1823144/000182314425000004/ex1035-usstateandlocaltaxs.htm" TargetMode="External"/><Relationship Id="rId41" Type="http://schemas.openxmlformats.org/officeDocument/2006/relationships/hyperlink" Target="https://www.sec.gov/Archives/edgar/data/1823144/000182314425000004/ex1036-letteragreementexec.htm" TargetMode="External"/><Relationship Id="rId42" Type="http://schemas.openxmlformats.org/officeDocument/2006/relationships/hyperlink" Target="https://www.sec.gov/Archives/edgar/data/1823144/000182314425000004/ex1036-letteragreementexec.htm" TargetMode="External"/><Relationship Id="rId43" Type="http://schemas.openxmlformats.org/officeDocument/2006/relationships/hyperlink" Target="https://www.sec.gov/Archives/edgar/data/1823144/000182314425000004/ex1036-letteragreementexec.htm" TargetMode="External"/><Relationship Id="rId44" Type="http://schemas.openxmlformats.org/officeDocument/2006/relationships/hyperlink" Target="https://www.sec.gov/Archives/edgar/data/1823144/000182314425000004/ex1036-letteragreementexec.htm" TargetMode="External"/><Relationship Id="rId45" Type="http://schemas.openxmlformats.org/officeDocument/2006/relationships/hyperlink" Target="https://www.sec.gov/Archives/edgar/data/1823144/000182314425000004/ex1036-letteragreementexec.htm" TargetMode="External"/><Relationship Id="rId46" Type="http://schemas.openxmlformats.org/officeDocument/2006/relationships/hyperlink" Target="https://www.sec.gov/Archives/edgar/data/1823144/000182314425000004/ex1036-letteragreementexec.htm" TargetMode="External"/><Relationship Id="rId47" Type="http://schemas.openxmlformats.org/officeDocument/2006/relationships/hyperlink" Target="https://www.sec.gov/Archives/edgar/data/1823144/000182314425000004/ex1036-letteragreementexec.htm" TargetMode="External"/><Relationship Id="rId48" Type="http://schemas.openxmlformats.org/officeDocument/2006/relationships/hyperlink" Target="https://www.sec.gov/Archives/edgar/data/1823144/000182314425000004/ex1038-waiveragreementexec.htm" TargetMode="External"/><Relationship Id="rId49" Type="http://schemas.openxmlformats.org/officeDocument/2006/relationships/hyperlink" Target="https://www.sec.gov/Archives/edgar/data/1823144/000182314425000004/ex1038-waiveragreementexec.htm" TargetMode="External"/><Relationship Id="rId50" Type="http://schemas.openxmlformats.org/officeDocument/2006/relationships/hyperlink" Target="https://www.sec.gov/Archives/edgar/data/1823144/000182314425000004/ex1038-waiveragreementexec.htm" TargetMode="External"/><Relationship Id="rId51" Type="http://schemas.openxmlformats.org/officeDocument/2006/relationships/hyperlink" Target="https://www.sec.gov/Archives/edgar/data/1823144/000182314425000004/ex1038-waiveragreementexec.htm" TargetMode="External"/><Relationship Id="rId52" Type="http://schemas.openxmlformats.org/officeDocument/2006/relationships/hyperlink" Target="https://www.sec.gov/Archives/edgar/data/1823144/000182314425000004/ex1038-waiveragreementexec.htm" TargetMode="External"/><Relationship Id="rId53" Type="http://schemas.openxmlformats.org/officeDocument/2006/relationships/hyperlink" Target="https://www.sec.gov/Archives/edgar/data/1823144/000182314425000004/ex1038-waiveragreementexec.htm" TargetMode="External"/><Relationship Id="rId54" Type="http://schemas.openxmlformats.org/officeDocument/2006/relationships/hyperlink" Target="https://www.sec.gov/Archives/edgar/data/1823144/000182314425000004/ex1038-waiveragreementexec.htm" TargetMode="External"/><Relationship Id="rId55" Type="http://schemas.openxmlformats.org/officeDocument/2006/relationships/hyperlink" Target="https://www.sec.gov/Archives/edgar/data/1823144/000182314425000004/ex1038-waiveragreementexec.htm" TargetMode="External"/><Relationship Id="rId56" Type="http://schemas.openxmlformats.org/officeDocument/2006/relationships/hyperlink" Target="https://www.sec.gov/Archives/edgar/data/1823144/000182314425000004/ex1039-boardadviseragreeme.htm" TargetMode="External"/><Relationship Id="rId57" Type="http://schemas.openxmlformats.org/officeDocument/2006/relationships/hyperlink" Target="https://www.sec.gov/Archives/edgar/data/1823144/000182314425000004/ex1039-boardadviseragreeme.htm" TargetMode="External"/><Relationship Id="rId58" Type="http://schemas.openxmlformats.org/officeDocument/2006/relationships/hyperlink" Target="https://www.sec.gov/Archives/edgar/data/1823144/000182314425000004/ex1039-boardadviseragreeme.htm" TargetMode="External"/><Relationship Id="rId59" Type="http://schemas.openxmlformats.org/officeDocument/2006/relationships/hyperlink" Target="https://www.sec.gov/Archives/edgar/data/1823144/000182314425000004/ex1039-boardadviseragreeme.htm" TargetMode="External"/><Relationship Id="rId60" Type="http://schemas.openxmlformats.org/officeDocument/2006/relationships/hyperlink" Target="https://www.sec.gov/Archives/edgar/data/1823144/000182314425000004/ex1039-boardadviseragreeme.htm" TargetMode="External"/><Relationship Id="rId61" Type="http://schemas.openxmlformats.org/officeDocument/2006/relationships/hyperlink" Target="https://www.sec.gov/Archives/edgar/data/1823144/000182314425000004/ex1039-boardadviseragreeme.htm" TargetMode="External"/><Relationship Id="rId62" Type="http://schemas.openxmlformats.org/officeDocument/2006/relationships/hyperlink" Target="https://www.sec.gov/Archives/edgar/data/1823144/000182314425000004/ex1039-boardadviseragreeme.htm" TargetMode="External"/><Relationship Id="rId63" Type="http://schemas.openxmlformats.org/officeDocument/2006/relationships/hyperlink" Target="https://www.sec.gov/Archives/edgar/data/1823144/000182314425000004/ex1039-boardadviseragreeme.htm" TargetMode="External"/><Relationship Id="rId64" Type="http://schemas.openxmlformats.org/officeDocument/2006/relationships/hyperlink" Target="https://www.sec.gov/Archives/edgar/data/1823144/000182314425000004/ex1041-davidmcotexarofferl.htm" TargetMode="External"/><Relationship Id="rId65" Type="http://schemas.openxmlformats.org/officeDocument/2006/relationships/hyperlink" Target="https://www.sec.gov/Archives/edgar/data/1823144/000182314425000004/ex1041-davidmcotexarofferl.htm" TargetMode="External"/><Relationship Id="rId66" Type="http://schemas.openxmlformats.org/officeDocument/2006/relationships/hyperlink" Target="https://www.sec.gov/Archives/edgar/data/1823144/000182314425000004/ex1041-davidmcotexarofferl.htm" TargetMode="External"/><Relationship Id="rId67" Type="http://schemas.openxmlformats.org/officeDocument/2006/relationships/hyperlink" Target="https://www.sec.gov/Archives/edgar/data/1823144/000182314425000004/ex1041-davidmcotexarofferl.htm" TargetMode="External"/><Relationship Id="rId68" Type="http://schemas.openxmlformats.org/officeDocument/2006/relationships/hyperlink" Target="https://www.sec.gov/Archives/edgar/data/1823144/000182314425000004/ex1041-davidmcotexarofferl.htm" TargetMode="External"/><Relationship Id="rId69" Type="http://schemas.openxmlformats.org/officeDocument/2006/relationships/hyperlink" Target="https://www.sec.gov/Archives/edgar/data/1823144/000182314425000004/ex1041-davidmcotexarofferl.htm" TargetMode="External"/><Relationship Id="rId70" Type="http://schemas.openxmlformats.org/officeDocument/2006/relationships/hyperlink" Target="https://www.sec.gov/Archives/edgar/data/1823144/000182314425000004/ex1042-thomasrknottxaroffe.htm" TargetMode="External"/><Relationship Id="rId71" Type="http://schemas.openxmlformats.org/officeDocument/2006/relationships/hyperlink" Target="https://www.sec.gov/Archives/edgar/data/1823144/000182314425000004/ex1042-thomasrknottxaroffe.htm" TargetMode="External"/><Relationship Id="rId72" Type="http://schemas.openxmlformats.org/officeDocument/2006/relationships/hyperlink" Target="https://www.sec.gov/Archives/edgar/data/1823144/000182314425000004/ex1042-thomasrknottxaroffe.htm" TargetMode="External"/><Relationship Id="rId73" Type="http://schemas.openxmlformats.org/officeDocument/2006/relationships/hyperlink" Target="https://www.sec.gov/Archives/edgar/data/1823144/000182314425000004/ex1042-thomasrknottxaroffe.htm" TargetMode="External"/><Relationship Id="rId74" Type="http://schemas.openxmlformats.org/officeDocument/2006/relationships/hyperlink" Target="https://www.sec.gov/Archives/edgar/data/1823144/000182314425000004/ex1042-thomasrknottxaroffe.htm" TargetMode="External"/><Relationship Id="rId75" Type="http://schemas.openxmlformats.org/officeDocument/2006/relationships/hyperlink" Target="https://www.sec.gov/Archives/edgar/data/1823144/000182314425000004/ex1042-thomasrknottxaroffe.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39243</Words>
  <Characters>219072</Characters>
  <CharactersWithSpaces>257013</CharactersWithSpaces>
  <Paragraphs>2346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