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rhld-20260806x8k.htm"/>
      <w:bookmarkStart w:id="1" w:name="ksrhld20260806x8k"/>
      <w:bookmarkEnd w:id="0"/>
      <w:bookmarkEnd w:id="1"/>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 w:name="_950f6af3_d776_4715_8039_0127a82050aa"/>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6,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Resolute Holdings Management,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dsE9xePZ20CPtxoZkZBy0Q_2_2"/>
      <w:bookmarkStart w:id="4" w:name="Tc_XzBpr1dvIEa4XZMUDdGgWA_2_1"/>
      <w:bookmarkStart w:id="5" w:name="Tc__o6h0K-BNEmxkICaTX3WDQ_2_0"/>
      <w:bookmarkStart w:id="6" w:name="_403ae941_cd60_4615_aae0_2cf93fb70eef"/>
      <w:bookmarkStart w:id="7" w:name="Tc_dsE9xePZ20CPtxoZkZBy0Q_2_2"/>
      <w:bookmarkStart w:id="8" w:name="Tc_XzBpr1dvIEa4XZMUDdGgWA_2_1"/>
      <w:bookmarkStart w:id="9" w:name="Tc__o6h0K-BNEmxkICaTX3WDQ_2_0"/>
      <w:bookmarkStart w:id="10" w:name="_403ae941_cd60_4615_aae0_2cf93fb70eef"/>
      <w:bookmarkEnd w:id="7"/>
      <w:bookmarkEnd w:id="8"/>
      <w:bookmarkEnd w:id="9"/>
      <w:bookmarkEnd w:id="10"/>
    </w:p>
    <w:tbl>
      <w:tblPr>
        <w:tblW w:w="5358" w:type="dxa"/>
        <w:jc w:val="left"/>
        <w:tblInd w:w="0" w:type="dxa"/>
        <w:tblLayout w:type="fixed"/>
        <w:tblCellMar>
          <w:top w:w="0" w:type="dxa"/>
          <w:left w:w="0" w:type="dxa"/>
          <w:bottom w:w="0" w:type="dxa"/>
          <w:right w:w="0" w:type="dxa"/>
        </w:tblCellMar>
      </w:tblPr>
      <w:tblGrid>
        <w:gridCol w:w="2446"/>
        <w:gridCol w:w="1231"/>
        <w:gridCol w:w="16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p>
        </w:tc>
        <w:tc>
          <w:tcPr>
            <w:tcW w:w="1231"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Nevada</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001-42458</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33-1246734</w: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Incorporation)</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Number)</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Identification No.</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HkiWgobmHk2V4VHnmnkiAg_2_1"/>
      <w:bookmarkStart w:id="12" w:name="Tc_oeonTxFhTUGEb_fyF9GRKg_2_0"/>
      <w:bookmarkStart w:id="13" w:name="Tc_x3_ZEy-7mEqXfUoVw8aWzw_1_0"/>
      <w:bookmarkStart w:id="14" w:name="_2c52b256_6f28_4a1e_a3ec_014cb8bcc7e9"/>
      <w:bookmarkStart w:id="15" w:name="Tc_HkiWgobmHk2V4VHnmnkiAg_2_1"/>
      <w:bookmarkStart w:id="16" w:name="Tc_oeonTxFhTUGEb_fyF9GRKg_2_0"/>
      <w:bookmarkStart w:id="17" w:name="Tc_x3_ZEy-7mEqXfUoVw8aWzw_1_0"/>
      <w:bookmarkStart w:id="18" w:name="_2c52b256_6f28_4a1e_a3ec_014cb8bcc7e9"/>
      <w:bookmarkEnd w:id="15"/>
      <w:bookmarkEnd w:id="16"/>
      <w:bookmarkEnd w:id="17"/>
      <w:bookmarkEnd w:id="18"/>
    </w:p>
    <w:tbl>
      <w:tblPr>
        <w:tblW w:w="4532" w:type="dxa"/>
        <w:jc w:val="left"/>
        <w:tblInd w:w="0" w:type="dxa"/>
        <w:tblLayout w:type="fixed"/>
        <w:tblCellMar>
          <w:top w:w="0" w:type="dxa"/>
          <w:left w:w="0" w:type="dxa"/>
          <w:bottom w:w="0" w:type="dxa"/>
          <w:right w:w="0" w:type="dxa"/>
        </w:tblCellMar>
      </w:tblPr>
      <w:tblGrid>
        <w:gridCol w:w="3481"/>
        <w:gridCol w:w="105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7385" cy="29210"/>
                      <wp:effectExtent l="0" t="0" r="0" b="0"/>
                      <wp:wrapNone/>
                      <wp:docPr id="1" name="Frame1"/>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445 Park Avenue, Suite 5B</w:t>
            </w:r>
            <w:r>
              <w:rPr>
                <w:rFonts w:ascii="Times New Roman;Times;serif" w:hAnsi="Times New Roman;Times;serif"/>
                <w:sz w:val="20"/>
              </w:rPr>
              <w:br/>
            </w:r>
            <w:r>
              <w:rPr>
                <w:rFonts w:ascii="Times New Roman;Times;serif" w:hAnsi="Times New Roman;Times;serif"/>
                <w:b/>
                <w:sz w:val="20"/>
              </w:rPr>
              <w:t>New York, NY</w:t>
            </w:r>
            <w:r>
              <w:rPr>
                <w:rFonts w:ascii="Times New Roman;Times;serif" w:hAnsi="Times New Roman;Times;serif"/>
                <w:sz w:val="20"/>
              </w:rPr>
              <w:t xml:space="preserve">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10022</w:t>
            </w:r>
          </w:p>
        </w:tc>
      </w:tr>
      <w:tr>
        <w:trPr/>
        <w:tc>
          <w:tcPr>
            <w:tcW w:w="34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(212) 256-8405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cH24qD3O4UuhncHGb_ftAg_1_4"/>
      <w:bookmarkStart w:id="20" w:name="Tc_84wTiWKz7UuaAYXlSQxnYQ_1_2"/>
      <w:bookmarkStart w:id="21" w:name="Tc_lSwI13IrEUaVPLje__4w3Q_1_0"/>
      <w:bookmarkStart w:id="22" w:name="_d5bfe12a_4f25_4eec_b9dd_e4b147b42949"/>
      <w:bookmarkStart w:id="23" w:name="Tc_cH24qD3O4UuhncHGb_ftAg_1_4"/>
      <w:bookmarkStart w:id="24" w:name="Tc_84wTiWKz7UuaAYXlSQxnYQ_1_2"/>
      <w:bookmarkStart w:id="25" w:name="Tc_lSwI13IrEUaVPLje__4w3Q_1_0"/>
      <w:bookmarkStart w:id="26" w:name="_d5bfe12a_4f25_4eec_b9dd_e4b147b42949"/>
      <w:bookmarkEnd w:id="23"/>
      <w:bookmarkEnd w:id="24"/>
      <w:bookmarkEnd w:id="25"/>
      <w:bookmarkEnd w:id="26"/>
    </w:p>
    <w:tbl>
      <w:tblPr>
        <w:tblW w:w="9770" w:type="dxa"/>
        <w:jc w:val="left"/>
        <w:tblInd w:w="0" w:type="dxa"/>
        <w:tblLayout w:type="fixed"/>
        <w:tblCellMar>
          <w:top w:w="0" w:type="dxa"/>
          <w:left w:w="0" w:type="dxa"/>
          <w:bottom w:w="0" w:type="dxa"/>
          <w:right w:w="0" w:type="dxa"/>
        </w:tblCellMar>
      </w:tblPr>
      <w:tblGrid>
        <w:gridCol w:w="3676"/>
        <w:gridCol w:w="286"/>
        <w:gridCol w:w="1696"/>
        <w:gridCol w:w="286"/>
        <w:gridCol w:w="3826"/>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34260" cy="29210"/>
                      <wp:effectExtent l="0" t="0" r="0" b="0"/>
                      <wp:wrapNone/>
                      <wp:docPr id="2" name="Frame2"/>
                      <a:graphic xmlns:a="http://schemas.openxmlformats.org/drawingml/2006/main">
                        <a:graphicData uri="http://schemas.microsoft.com/office/word/2010/wordprocessingShape">
                          <wps:wsp>
                            <wps:cNvSpPr txBox="1"/>
                            <wps:spPr>
                              <a:xfrm>
                                <a:off x="0" y="0"/>
                                <a:ext cx="2334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1610" cy="29210"/>
                      <wp:effectExtent l="0" t="0" r="0" b="0"/>
                      <wp:wrapNone/>
                      <wp:docPr id="3" name="Frame3"/>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76960" cy="29210"/>
                      <wp:effectExtent l="0" t="0" r="0" b="0"/>
                      <wp:wrapNone/>
                      <wp:docPr id="4" name="Frame4"/>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1610" cy="29210"/>
                      <wp:effectExtent l="0" t="0" r="0" b="0"/>
                      <wp:wrapNone/>
                      <wp:docPr id="5" name="Frame5"/>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429510" cy="29210"/>
                      <wp:effectExtent l="0" t="0" r="0" b="0"/>
                      <wp:wrapNone/>
                      <wp:docPr id="6" name="Frame6"/>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67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86" w:type="dxa"/>
            <w:tcBorders>
              <w:bottom w:val="single" w:sz="8" w:space="0" w:color="000000"/>
            </w:tcBorders>
            <w:tcMar>
              <w:bottom w:w="28" w:type="dxa"/>
            </w:tcMar>
            <w:vAlign w:val="center"/>
          </w:tcPr>
          <w:p>
            <w:pPr>
              <w:pStyle w:val="TableContents"/>
              <w:bidi w:val="0"/>
              <w:spacing w:before="0" w:after="0"/>
              <w:ind w:left="0" w:right="0" w:hanging="0"/>
              <w:jc w:val="left"/>
              <w:rPr/>
            </w:pPr>
            <w:r>
              <w:rPr/>
              <w:t>  ​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286" w:type="dxa"/>
            <w:tcBorders>
              <w:bottom w:val="single" w:sz="8" w:space="0" w:color="000000"/>
            </w:tcBorders>
            <w:tcMar>
              <w:bottom w:w="28" w:type="dxa"/>
            </w:tcMar>
            <w:vAlign w:val="center"/>
          </w:tcPr>
          <w:p>
            <w:pPr>
              <w:pStyle w:val="TableContents"/>
              <w:bidi w:val="0"/>
              <w:spacing w:before="0" w:after="0"/>
              <w:ind w:left="0" w:right="0" w:hanging="0"/>
              <w:jc w:val="left"/>
              <w:rPr/>
            </w:pPr>
            <w:r>
              <w:rPr/>
              <w:t>  ​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286" w:type="dxa"/>
            <w:tcBorders/>
            <w:vAlign w:val="center"/>
          </w:tcPr>
          <w:p>
            <w:pPr>
              <w:pStyle w:val="TableContents"/>
              <w:bidi w:val="0"/>
              <w:spacing w:before="0" w:after="0"/>
              <w:ind w:left="0" w:right="0" w:hanging="0"/>
              <w:jc w:val="left"/>
              <w:rPr/>
            </w:pPr>
            <w:r>
              <w:rPr/>
              <w:t> </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RHLD</w:t>
            </w:r>
          </w:p>
        </w:tc>
        <w:tc>
          <w:tcPr>
            <w:tcW w:w="286" w:type="dxa"/>
            <w:tcBorders/>
            <w:vAlign w:val="center"/>
          </w:tcPr>
          <w:p>
            <w:pPr>
              <w:pStyle w:val="TableContents"/>
              <w:bidi w:val="0"/>
              <w:spacing w:before="0" w:after="0"/>
              <w:ind w:left="0" w:right="0" w:hanging="0"/>
              <w:jc w:val="left"/>
              <w:rPr/>
            </w:pPr>
            <w:r>
              <w:rPr/>
              <w:t> </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7" w:name="_6e4c616a_c92e_4c6c_9043_b38badf610fe"/>
      <w:bookmarkEnd w:id="27"/>
      <w:r>
        <w:rPr>
          <w:rFonts w:ascii="Times New Roman;Times;serif" w:hAnsi="Times New Roman;Times;serif"/>
          <w:b/>
          <w:sz w:val="20"/>
        </w:rPr>
        <w:t>Item 2.02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6, 2026, Resolute Holdings Management, Inc. (the “Company”) issued a press release announcing its financial results for the three and six months ended June 30, 2026. A copy of the press release is attached hereto as Exhibit 99.1.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Item 2.02 of this Form 8-K, including the information set forth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(d) Exhibits</w:t>
      </w:r>
    </w:p>
    <w:p>
      <w:pPr>
        <w:pStyle w:val="TextBody"/>
        <w:bidi w:val="0"/>
        <w:spacing w:before="0" w:after="0"/>
        <w:ind w:left="0" w:right="0" w:hanging="0"/>
        <w:jc w:val="left"/>
        <w:rPr/>
      </w:pPr>
      <w:r>
        <w:rPr/>
        <w:t>​</w:t>
      </w:r>
    </w:p>
    <w:tbl>
      <w:tblPr>
        <w:tblW w:w="8043" w:type="dxa"/>
        <w:jc w:val="left"/>
        <w:tblInd w:w="0" w:type="dxa"/>
        <w:tblLayout w:type="fixed"/>
        <w:tblCellMar>
          <w:top w:w="0" w:type="dxa"/>
          <w:left w:w="0" w:type="dxa"/>
          <w:bottom w:w="0" w:type="dxa"/>
          <w:right w:w="0" w:type="dxa"/>
        </w:tblCellMar>
      </w:tblPr>
      <w:tblGrid>
        <w:gridCol w:w="751"/>
        <w:gridCol w:w="346"/>
        <w:gridCol w:w="6946"/>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76885" cy="29210"/>
                      <wp:effectExtent l="0" t="0" r="0" b="0"/>
                      <wp:wrapNone/>
                      <wp:docPr id="7" name="Frame7"/>
                      <a:graphic xmlns:a="http://schemas.openxmlformats.org/drawingml/2006/main">
                        <a:graphicData uri="http://schemas.microsoft.com/office/word/2010/wordprocessingShape">
                          <wps:wsp>
                            <wps:cNvSpPr txBox="1"/>
                            <wps:spPr>
                              <a:xfrm>
                                <a:off x="0" y="0"/>
                                <a:ext cx="476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29210"/>
                      <wp:effectExtent l="0" t="0" r="0" b="0"/>
                      <wp:wrapNone/>
                      <wp:docPr id="8" name="Frame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410710" cy="29210"/>
                      <wp:effectExtent l="0" t="0" r="0" b="0"/>
                      <wp:wrapNone/>
                      <wp:docPr id="9" name="Frame9"/>
                      <a:graphic xmlns:a="http://schemas.openxmlformats.org/drawingml/2006/main">
                        <a:graphicData uri="http://schemas.microsoft.com/office/word/2010/wordprocessingShape">
                          <wps:wsp>
                            <wps:cNvSpPr txBox="1"/>
                            <wps:spPr>
                              <a:xfrm>
                                <a:off x="0" y="0"/>
                                <a:ext cx="441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 </w:t>
            </w:r>
          </w:p>
        </w:tc>
        <w:tc>
          <w:tcPr>
            <w:tcW w:w="6946" w:type="dxa"/>
            <w:tcBorders>
              <w:top w:val="single" w:sz="2" w:space="0" w:color="000000"/>
            </w:tcBorders>
            <w:tcMar>
              <w:top w:w="28" w:type="dxa"/>
            </w:tcMar>
            <w:vAlign w:val="center"/>
          </w:tcPr>
          <w:p>
            <w:pPr>
              <w:pStyle w:val="TableContents"/>
              <w:bidi w:val="0"/>
              <w:spacing w:before="0" w:after="0"/>
              <w:ind w:left="0" w:right="0" w:hanging="0"/>
              <w:jc w:val="left"/>
              <w:rPr/>
            </w:pPr>
            <w:hyperlink w:anchor="rhld-20260806xex99d1.htm">
              <w:r>
                <w:rPr>
                  <w:rStyle w:val="InternetLink"/>
                  <w:rFonts w:ascii="Times New Roman;Times;serif" w:hAnsi="Times New Roman;Times;serif"/>
                  <w:b w:val="false"/>
                  <w:i w:val="false"/>
                  <w:caps w:val="false"/>
                  <w:smallCaps w:val="false"/>
                  <w:sz w:val="20"/>
                </w:rPr>
                <w:t>Press release, dated August 6, 2026, issued by Resolute Holdings Management, Inc.</w:t>
              </w:r>
            </w:hyperlink>
            <w:r>
              <w:rPr>
                <w:rFonts w:ascii="Times New Roman;Times;serif" w:hAnsi="Times New Roman;Times;serif"/>
                <w:sz w:val="20"/>
              </w:rPr>
              <w:t xml:space="preserve"> </w:t>
            </w:r>
          </w:p>
        </w:tc>
      </w:tr>
      <w:tr>
        <w:trPr/>
        <w:tc>
          <w:tcPr>
            <w:tcW w:w="7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6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8" w:name="_88e6129b_3145_4982_b707_2b0e8051b04c"/>
      <w:bookmarkEnd w:id="28"/>
      <w:r>
        <w:rPr>
          <w:rFonts w:ascii="Times New Roman;Times;serif" w:hAnsi="Times New Roman;Times;serif"/>
          <w:b/>
          <w:sz w:val="20"/>
        </w:rPr>
        <w:t>SIGNATURE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36" w:type="dxa"/>
        <w:jc w:val="left"/>
        <w:tblInd w:w="0" w:type="dxa"/>
        <w:tblLayout w:type="fixed"/>
        <w:tblCellMar>
          <w:top w:w="0" w:type="dxa"/>
          <w:left w:w="0" w:type="dxa"/>
          <w:bottom w:w="0" w:type="dxa"/>
          <w:right w:w="0" w:type="dxa"/>
        </w:tblCellMar>
      </w:tblPr>
      <w:tblGrid>
        <w:gridCol w:w="1050"/>
        <w:gridCol w:w="3195"/>
        <w:gridCol w:w="191"/>
      </w:tblGrid>
      <w:tr>
        <w:trPr/>
        <w:tc>
          <w:tcPr>
            <w:tcW w:w="1050" w:type="dxa"/>
            <w:tcBorders/>
            <w:vAlign w:val="center"/>
          </w:tcPr>
          <w:p>
            <w:pPr>
              <w:pStyle w:val="TableContents"/>
              <w:bidi w:val="0"/>
              <w:spacing w:before="0" w:after="283"/>
              <w:ind w:left="0" w:right="0" w:hanging="0"/>
              <w:jc w:val="left"/>
              <w:rPr>
                <w:sz w:val="4"/>
                <w:szCs w:val="4"/>
              </w:rPr>
            </w:pPr>
            <w:r>
              <w:rPr>
                <w:sz w:val="4"/>
                <w:szCs w:val="4"/>
              </w:rPr>
            </w:r>
          </w:p>
        </w:tc>
        <w:tc>
          <w:tcPr>
            <w:tcW w:w="3195"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424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RESOLUTE HOLDINGS MANAGEMENT, INC.</w:t>
            </w:r>
          </w:p>
        </w:tc>
        <w:tc>
          <w:tcPr>
            <w:tcW w:w="191" w:type="dxa"/>
            <w:tcBorders/>
            <w:vAlign w:val="center"/>
          </w:tcPr>
          <w:p>
            <w:pPr>
              <w:pStyle w:val="TableContents"/>
              <w:bidi w:val="0"/>
              <w:spacing w:before="0" w:after="0"/>
              <w:ind w:left="0" w:right="0" w:hanging="0"/>
              <w:jc w:val="left"/>
              <w:rPr/>
            </w:pPr>
            <w:r>
              <w:rPr/>
              <w:t> </w:t>
            </w:r>
          </w:p>
        </w:tc>
      </w:tr>
      <w:tr>
        <w:trPr/>
        <w:tc>
          <w:tcPr>
            <w:tcW w:w="424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left"/>
              <w:rPr/>
            </w:pPr>
            <w:r>
              <w:rPr/>
              <w:t> </w:t>
            </w:r>
          </w:p>
        </w:tc>
      </w:tr>
      <w:tr>
        <w:trPr/>
        <w:tc>
          <w:tcPr>
            <w:tcW w:w="1050" w:type="dxa"/>
            <w:tcBorders/>
            <w:vAlign w:val="center"/>
          </w:tcPr>
          <w:p>
            <w:pPr>
              <w:pStyle w:val="TableContents"/>
              <w:bidi w:val="0"/>
              <w:spacing w:before="0" w:after="283"/>
              <w:ind w:left="0" w:right="0" w:hanging="0"/>
              <w:jc w:val="left"/>
              <w:rPr>
                <w:sz w:val="4"/>
                <w:szCs w:val="4"/>
              </w:rPr>
            </w:pPr>
            <w:r>
              <w:rPr>
                <w:sz w:val="4"/>
                <w:szCs w:val="4"/>
              </w:rPr>
            </w:r>
          </w:p>
        </w:tc>
        <w:tc>
          <w:tcPr>
            <w:tcW w:w="3195"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0"/>
              <w:ind w:left="0" w:right="0" w:hanging="0"/>
              <w:jc w:val="left"/>
              <w:rPr/>
            </w:pPr>
            <w:r>
              <w:rPr/>
              <w:t> </w:t>
            </w:r>
          </w:p>
        </w:tc>
      </w:tr>
      <w:tr>
        <w:trPr/>
        <w:tc>
          <w:tcPr>
            <w:tcW w:w="1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95"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Kurt Schoen</w:t>
            </w:r>
          </w:p>
        </w:tc>
        <w:tc>
          <w:tcPr>
            <w:tcW w:w="191" w:type="dxa"/>
            <w:tcBorders/>
            <w:vAlign w:val="center"/>
          </w:tcPr>
          <w:p>
            <w:pPr>
              <w:pStyle w:val="TableContents"/>
              <w:bidi w:val="0"/>
              <w:spacing w:before="0" w:after="0"/>
              <w:ind w:left="0" w:right="0" w:hanging="0"/>
              <w:jc w:val="left"/>
              <w:rPr/>
            </w:pPr>
            <w:r>
              <w:rPr/>
              <w:t> </w:t>
            </w:r>
          </w:p>
        </w:tc>
      </w:tr>
      <w:tr>
        <w:trPr/>
        <w:tc>
          <w:tcPr>
            <w:tcW w:w="1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Kurt Schoen</w:t>
            </w:r>
          </w:p>
        </w:tc>
        <w:tc>
          <w:tcPr>
            <w:tcW w:w="191" w:type="dxa"/>
            <w:tcBorders/>
            <w:vAlign w:val="center"/>
          </w:tcPr>
          <w:p>
            <w:pPr>
              <w:pStyle w:val="TableContents"/>
              <w:bidi w:val="0"/>
              <w:spacing w:before="0" w:after="0"/>
              <w:ind w:left="0" w:right="0" w:hanging="0"/>
              <w:jc w:val="left"/>
              <w:rPr/>
            </w:pPr>
            <w:r>
              <w:rPr/>
              <w:t> </w:t>
            </w:r>
          </w:p>
        </w:tc>
      </w:tr>
      <w:tr>
        <w:trPr/>
        <w:tc>
          <w:tcPr>
            <w:tcW w:w="1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right"/>
        <w:rPr>
          <w:rFonts w:ascii="Arial;Helvetica;sans-serif" w:hAnsi="Arial;Helvetica;sans-serif"/>
          <w:b/>
          <w:sz w:val="20"/>
        </w:rPr>
      </w:pPr>
      <w:bookmarkStart w:id="29" w:name="rhld-20260806xex99d1.htm"/>
      <w:bookmarkStart w:id="30" w:name="ksrhld20260806xex99d1"/>
      <w:bookmarkEnd w:id="29"/>
      <w:bookmarkEnd w:id="30"/>
      <w:r>
        <w:rPr>
          <w:rFonts w:ascii="Arial;Helvetica;sans-serif" w:hAnsi="Arial;Helvetica;sans-serif"/>
          <w:b/>
          <w:sz w:val="20"/>
        </w:rPr>
        <w:t>Exhibit 99.1</w:t>
      </w:r>
      <w:r>
        <w:br w:type="page"/>
      </w:r>
    </w:p>
    <w:tbl>
      <w:tblPr>
        <w:tblW w:w="4651" w:type="dxa"/>
        <w:jc w:val="center"/>
        <w:tblInd w:w="0" w:type="dxa"/>
        <w:tblLayout w:type="fixed"/>
        <w:tblCellMar>
          <w:top w:w="0" w:type="dxa"/>
          <w:left w:w="0" w:type="dxa"/>
          <w:bottom w:w="0" w:type="dxa"/>
          <w:right w:w="0" w:type="dxa"/>
        </w:tblCellMar>
      </w:tblPr>
      <w:tblGrid>
        <w:gridCol w:w="2251"/>
        <w:gridCol w:w="2400"/>
      </w:tblGrid>
      <w:tr>
        <w:trPr/>
        <w:tc>
          <w:tcPr>
            <w:tcW w:w="2251" w:type="dxa"/>
            <w:tcBorders/>
            <w:vAlign w:val="center"/>
          </w:tcPr>
          <w:p>
            <w:pPr>
              <w:pStyle w:val="TableContents"/>
              <w:bidi w:val="0"/>
              <w:spacing w:before="0" w:after="0"/>
              <w:ind w:left="0" w:right="0" w:hanging="0"/>
              <w:jc w:val="left"/>
              <w:rPr/>
            </w:pPr>
            <w:r>
              <w:rPr/>
              <w:t>​</w:t>
            </w:r>
          </w:p>
        </w:tc>
        <w:tc>
          <w:tcPr>
            <w:tcW w:w="2400" w:type="dxa"/>
            <w:tcBorders/>
            <w:vAlign w:val="center"/>
          </w:tcPr>
          <w:p>
            <w:pPr>
              <w:pStyle w:val="TableContents"/>
              <w:bidi w:val="0"/>
              <w:spacing w:before="0" w:after="0"/>
              <w:ind w:left="0" w:right="0" w:hanging="0"/>
              <w:jc w:val="left"/>
              <w:rPr/>
            </w:pPr>
            <w:r>
              <w:rPr/>
              <w:t>​</w:t>
            </w:r>
          </w:p>
        </w:tc>
      </w:tr>
      <w:tr>
        <w:trPr/>
        <w:tc>
          <w:tcPr>
            <w:tcW w:w="2251" w:type="dxa"/>
            <w:tcBorders>
              <w:bottom w:val="single" w:sz="48" w:space="0" w:color="7F7F7F"/>
            </w:tcBorders>
            <w:tcMar>
              <w:bottom w:w="28" w:type="dxa"/>
            </w:tcMar>
            <w:vAlign w:val="center"/>
          </w:tcPr>
          <w:p>
            <w:pPr>
              <w:pStyle w:val="TableContents"/>
              <w:bidi w:val="0"/>
              <w:spacing w:before="0" w:after="60"/>
              <w:ind w:left="0" w:right="0" w:hanging="0"/>
              <w:jc w:val="left"/>
              <w:rPr>
                <w:rFonts w:ascii="Arial;Helvetica;sans-serif" w:hAnsi="Arial;Helvetica;sans-serif"/>
                <w:b/>
                <w:sz w:val="32"/>
              </w:rPr>
            </w:pPr>
            <w:r>
              <w:rPr>
                <w:rFonts w:ascii="Arial;Helvetica;sans-serif" w:hAnsi="Arial;Helvetica;sans-serif"/>
                <w:b/>
                <w:sz w:val="32"/>
              </w:rPr>
              <w:t>News Release</w:t>
            </w:r>
          </w:p>
        </w:tc>
        <w:tc>
          <w:tcPr>
            <w:tcW w:w="2400" w:type="dxa"/>
            <w:tcBorders>
              <w:bottom w:val="single" w:sz="48" w:space="0" w:color="7F7F7F"/>
            </w:tcBorders>
            <w:tcMar>
              <w:bottom w:w="28" w:type="dxa"/>
            </w:tcMar>
            <w:vAlign w:val="center"/>
          </w:tcPr>
          <w:p>
            <w:pPr>
              <w:pStyle w:val="TableContents"/>
              <w:bidi w:val="0"/>
              <w:spacing w:before="0" w:after="60"/>
              <w:ind w:left="0" w:right="0" w:hanging="0"/>
              <w:jc w:val="right"/>
              <w:rPr/>
            </w:pPr>
            <w:r>
              <w:rPr/>
              <w:drawing>
                <wp:inline distT="0" distB="0" distL="0" distR="0">
                  <wp:extent cx="1440815" cy="28003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440815" cy="28003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Resolute Holdings Reports Second Quarter 2026 Results</w:t>
      </w:r>
    </w:p>
    <w:p>
      <w:pPr>
        <w:pStyle w:val="TextBody"/>
        <w:bidi w:val="0"/>
        <w:spacing w:before="0" w:after="160"/>
        <w:ind w:left="0" w:right="0" w:hanging="0"/>
        <w:jc w:val="both"/>
        <w:rPr>
          <w:rFonts w:ascii="Arial;Helvetica;sans-serif" w:hAnsi="Arial;Helvetica;sans-serif"/>
          <w:sz w:val="20"/>
        </w:rPr>
      </w:pPr>
      <w:r>
        <w:rPr>
          <w:rFonts w:ascii="Arial;Helvetica;sans-serif" w:hAnsi="Arial;Helvetica;sans-serif"/>
          <w:b/>
          <w:sz w:val="20"/>
        </w:rPr>
        <w:t xml:space="preserve">NEW YORK, NY, </w:t>
      </w:r>
      <w:r>
        <w:rPr>
          <w:rFonts w:ascii="Arial;Helvetica;sans-serif" w:hAnsi="Arial;Helvetica;sans-serif"/>
          <w:sz w:val="20"/>
        </w:rPr>
        <w:t xml:space="preserve">August 6, 2026 (GLOBE NEWSWIRE) – </w:t>
      </w:r>
      <w:r>
        <w:rPr>
          <w:rFonts w:ascii="Arial;Helvetica;sans-serif" w:hAnsi="Arial;Helvetica;sans-serif"/>
          <w:color w:val="212121"/>
          <w:sz w:val="20"/>
        </w:rPr>
        <w:t>Resolute Holdings Management, Inc. (“Resolute Holdings”) (NYSE: RHLD), an operating management company responsible for providing management services to the operating businesses of GPGI, Inc. (“GPGI”) (NYSE: GPGI), today reported financial results for its fiscal second quarter ended June 30, 2026. Resolute Holdings reported second quarter earnings per share attributable to common stockholders of $(1.53) compared to ($0.07) in the prior year and Non-GAAP Fee-Related Earnings per share of $0.69 compared to $0.08 in the prior year. The increase in Non-GAAP profitability was driven by the higher fee stream as a result of the execution of the management agreement with Husky Holdings LLC (“Husky Holdings”) in January 2026, along with organic growth in fees from the CompoSecure management agreement. During the second quarter and through the end of July, the company repurchased $50.0 million in common shares in open market purchases and has reduced its shares outstanding by approximately 8.3% since the spin-off.</w:t>
      </w:r>
    </w:p>
    <w:p>
      <w:pPr>
        <w:pStyle w:val="TextBody"/>
        <w:bidi w:val="0"/>
        <w:spacing w:before="0" w:after="0"/>
        <w:ind w:left="0" w:right="0" w:hanging="0"/>
        <w:jc w:val="both"/>
        <w:rPr>
          <w:color w:val="212121"/>
        </w:rPr>
      </w:pPr>
      <w:r>
        <w:rPr>
          <w:color w:val="212121"/>
        </w:rPr>
        <w:t>​</w:t>
      </w:r>
    </w:p>
    <w:p>
      <w:pPr>
        <w:pStyle w:val="TextBody"/>
        <w:bidi w:val="0"/>
        <w:spacing w:before="0" w:after="0"/>
        <w:ind w:left="0" w:right="0" w:hanging="0"/>
        <w:jc w:val="both"/>
        <w:rPr>
          <w:rFonts w:ascii="Arial;Helvetica;sans-serif" w:hAnsi="Arial;Helvetica;sans-serif"/>
          <w:color w:val="212121"/>
          <w:sz w:val="20"/>
        </w:rPr>
      </w:pPr>
      <w:r>
        <w:rPr>
          <w:rFonts w:ascii="Arial;Helvetica;sans-serif" w:hAnsi="Arial;Helvetica;sans-serif"/>
          <w:color w:val="212121"/>
          <w:sz w:val="20"/>
        </w:rPr>
        <w:t>As a result of the spin-off from GPGI and execution of the management agreement with GPGI Holdings, L.L.C. (“GPGI Holdings”), Resolute Holdings is required to consolidate the financial results of GPGI Holdings (and its subsidiaries, including Husky Holdings) in accordance with U.S. GAAP. This presentation of financial results does not represent the underlying economics or the positive attributes of Resolute Holdings’ standalone business model, which consist of recurring, long-duration management fees and a relatively fixed expense base. The results of the Resolute Holdings standalone business and associated Non-GAAP Fee-Related Earnings calculation are included below to provide a clear picture of the economic performance of the business directly attributable to shareholders of RHLD. This release includes such results presented in accordance with U.S. GAAP, as well as certain Non-GAAP measures, including Fee-Related Earnings. See “Use of Non-GAAP Financial Measures” below.</w:t>
      </w:r>
    </w:p>
    <w:p>
      <w:pPr>
        <w:pStyle w:val="TextBody"/>
        <w:bidi w:val="0"/>
        <w:spacing w:before="0" w:after="0"/>
        <w:ind w:left="0" w:right="0" w:hanging="0"/>
        <w:jc w:val="both"/>
        <w:rPr>
          <w:color w:val="212121"/>
        </w:rPr>
      </w:pPr>
      <w:r>
        <w:rPr>
          <w:color w:val="212121"/>
        </w:rPr>
        <w:t>​</w:t>
      </w:r>
    </w:p>
    <w:p>
      <w:pPr>
        <w:pStyle w:val="TextBody"/>
        <w:bidi w:val="0"/>
        <w:spacing w:before="0" w:after="0"/>
        <w:ind w:left="0" w:right="0" w:hanging="0"/>
        <w:jc w:val="both"/>
        <w:rPr>
          <w:color w:val="212121"/>
        </w:rPr>
      </w:pPr>
      <w:r>
        <w:rPr>
          <w:color w:val="212121"/>
        </w:rPr>
        <w:t>​</w:t>
      </w:r>
    </w:p>
    <w:p>
      <w:pPr>
        <w:pStyle w:val="TextBody"/>
        <w:bidi w:val="0"/>
        <w:spacing w:before="0" w:after="160"/>
        <w:ind w:left="0" w:right="0" w:hanging="0"/>
        <w:jc w:val="center"/>
        <w:rPr>
          <w:rFonts w:ascii="Arial;Helvetica;sans-serif" w:hAnsi="Arial;Helvetica;sans-serif"/>
          <w:b/>
          <w:sz w:val="18"/>
        </w:rPr>
      </w:pPr>
      <w:r>
        <w:rPr>
          <w:rFonts w:ascii="Arial;Helvetica;sans-serif" w:hAnsi="Arial;Helvetica;sans-serif"/>
          <w:b/>
          <w:sz w:val="18"/>
        </w:rPr>
        <w:t>Resolute Holdings Segment Financial Information (GAAP); Fee-Related Earnings and Fee-Related Earnings Per Share (Non-GAAP) ($ in millions except per share figures)</w:t>
      </w:r>
    </w:p>
    <w:tbl>
      <w:tblPr>
        <w:tblW w:w="8304" w:type="dxa"/>
        <w:jc w:val="left"/>
        <w:tblInd w:w="0" w:type="dxa"/>
        <w:tblLayout w:type="fixed"/>
        <w:tblCellMar>
          <w:top w:w="0" w:type="dxa"/>
          <w:left w:w="0" w:type="dxa"/>
          <w:bottom w:w="0" w:type="dxa"/>
          <w:right w:w="0" w:type="dxa"/>
        </w:tblCellMar>
      </w:tblPr>
      <w:tblGrid>
        <w:gridCol w:w="6181"/>
        <w:gridCol w:w="109"/>
        <w:gridCol w:w="266"/>
        <w:gridCol w:w="664"/>
        <w:gridCol w:w="109"/>
        <w:gridCol w:w="260"/>
        <w:gridCol w:w="715"/>
      </w:tblGrid>
      <w:tr>
        <w:trPr/>
        <w:tc>
          <w:tcPr>
            <w:tcW w:w="6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924935" cy="175260"/>
                      <wp:effectExtent l="0" t="0" r="0" b="0"/>
                      <wp:wrapNone/>
                      <wp:docPr id="11" name="Frame10"/>
                      <a:graphic xmlns:a="http://schemas.openxmlformats.org/drawingml/2006/main">
                        <a:graphicData uri="http://schemas.microsoft.com/office/word/2010/wordprocessingShape">
                          <wps:wsp>
                            <wps:cNvSpPr txBox="1"/>
                            <wps:spPr>
                              <a:xfrm>
                                <a:off x="0" y="0"/>
                                <a:ext cx="392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8910" cy="175260"/>
                      <wp:effectExtent l="0" t="0" r="0" b="0"/>
                      <wp:wrapNone/>
                      <wp:docPr id="13" name="Frame1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21640" cy="175260"/>
                      <wp:effectExtent l="0" t="0" r="0" b="0"/>
                      <wp:wrapNone/>
                      <wp:docPr id="14" name="Frame13"/>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5"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65100" cy="175260"/>
                      <wp:effectExtent l="0" t="0" r="0" b="0"/>
                      <wp:wrapNone/>
                      <wp:docPr id="16" name="Frame1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54025" cy="175260"/>
                      <wp:effectExtent l="0" t="0" r="0" b="0"/>
                      <wp:wrapNone/>
                      <wp:docPr id="17" name="Frame16"/>
                      <a:graphic xmlns:a="http://schemas.openxmlformats.org/drawingml/2006/main">
                        <a:graphicData uri="http://schemas.microsoft.com/office/word/2010/wordprocessingShape">
                          <wps:wsp>
                            <wps:cNvSpPr txBox="1"/>
                            <wps:spPr>
                              <a:xfrm>
                                <a:off x="0" y="0"/>
                                <a:ext cx="454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w:t>
            </w:r>
          </w:p>
        </w:tc>
        <w:tc>
          <w:tcPr>
            <w:tcW w:w="109"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w:t>
            </w:r>
          </w:p>
        </w:tc>
      </w:tr>
      <w:tr>
        <w:trPr/>
        <w:tc>
          <w:tcPr>
            <w:tcW w:w="6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w:t>
            </w:r>
          </w:p>
        </w:tc>
        <w:tc>
          <w:tcPr>
            <w:tcW w:w="109"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ended</w:t>
            </w:r>
          </w:p>
        </w:tc>
      </w:tr>
      <w:tr>
        <w:trPr/>
        <w:tc>
          <w:tcPr>
            <w:tcW w:w="6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109"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Management fees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13.6</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Operating expenses</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(0.4)</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other income (expense)</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(0.9)</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0.1</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Income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Income tax (expense) </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(20.7)</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(0.3)</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(0.6)</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 per share attributable to common stockholders - diluted</w:t>
            </w:r>
          </w:p>
        </w:tc>
        <w:tc>
          <w:tcPr>
            <w:tcW w:w="109"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(1.53)</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(0.07)</w:t>
            </w:r>
          </w:p>
        </w:tc>
      </w:tr>
      <w:tr>
        <w:trPr/>
        <w:tc>
          <w:tcPr>
            <w:tcW w:w="6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66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15" w:type="dxa"/>
            <w:tcBorders/>
            <w:shd w:fill="CCEEFF" w:val="clear"/>
            <w:vAlign w:val="center"/>
          </w:tcPr>
          <w:p>
            <w:pPr>
              <w:pStyle w:val="TableContents"/>
              <w:bidi w:val="0"/>
              <w:spacing w:before="0" w:after="0"/>
              <w:ind w:left="0" w:right="0" w:hanging="0"/>
              <w:jc w:val="lef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u w:val="single"/>
              </w:rPr>
            </w:pPr>
            <w:r>
              <w:rPr>
                <w:rFonts w:ascii="Times New Roman;Times;serif" w:hAnsi="Times New Roman;Times;serif"/>
                <w:sz w:val="14"/>
                <w:u w:val="single"/>
              </w:rPr>
              <w:t>Adjustments to reconcile Fee-Related Earnings to net income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 Equity-based compensation expensed at Resolute Holdings under GPGI Equity Plan (1)</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Less: Tax impact from consolidation of GPGI Holdings (2)</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right"/>
              <w:rPr/>
            </w:pPr>
            <w:r>
              <w:rPr/>
              <w:t>—</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tax impact of pre-tax adjustments (3)</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Fee-Related Earnings</w:t>
            </w:r>
          </w:p>
        </w:tc>
        <w:tc>
          <w:tcPr>
            <w:tcW w:w="10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0.7</w:t>
            </w:r>
          </w:p>
        </w:tc>
      </w:tr>
      <w:tr>
        <w:trPr/>
        <w:tc>
          <w:tcPr>
            <w:tcW w:w="6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Fee-Related Earnings per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 xml:space="preserve">0.69 </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5"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 xml:space="preserve">0.08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(1)</w:t>
            </w:r>
          </w:p>
        </w:tc>
        <w:tc>
          <w:tcPr>
            <w:tcW w:w="10008" w:type="dxa"/>
            <w:tcBorders/>
            <w:vAlign w:val="center"/>
          </w:tcPr>
          <w:p>
            <w:pPr>
              <w:pStyle w:val="TableContents"/>
              <w:bidi w:val="0"/>
              <w:spacing w:before="0" w:after="283"/>
              <w:jc w:val="left"/>
              <w:rPr/>
            </w:pPr>
            <w:r>
              <w:rPr>
                <w:rFonts w:ascii="Arial;Helvetica;sans-serif" w:hAnsi="Arial;Helvetica;sans-serif"/>
                <w:b w:val="false"/>
                <w:i/>
                <w:sz w:val="14"/>
              </w:rPr>
              <w:t xml:space="preserve">Equity-based compensation required to be reported by Resolute Holdings related to awards issued under the GPGI, Inc Equity Incentive Plan, as amended (the </w:t>
            </w:r>
            <w:r>
              <w:rPr/>
              <w:t>“</w:t>
            </w:r>
            <w:r>
              <w:rPr>
                <w:rFonts w:ascii="Arial;Helvetica;sans-serif" w:hAnsi="Arial;Helvetica;sans-serif"/>
                <w:b w:val="false"/>
                <w:i/>
                <w:sz w:val="14"/>
              </w:rPr>
              <w:t>GPGI Equity Plan</w:t>
            </w:r>
            <w:r>
              <w:rPr/>
              <w:t>”</w:t>
            </w:r>
            <w:r>
              <w:rPr>
                <w:rFonts w:ascii="Arial;Helvetica;sans-serif" w:hAnsi="Arial;Helvetica;sans-serif"/>
                <w:b w:val="false"/>
                <w:i/>
                <w:sz w:val="14"/>
              </w:rPr>
              <w:t>). Equity granted under the GPGI Equity Plan relates to GPGI Class A Common Stock and has no impact on Resolute Holdings</w:t>
            </w:r>
            <w:r>
              <w:rPr/>
              <w:t xml:space="preserve">’ </w:t>
            </w:r>
            <w:r>
              <w:rPr>
                <w:rFonts w:ascii="Arial;Helvetica;sans-serif" w:hAnsi="Arial;Helvetica;sans-serif"/>
                <w:b w:val="false"/>
                <w:i/>
                <w:sz w:val="14"/>
              </w:rPr>
              <w:t>common stock outstanding.</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(2)</w:t>
            </w:r>
          </w:p>
        </w:tc>
        <w:tc>
          <w:tcPr>
            <w:tcW w:w="9995" w:type="dxa"/>
            <w:tcBorders/>
            <w:vAlign w:val="center"/>
          </w:tcPr>
          <w:p>
            <w:pPr>
              <w:pStyle w:val="TableContents"/>
              <w:bidi w:val="0"/>
              <w:spacing w:before="0" w:after="283"/>
              <w:jc w:val="left"/>
              <w:rPr>
                <w:rFonts w:ascii="Arial;Helvetica;sans-serif" w:hAnsi="Arial;Helvetica;sans-serif"/>
                <w:b w:val="false"/>
                <w:i/>
                <w:sz w:val="14"/>
              </w:rPr>
            </w:pPr>
            <w:r>
              <w:rPr>
                <w:rFonts w:ascii="Arial;Helvetica;sans-serif" w:hAnsi="Arial;Helvetica;sans-serif"/>
                <w:b w:val="false"/>
                <w:i/>
                <w:sz w:val="14"/>
              </w:rPr>
              <w:t>The tax impact of treating Resolute Holdings and GPGI Holdings, including Husky Holdings, as a consolidated entity under ASC 740, to arrive at the Resolute Holdings income tax expense if presented on a non-consolidated basis.</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(3)</w:t>
            </w:r>
          </w:p>
        </w:tc>
        <w:tc>
          <w:tcPr>
            <w:tcW w:w="10006" w:type="dxa"/>
            <w:tcBorders/>
            <w:vAlign w:val="center"/>
          </w:tcPr>
          <w:p>
            <w:pPr>
              <w:pStyle w:val="TableContents"/>
              <w:bidi w:val="0"/>
              <w:spacing w:before="0" w:after="283"/>
              <w:jc w:val="left"/>
              <w:rPr/>
            </w:pPr>
            <w:r>
              <w:rPr>
                <w:rFonts w:ascii="Arial;Helvetica;sans-serif" w:hAnsi="Arial;Helvetica;sans-serif"/>
                <w:b w:val="false"/>
                <w:i/>
                <w:sz w:val="14"/>
              </w:rPr>
              <w:t>Tax-effect of pre-tax adjustments at a 32.5% estimated effective rate for 2026 and 31% rate for 2025. Only applied to those adjustments that would impact Resolute Holdings</w:t>
            </w:r>
            <w:r>
              <w:rPr/>
              <w:t xml:space="preserve">’ </w:t>
            </w:r>
            <w:r>
              <w:rPr>
                <w:rFonts w:ascii="Arial;Helvetica;sans-serif" w:hAnsi="Arial;Helvetica;sans-serif"/>
                <w:b w:val="false"/>
                <w:i/>
                <w:sz w:val="14"/>
              </w:rPr>
              <w:t>taxes. Equity-based compensation expense under the GPGI Equity Plan is expensed for tax purposes at GPGI and not Resolute Holdings</w:t>
            </w:r>
            <w:r>
              <w:rPr>
                <w:rFonts w:ascii="Arial;Helvetica;sans-serif" w:hAnsi="Arial;Helvetica;sans-serif"/>
                <w:b w:val="false"/>
                <w:i w:val="false"/>
                <w:caps w:val="false"/>
                <w:smallCaps w:val="false"/>
                <w:sz w:val="14"/>
              </w:rPr>
              <w:t>.</w:t>
            </w:r>
          </w:p>
        </w:tc>
      </w:tr>
    </w:tbl>
    <w:p>
      <w:pPr>
        <w:pStyle w:val="TextBody"/>
        <w:bidi w:val="0"/>
        <w:spacing w:before="0" w:after="0"/>
        <w:ind w:left="0" w:right="0" w:hanging="0"/>
        <w:jc w:val="left"/>
        <w:rPr/>
      </w:pPr>
      <w:r>
        <w:rPr/>
        <w:t>​</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 xml:space="preserve">Exhibit – Structural Relationship &amp; Non-GAAP Financial Summary </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7628890" cy="5838825"/>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7628890" cy="5838825"/>
                    </a:xfrm>
                    <a:prstGeom prst="rect">
                      <a:avLst/>
                    </a:prstGeom>
                  </pic:spPr>
                </pic:pic>
              </a:graphicData>
            </a:graphic>
          </wp:inline>
        </w:drawing>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both"/>
        <w:rPr>
          <w:rFonts w:ascii="Arial;Helvetica;sans-serif" w:hAnsi="Arial;Helvetica;sans-serif"/>
          <w:b/>
          <w:sz w:val="20"/>
        </w:rPr>
      </w:pPr>
      <w:r>
        <w:rPr>
          <w:rFonts w:ascii="Arial;Helvetica;sans-serif" w:hAnsi="Arial;Helvetica;sans-serif"/>
          <w:b/>
          <w:sz w:val="20"/>
        </w:rPr>
        <w:t>About Resolute Holdings Management, Inc.</w:t>
      </w:r>
    </w:p>
    <w:p>
      <w:pPr>
        <w:pStyle w:val="TextBody"/>
        <w:bidi w:val="0"/>
        <w:spacing w:before="0" w:after="160"/>
        <w:ind w:left="0" w:right="0" w:hanging="0"/>
        <w:jc w:val="both"/>
        <w:rPr>
          <w:rFonts w:ascii="Arial;Helvetica;sans-serif" w:hAnsi="Arial;Helvetica;sans-serif"/>
          <w:sz w:val="20"/>
        </w:rPr>
      </w:pPr>
      <w:r>
        <w:rPr>
          <w:rFonts w:ascii="Arial;Helvetica;sans-serif" w:hAnsi="Arial;Helvetica;sans-serif"/>
          <w:sz w:val="20"/>
        </w:rPr>
        <w:t>Resolute Holdings (NYSE: RHLD) is an alternative asset management platform led by David Cote and Tom Knott that provides operating management services including the oversight of capital allocation strategy, operational practices, and M&amp;A sourcing and execution at managed businesses under GPGI, Inc. Resolute Holdings brings a differentiated approach to long-term value creation through the systematic deployment of the Resolute Operating System, which is designed to create value at both the underlying managed businesses and at Resolute Holdings. For additional information on Resolute Holdings, please refer to Resolute Holdings’ filings with the U.S. Securities and Exchange Commission or please visit www.resoluteholdings.com.</w:t>
      </w:r>
    </w:p>
    <w:p>
      <w:pPr>
        <w:pStyle w:val="TextBody"/>
        <w:bidi w:val="0"/>
        <w:spacing w:before="0" w:after="160"/>
        <w:ind w:left="0" w:right="0" w:hanging="0"/>
        <w:jc w:val="both"/>
        <w:rPr>
          <w:rFonts w:ascii="Arial;Helvetica;sans-serif" w:hAnsi="Arial;Helvetica;sans-serif"/>
          <w:b/>
          <w:sz w:val="20"/>
        </w:rPr>
      </w:pPr>
      <w:r>
        <w:rPr>
          <w:rFonts w:ascii="Arial;Helvetica;sans-serif" w:hAnsi="Arial;Helvetica;sans-serif"/>
          <w:b/>
          <w:sz w:val="20"/>
        </w:rPr>
        <w:t>Cautionary Note Concerning Forward-Looking Statements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This press release contains forward-looking statements as defined by the Private Securities Litigation Reform Act of 1995. These statements are based on the beliefs and assumptions of management. Although Resolute Holdings believes that its plans, intentions, and expectations reflected in or suggested by these forward-looking statements are reasonable, Resolute Holdings cannot assure you that it will achieve or realize these plans, intentions, or expectations. Forward-looking statements are inherently subject to risks, uncertainties, and assumptions. Generally, statements that are not historical facts, including statements concerning Resolute Holdings’ possible or assumed future actions, business strategies, events, or results of operations, and other matters, are forward-looking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 Forward-looking statements are not guarantees of performance. You should not put undue reliance on these statements which speak only as of the date hereof. You should understand that the following important factors, among others, could affect Resolute Holdings’ future results and could cause those results or other outcomes to differ materially from those expressed or implied in Resolute Holdings’ forward-looking statements: the timing and amount of the management fees payable to Resolute Holdings, including unexpected fluctuations therein, unexpected changes in costs, risks associated with the implementation of the Resolute Operating System, unexpected market and macroeconomic developments, demand for Resolute Holdings’ services, the ability of Resolute Holdings to grow and manage growth profitably, compete within its industry and attract and retain its key employees, risks associated with Resolute Holdings’ businesses, including CompoSecure and Husky, risks associated with the acquisition of Husky and the transactions related thereto including the anticipated benefits to GPGI and to Resolute Holdings of such transactions, risks associated with global economic, business, competitive and/or other factors, including but not limited to inflationary pressures, volatile interest rates, variable tariff policies or intensified disruptions in the global financial markets, including but not limited to supply chain disruptions, changes in commodity prices, and their respective impacts on the customers of Resolute Holdings’ businesses, the outcome of any legal proceedings that may be instituted against Resolute Holdings or others, risks associated with our accounting, future exchange and interest rates, and other risks and uncertainties, including those under “Risk Factors” in filings that have been made or will be made with the Securities and Exchange Commission. Resolute Holdings undertakes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160"/>
        <w:ind w:left="0" w:right="0" w:hanging="0"/>
        <w:jc w:val="both"/>
        <w:rPr>
          <w:rFonts w:ascii="Arial;Helvetica;sans-serif" w:hAnsi="Arial;Helvetica;sans-serif"/>
          <w:b/>
          <w:sz w:val="20"/>
        </w:rPr>
      </w:pPr>
      <w:r>
        <w:rPr>
          <w:rFonts w:ascii="Arial;Helvetica;sans-serif" w:hAnsi="Arial;Helvetica;sans-serif"/>
          <w:b/>
          <w:sz w:val="20"/>
        </w:rPr>
        <w:t>Use of Non-GAAP Financial Measures</w:t>
      </w:r>
    </w:p>
    <w:p>
      <w:pPr>
        <w:pStyle w:val="TextBody"/>
        <w:bidi w:val="0"/>
        <w:spacing w:before="0" w:after="160"/>
        <w:ind w:left="0" w:right="0" w:hanging="0"/>
        <w:jc w:val="both"/>
        <w:rPr>
          <w:rFonts w:ascii="Arial;Helvetica;sans-serif" w:hAnsi="Arial;Helvetica;sans-serif"/>
          <w:sz w:val="20"/>
        </w:rPr>
      </w:pPr>
      <w:r>
        <w:rPr>
          <w:rFonts w:ascii="Arial;Helvetica;sans-serif" w:hAnsi="Arial;Helvetica;sans-serif"/>
          <w:sz w:val="20"/>
        </w:rPr>
        <w:t>This press release includes certain non-GAAP financial measures that are not prepared in accordance with accounting principles generally accepted in the United States (“GAAP”) and that may be different from non-GAAP financial measures used by other companies. Resolute Holdings believes Fee-Related Earnings and Fee-Related Earnings per share are useful to investors in evaluating Resolute Holdings’ financial performance. Resolute Holdings believes that these non-GAAP financial measures depict the performance of the business and underlying economics attributable to Resolute Holdings common stockholders. Fee-Related Earnings and Fee-Related Earnings per share should not be considered as measures of financial performance under U.S. GAAP, and the items excluded from Fee-Related Earnings and Fee-Related Earnings per share are significant components in understanding and assessing Resolute Holdings’ financial performance. Accordingly, these key business metrics have limitations as an analytical tool. They should not be considered as an alternative to net income, net income per share, or any other performance measures derived in accordance with U.S. GAAP and may be different from similarly titled non-GAAP measures used by other companies.</w:t>
      </w:r>
    </w:p>
    <w:p>
      <w:pPr>
        <w:pStyle w:val="TextBody"/>
        <w:bidi w:val="0"/>
        <w:spacing w:before="0" w:after="160"/>
        <w:ind w:left="0" w:right="0" w:hanging="0"/>
        <w:jc w:val="both"/>
        <w:rPr>
          <w:rFonts w:ascii="Arial;Helvetica;sans-serif" w:hAnsi="Arial;Helvetica;sans-serif"/>
          <w:b/>
          <w:sz w:val="20"/>
        </w:rPr>
      </w:pPr>
      <w:r>
        <w:rPr>
          <w:rFonts w:ascii="Arial;Helvetica;sans-serif" w:hAnsi="Arial;Helvetica;sans-serif"/>
          <w:b/>
          <w:sz w:val="20"/>
        </w:rPr>
        <w:t>For investor inquiries, please contact:</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Resolute Holdings</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(212) 256-8405</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info@resoluteholdings.com</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Resolute Holdings Management, Inc.</w:t>
      </w:r>
    </w:p>
    <w:p>
      <w:pPr>
        <w:pStyle w:val="TextBody"/>
        <w:pBdr>
          <w:bottom w:val="single" w:sz="2" w:space="1" w:color="000000"/>
        </w:pBdr>
        <w:bidi w:val="0"/>
        <w:spacing w:before="0" w:after="0"/>
        <w:ind w:left="0" w:right="0" w:hanging="0"/>
        <w:jc w:val="center"/>
        <w:rPr>
          <w:rFonts w:ascii="Arial;Helvetica;sans-serif" w:hAnsi="Arial;Helvetica;sans-serif"/>
          <w:b/>
          <w:sz w:val="20"/>
        </w:rPr>
      </w:pPr>
      <w:r>
        <w:rPr>
          <w:rFonts w:ascii="Arial;Helvetica;sans-serif" w:hAnsi="Arial;Helvetica;sans-serif"/>
          <w:b/>
          <w:sz w:val="20"/>
        </w:rPr>
        <w:t>($ in millions, except par value and share amounts)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14"/>
        <w:gridCol w:w="346"/>
        <w:gridCol w:w="199"/>
        <w:gridCol w:w="657"/>
        <w:gridCol w:w="346"/>
        <w:gridCol w:w="274"/>
        <w:gridCol w:w="869"/>
      </w:tblGrid>
      <w:tr>
        <w:trPr/>
        <w:tc>
          <w:tcPr>
            <w:tcW w:w="7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771390" cy="175260"/>
                      <wp:effectExtent l="0" t="0" r="0" b="0"/>
                      <wp:wrapNone/>
                      <wp:docPr id="19" name="Frame17"/>
                      <a:graphic xmlns:a="http://schemas.openxmlformats.org/drawingml/2006/main">
                        <a:graphicData uri="http://schemas.microsoft.com/office/word/2010/wordprocessingShape">
                          <wps:wsp>
                            <wps:cNvSpPr txBox="1"/>
                            <wps:spPr>
                              <a:xfrm>
                                <a:off x="0" y="0"/>
                                <a:ext cx="4771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6365" cy="175260"/>
                      <wp:effectExtent l="0" t="0" r="0" b="0"/>
                      <wp:wrapNone/>
                      <wp:docPr id="21" name="Frame19"/>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17195" cy="175260"/>
                      <wp:effectExtent l="0" t="0" r="0" b="0"/>
                      <wp:wrapNone/>
                      <wp:docPr id="22" name="Frame2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3990" cy="175260"/>
                      <wp:effectExtent l="0" t="0" r="0" b="0"/>
                      <wp:wrapNone/>
                      <wp:docPr id="24" name="Frame2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51815" cy="175260"/>
                      <wp:effectExtent l="0" t="0" r="0" b="0"/>
                      <wp:wrapNone/>
                      <wp:docPr id="25" name="Frame23"/>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  ​ ​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  ​</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  ​</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 net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322.9</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818.1</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297.5</w:t>
            </w:r>
          </w:p>
        </w:tc>
      </w:tr>
      <w:tr>
        <w:trPr/>
        <w:tc>
          <w:tcPr>
            <w:tcW w:w="7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2,916.5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1,711.8</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332.7</w:t>
            </w:r>
          </w:p>
        </w:tc>
      </w:tr>
      <w:tr>
        <w:trPr/>
        <w:tc>
          <w:tcPr>
            <w:tcW w:w="7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 (DEFICIT)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  ​</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250.7</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183.4</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lease liabilities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w:t>
            </w:r>
          </w:p>
        </w:tc>
      </w:tr>
      <w:tr>
        <w:trPr/>
        <w:tc>
          <w:tcPr>
            <w:tcW w:w="75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lef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net of deferred financing costs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2,153.5</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214.9</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operating leases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3,073.9</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255.0</w:t>
            </w:r>
          </w:p>
        </w:tc>
      </w:tr>
      <w:tr>
        <w:trPr/>
        <w:tc>
          <w:tcPr>
            <w:tcW w:w="75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65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lef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$0.0001 par value; 100,000,000 shares authorized, 0 shares issued and outstanding</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$0.0001 par value; 1,000,000,000 shares authorized, 7,829,142 and 8,500,694 shares issued and outstanding as of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pPr>
            <w:r>
              <w:rPr/>
              <w:t>—</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 (accumulated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Treasury stock </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3,084.9</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w:t>
            </w:r>
          </w:p>
        </w:tc>
      </w:tr>
      <w:tr>
        <w:trPr/>
        <w:tc>
          <w:tcPr>
            <w:tcW w:w="75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3,053.4</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w:t>
            </w:r>
          </w:p>
        </w:tc>
      </w:tr>
      <w:tr>
        <w:trPr/>
        <w:tc>
          <w:tcPr>
            <w:tcW w:w="75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 (deficit)</w:t>
            </w:r>
          </w:p>
        </w:tc>
        <w:tc>
          <w:tcPr>
            <w:tcW w:w="346"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332.7</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Operations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Resolute Holdings Management, Inc.</w:t>
      </w:r>
    </w:p>
    <w:p>
      <w:pPr>
        <w:pStyle w:val="TextBody"/>
        <w:pBdr>
          <w:bottom w:val="single" w:sz="2" w:space="1" w:color="000000"/>
        </w:pBdr>
        <w:bidi w:val="0"/>
        <w:spacing w:before="0" w:after="0"/>
        <w:ind w:left="0" w:right="0" w:hanging="0"/>
        <w:jc w:val="center"/>
        <w:rPr>
          <w:rFonts w:ascii="Arial;Helvetica;sans-serif" w:hAnsi="Arial;Helvetica;sans-serif"/>
          <w:sz w:val="20"/>
        </w:rPr>
      </w:pPr>
      <w:r>
        <w:rPr>
          <w:rFonts w:ascii="Arial;Helvetica;sans-serif" w:hAnsi="Arial;Helvetica;sans-serif"/>
          <w:b/>
          <w:sz w:val="20"/>
        </w:rPr>
        <w:t>($ in millions, except share and per share amounts</w:t>
      </w:r>
      <w:r>
        <w:rPr>
          <w:rFonts w:ascii="Arial;Helvetica;sans-serif" w:hAnsi="Arial;Helvetica;san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85"/>
        <w:gridCol w:w="346"/>
        <w:gridCol w:w="211"/>
        <w:gridCol w:w="931"/>
        <w:gridCol w:w="346"/>
        <w:gridCol w:w="211"/>
        <w:gridCol w:w="931"/>
        <w:gridCol w:w="109"/>
        <w:gridCol w:w="211"/>
        <w:gridCol w:w="931"/>
        <w:gridCol w:w="346"/>
        <w:gridCol w:w="211"/>
        <w:gridCol w:w="1036"/>
      </w:tblGrid>
      <w:tr>
        <w:trPr/>
        <w:tc>
          <w:tcPr>
            <w:tcW w:w="4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784475" cy="175260"/>
                      <wp:effectExtent l="0" t="0" r="0" b="0"/>
                      <wp:wrapNone/>
                      <wp:docPr id="26" name="Frame24"/>
                      <a:graphic xmlns:a="http://schemas.openxmlformats.org/drawingml/2006/main">
                        <a:graphicData uri="http://schemas.microsoft.com/office/word/2010/wordprocessingShape">
                          <wps:wsp>
                            <wps:cNvSpPr txBox="1"/>
                            <wps:spPr>
                              <a:xfrm>
                                <a:off x="0" y="0"/>
                                <a:ext cx="278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1185" cy="175260"/>
                      <wp:effectExtent l="0" t="0" r="0" b="0"/>
                      <wp:wrapNone/>
                      <wp:docPr id="29" name="Frame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185" cy="175260"/>
                      <wp:effectExtent l="0" t="0" r="0" b="0"/>
                      <wp:wrapNone/>
                      <wp:docPr id="32"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91185" cy="175260"/>
                      <wp:effectExtent l="0" t="0" r="0" b="0"/>
                      <wp:wrapNone/>
                      <wp:docPr id="35"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57860" cy="175260"/>
                      <wp:effectExtent l="0" t="0" r="0" b="0"/>
                      <wp:wrapNone/>
                      <wp:docPr id="38" name="Frame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223.5</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438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debt extinguishment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benefit (expense)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r>
        <w:trPr/>
        <w:tc>
          <w:tcPr>
            <w:tcW w:w="438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8,103,475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8,281,315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8,525,998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8,363,195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8,525,998</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Cash Flows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Resolute Holdings Management, Inc.</w:t>
      </w:r>
    </w:p>
    <w:p>
      <w:pPr>
        <w:pStyle w:val="TextBody"/>
        <w:pBdr>
          <w:bottom w:val="single" w:sz="2" w:space="1" w:color="000000"/>
        </w:pBdr>
        <w:bidi w:val="0"/>
        <w:spacing w:before="0" w:after="0"/>
        <w:ind w:left="0" w:right="0" w:hanging="0"/>
        <w:jc w:val="center"/>
        <w:rPr>
          <w:rFonts w:ascii="Arial;Helvetica;sans-serif" w:hAnsi="Arial;Helvetica;sans-serif"/>
          <w:b/>
          <w:sz w:val="20"/>
        </w:rPr>
      </w:pPr>
      <w:r>
        <w:rPr>
          <w:rFonts w:ascii="Arial;Helvetica;sans-serif" w:hAnsi="Arial;Helvetica;sans-serif"/>
          <w:b/>
          <w:sz w:val="20"/>
        </w:rPr>
        <w:t>($ in millions)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896"/>
        <w:gridCol w:w="346"/>
        <w:gridCol w:w="188"/>
        <w:gridCol w:w="690"/>
        <w:gridCol w:w="360"/>
        <w:gridCol w:w="188"/>
        <w:gridCol w:w="537"/>
      </w:tblGrid>
      <w:tr>
        <w:trPr/>
        <w:tc>
          <w:tcPr>
            <w:tcW w:w="7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013960" cy="175260"/>
                      <wp:effectExtent l="0" t="0" r="0" b="0"/>
                      <wp:wrapNone/>
                      <wp:docPr id="39" name="Frame37"/>
                      <a:graphic xmlns:a="http://schemas.openxmlformats.org/drawingml/2006/main">
                        <a:graphicData uri="http://schemas.microsoft.com/office/word/2010/wordprocessingShape">
                          <wps:wsp>
                            <wps:cNvSpPr txBox="1"/>
                            <wps:spPr>
                              <a:xfrm>
                                <a:off x="0" y="0"/>
                                <a:ext cx="501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9380" cy="175260"/>
                      <wp:effectExtent l="0" t="0" r="0" b="0"/>
                      <wp:wrapNone/>
                      <wp:docPr id="41" name="Frame39"/>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150" cy="175260"/>
                      <wp:effectExtent l="0" t="0" r="0" b="0"/>
                      <wp:wrapNone/>
                      <wp:docPr id="42" name="Frame4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8600" cy="175260"/>
                      <wp:effectExtent l="0" t="0" r="0" b="0"/>
                      <wp:wrapNone/>
                      <wp:docPr id="43" name="Frame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9380" cy="175260"/>
                      <wp:effectExtent l="0" t="0" r="0" b="0"/>
                      <wp:wrapNone/>
                      <wp:docPr id="44" name="Frame42"/>
                      <a:graphic xmlns:a="http://schemas.openxmlformats.org/drawingml/2006/main">
                        <a:graphicData uri="http://schemas.microsoft.com/office/word/2010/wordprocessingShape">
                          <wps:wsp>
                            <wps:cNvSpPr txBox="1"/>
                            <wps:spPr>
                              <a:xfrm>
                                <a:off x="0" y="0"/>
                                <a:ext cx="119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40995" cy="175260"/>
                      <wp:effectExtent l="0" t="0" r="0" b="0"/>
                      <wp:wrapNone/>
                      <wp:docPr id="45" name="Frame43"/>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w:t>
            </w:r>
          </w:p>
        </w:tc>
      </w:tr>
      <w:tr>
        <w:trPr/>
        <w:tc>
          <w:tcPr>
            <w:tcW w:w="7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360" w:type="dxa"/>
            <w:tcBorders/>
            <w:vAlign w:val="center"/>
          </w:tcPr>
          <w:p>
            <w:pPr>
              <w:pStyle w:val="TableContents"/>
              <w:bidi w:val="0"/>
              <w:spacing w:before="0" w:after="0"/>
              <w:ind w:left="0" w:right="0" w:hanging="0"/>
              <w:jc w:val="center"/>
              <w:rPr/>
            </w:pPr>
            <w:r>
              <w:rPr/>
              <w:t>  ​ ​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7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  ​</w:t>
            </w:r>
          </w:p>
        </w:tc>
        <w:tc>
          <w:tcPr>
            <w:tcW w:w="3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  ​</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(37.9)</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60.9</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Adjustments to reconcile net income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123.6</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Fair value inventory step-up</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Amortization of deferred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0.3</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Non-cash operating lease expense</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Loss on debt extinguishment </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(29.9)</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tax (benefit) expense</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(26.3)</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Unrealized foreign exchange loss (gain)</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Changes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receivable, net</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(21.6)</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Inventories, net</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(23.7)</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0.6</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Taxes receivable</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8.1</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(27.4)</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(88.7)</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Deferred revenue</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23.1</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0.7</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Lease liabilities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0.1</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(23.2)</w:t>
            </w:r>
          </w:p>
        </w:tc>
        <w:tc>
          <w:tcPr>
            <w:tcW w:w="360"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67.4</w:t>
            </w:r>
          </w:p>
        </w:tc>
      </w:tr>
      <w:tr>
        <w:trPr/>
        <w:tc>
          <w:tcPr>
            <w:tcW w:w="78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  ​</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  ​</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Purchase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(19.7)</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sale of property and equipment and intangible assets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Capitalized software costs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used for acquisition, net of acquired cash</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(665.2)</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Maturities of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41.1</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Sales of short-term investments</w:t>
            </w:r>
          </w:p>
        </w:tc>
        <w:tc>
          <w:tcPr>
            <w:tcW w:w="34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w:t>
            </w:r>
          </w:p>
        </w:tc>
        <w:tc>
          <w:tcPr>
            <w:tcW w:w="360"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(648.0)</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w:t>
            </w:r>
          </w:p>
        </w:tc>
      </w:tr>
      <w:tr>
        <w:trPr/>
        <w:tc>
          <w:tcPr>
            <w:tcW w:w="7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pPr>
            <w:r>
              <w:rPr/>
              <w:t>  ​</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pPr>
            <w:r>
              <w:rPr/>
              <w:t>  ​</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 of debt, inclusive of fees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(3,379.3)</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issuance of long-term debt, net of discounts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2,623.5</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Repayment of preference share capital</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(457.4)</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Contributions to GPGI Holdings by GPGI</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2,120.3</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Contribution by GPGI Holdings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Contribution to Resolute Holdings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Payments for taxes related to net share settlement of GPGI equity awards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(26.6)</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(15.4)</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Distributions to GPGI Holdings' members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(131.7)</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Share repurchases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(87.5)</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(38.3)</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623.0</w:t>
            </w:r>
          </w:p>
        </w:tc>
        <w:tc>
          <w:tcPr>
            <w:tcW w:w="360" w:type="dxa"/>
            <w:tcBorders/>
            <w:vAlign w:val="center"/>
          </w:tcPr>
          <w:p>
            <w:pPr>
              <w:pStyle w:val="TableContents"/>
              <w:bidi w:val="0"/>
              <w:spacing w:before="0" w:after="0"/>
              <w:ind w:left="0" w:right="0" w:hanging="0"/>
              <w:jc w:val="left"/>
              <w:rPr/>
            </w:pPr>
            <w:r>
              <w:rPr/>
              <w:t>​</w:t>
            </w:r>
          </w:p>
        </w:tc>
        <w:tc>
          <w:tcPr>
            <w:tcW w:w="1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(36.3)</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Effect of exchange rate changes on 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Net increase (decrease)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(44.4)</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28.3</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161.4</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71.6</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and cash equivalents, end of period</w:t>
            </w:r>
          </w:p>
        </w:tc>
        <w:tc>
          <w:tcPr>
            <w:tcW w:w="346" w:type="dxa"/>
            <w:tcBorders/>
            <w:vAlign w:val="center"/>
          </w:tcPr>
          <w:p>
            <w:pPr>
              <w:pStyle w:val="TableContents"/>
              <w:bidi w:val="0"/>
              <w:spacing w:before="0" w:after="0"/>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117.0</w:t>
            </w:r>
          </w:p>
        </w:tc>
        <w:tc>
          <w:tcPr>
            <w:tcW w:w="360" w:type="dxa"/>
            <w:tcBorders/>
            <w:vAlign w:val="center"/>
          </w:tcPr>
          <w:p>
            <w:pPr>
              <w:pStyle w:val="TableContents"/>
              <w:bidi w:val="0"/>
              <w:spacing w:before="0" w:after="0"/>
              <w:ind w:left="0" w:right="0" w:hanging="0"/>
              <w:jc w:val="left"/>
              <w:rPr/>
            </w:pPr>
            <w:r>
              <w:rPr/>
              <w:t>​</w:t>
            </w:r>
          </w:p>
        </w:tc>
        <w:tc>
          <w:tcPr>
            <w:tcW w:w="1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99.9</w:t>
            </w:r>
          </w:p>
        </w:tc>
      </w:tr>
      <w:tr>
        <w:trPr/>
        <w:tc>
          <w:tcPr>
            <w:tcW w:w="78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Supplementary disclosure of cash flow information:</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right"/>
              <w:rPr/>
            </w:pPr>
            <w:r>
              <w:rPr/>
              <w:t>  ​</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pPr>
            <w:r>
              <w:rPr/>
              <w:t>  ​</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for 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31.8</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paid for income taxes</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0.2</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Supplemental disclosure of non-cash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right"/>
              <w:rPr/>
            </w:pPr>
            <w:r>
              <w:rPr/>
              <w:t>  ​</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 </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 contribution from GPGI for acquisition using GPGI Class A Common Stock</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1,143.0</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0"/>
              <w:ind w:left="0" w:right="0" w:hanging="0"/>
              <w:jc w:val="right"/>
              <w:rPr/>
            </w:pPr>
            <w:r>
              <w:rPr/>
              <w:t>—</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Equity used for acquisition</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(1,143.0)</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shd w:fill="CCEEFF" w:val="clear"/>
            <w:vAlign w:val="center"/>
          </w:tcPr>
          <w:p>
            <w:pPr>
              <w:pStyle w:val="TableContents"/>
              <w:bidi w:val="0"/>
              <w:spacing w:before="0" w:after="0"/>
              <w:ind w:left="0" w:right="0" w:hanging="0"/>
              <w:jc w:val="right"/>
              <w:rPr/>
            </w:pPr>
            <w:r>
              <w:rPr/>
              <w:t>—</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Consolidation of GPGI Holdings net assets (liabilities), excluding cash, from execution of CompoSecure Management Agreement</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(98.5)</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Operating lease right of use assets exchanged for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5.3</w:t>
            </w:r>
          </w:p>
        </w:tc>
      </w:tr>
      <w:tr>
        <w:trPr/>
        <w:tc>
          <w:tcPr>
            <w:tcW w:w="789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Derivative asset - interest rate swap</w:t>
            </w:r>
          </w:p>
        </w:tc>
        <w:tc>
          <w:tcPr>
            <w:tcW w:w="346"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vAlign w:val="center"/>
          </w:tcPr>
          <w:p>
            <w:pPr>
              <w:pStyle w:val="TableContents"/>
              <w:bidi w:val="0"/>
              <w:spacing w:before="0" w:after="0"/>
              <w:ind w:left="0" w:right="0" w:hanging="0"/>
              <w:jc w:val="right"/>
              <w:rPr/>
            </w:pPr>
            <w:r>
              <w:rPr/>
              <w:t>—</w:t>
            </w:r>
          </w:p>
        </w:tc>
        <w:tc>
          <w:tcPr>
            <w:tcW w:w="360"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537"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w:t>
            </w:r>
          </w:p>
        </w:tc>
      </w:tr>
      <w:tr>
        <w:trPr/>
        <w:tc>
          <w:tcPr>
            <w:tcW w:w="789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Recognition of non-cash interest carryforward to GPGI (per section 163j)</w:t>
            </w:r>
          </w:p>
        </w:tc>
        <w:tc>
          <w:tcPr>
            <w:tcW w:w="346"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w:t>
            </w:r>
          </w:p>
        </w:tc>
        <w:tc>
          <w:tcPr>
            <w:tcW w:w="360"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45"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Segment Statements of Operations and Non-GAAP Reconciliations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Resolute Holdings Management, Inc.</w:t>
      </w:r>
    </w:p>
    <w:p>
      <w:pPr>
        <w:pStyle w:val="TextBody"/>
        <w:pBdr>
          <w:bottom w:val="single" w:sz="2" w:space="1" w:color="000000"/>
        </w:pBdr>
        <w:bidi w:val="0"/>
        <w:spacing w:before="0" w:after="0"/>
        <w:ind w:left="0" w:right="0" w:hanging="0"/>
        <w:jc w:val="center"/>
        <w:rPr>
          <w:rFonts w:ascii="Arial;Helvetica;sans-serif" w:hAnsi="Arial;Helvetica;sans-serif"/>
          <w:b/>
          <w:sz w:val="20"/>
        </w:rPr>
      </w:pPr>
      <w:r>
        <w:rPr>
          <w:rFonts w:ascii="Arial;Helvetica;sans-serif" w:hAnsi="Arial;Helvetica;sans-serif"/>
          <w:b/>
          <w:sz w:val="20"/>
        </w:rPr>
        <w:t>($ in millions, except share and per share amounts)</w:t>
      </w:r>
    </w:p>
    <w:tbl>
      <w:tblPr>
        <w:tblW w:w="11741" w:type="dxa"/>
        <w:jc w:val="left"/>
        <w:tblInd w:w="0" w:type="dxa"/>
        <w:tblLayout w:type="fixed"/>
        <w:tblCellMar>
          <w:top w:w="0" w:type="dxa"/>
          <w:left w:w="0" w:type="dxa"/>
          <w:bottom w:w="0" w:type="dxa"/>
          <w:right w:w="0" w:type="dxa"/>
        </w:tblCellMar>
      </w:tblPr>
      <w:tblGrid>
        <w:gridCol w:w="1216"/>
        <w:gridCol w:w="109"/>
        <w:gridCol w:w="196"/>
        <w:gridCol w:w="826"/>
        <w:gridCol w:w="346"/>
        <w:gridCol w:w="208"/>
        <w:gridCol w:w="543"/>
        <w:gridCol w:w="346"/>
        <w:gridCol w:w="325"/>
        <w:gridCol w:w="801"/>
        <w:gridCol w:w="346"/>
        <w:gridCol w:w="201"/>
        <w:gridCol w:w="850"/>
        <w:gridCol w:w="286"/>
        <w:gridCol w:w="196"/>
        <w:gridCol w:w="826"/>
        <w:gridCol w:w="346"/>
        <w:gridCol w:w="208"/>
        <w:gridCol w:w="543"/>
        <w:gridCol w:w="346"/>
        <w:gridCol w:w="325"/>
        <w:gridCol w:w="801"/>
        <w:gridCol w:w="346"/>
        <w:gridCol w:w="201"/>
        <w:gridCol w:w="850"/>
        <w:gridCol w:w="154"/>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72160" cy="175260"/>
                      <wp:effectExtent l="0" t="0" r="0" b="0"/>
                      <wp:wrapNone/>
                      <wp:docPr id="46" name="Frame4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9" name="Frame4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2080" cy="175260"/>
                      <wp:effectExtent l="0" t="0" r="0" b="0"/>
                      <wp:wrapNone/>
                      <wp:docPr id="51" name="Frame49"/>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44805" cy="175260"/>
                      <wp:effectExtent l="0" t="0" r="0" b="0"/>
                      <wp:wrapNone/>
                      <wp:docPr id="52" name="Frame50"/>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6375" cy="175260"/>
                      <wp:effectExtent l="0" t="0" r="0" b="0"/>
                      <wp:wrapNone/>
                      <wp:docPr id="54" name="Frame52"/>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08635" cy="175260"/>
                      <wp:effectExtent l="0" t="0" r="0" b="0"/>
                      <wp:wrapNone/>
                      <wp:docPr id="55" name="Frame5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7635" cy="175260"/>
                      <wp:effectExtent l="0" t="0" r="0" b="0"/>
                      <wp:wrapNone/>
                      <wp:docPr id="57" name="Frame5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39750" cy="175260"/>
                      <wp:effectExtent l="0" t="0" r="0" b="0"/>
                      <wp:wrapNone/>
                      <wp:docPr id="58" name="Frame56"/>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1610" cy="175260"/>
                      <wp:effectExtent l="0" t="0" r="0" b="0"/>
                      <wp:wrapNone/>
                      <wp:docPr id="59" name="Frame5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24510" cy="175260"/>
                      <wp:effectExtent l="0" t="0" r="0" b="0"/>
                      <wp:wrapNone/>
                      <wp:docPr id="61" name="Frame5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2080" cy="175260"/>
                      <wp:effectExtent l="0" t="0" r="0" b="0"/>
                      <wp:wrapNone/>
                      <wp:docPr id="63" name="Frame61"/>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44805" cy="175260"/>
                      <wp:effectExtent l="0" t="0" r="0" b="0"/>
                      <wp:wrapNone/>
                      <wp:docPr id="64" name="Frame6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6375" cy="175260"/>
                      <wp:effectExtent l="0" t="0" r="0" b="0"/>
                      <wp:wrapNone/>
                      <wp:docPr id="66" name="Frame64"/>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08635" cy="175260"/>
                      <wp:effectExtent l="0" t="0" r="0" b="0"/>
                      <wp:wrapNone/>
                      <wp:docPr id="67" name="Frame6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7635" cy="175260"/>
                      <wp:effectExtent l="0" t="0" r="0" b="0"/>
                      <wp:wrapNone/>
                      <wp:docPr id="69" name="Frame67"/>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9750" cy="175260"/>
                      <wp:effectExtent l="0" t="0" r="0" b="0"/>
                      <wp:wrapNone/>
                      <wp:docPr id="70" name="Frame68"/>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97790" cy="175260"/>
                      <wp:effectExtent l="0" t="0" r="0" b="0"/>
                      <wp:wrapNone/>
                      <wp:docPr id="71" name="Frame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8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4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8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94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 millions except share and per share figures)</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4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 millions except share and per share figures)</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Resolute</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GPGI</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0"/>
              <w:ind w:left="0" w:right="0" w:hanging="0"/>
              <w:jc w:val="left"/>
              <w:rPr/>
            </w:pPr>
            <w:r>
              <w:rPr/>
              <w:t>  ​ ​ ​</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Resolute</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GPGI</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0"/>
              <w:ind w:left="0" w:right="0" w:hanging="0"/>
              <w:jc w:val="left"/>
              <w:rPr/>
            </w:pPr>
            <w:r>
              <w:rPr/>
              <w:t>  ​ ​ ​</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286"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Management fees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308.2</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560.4</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291.1</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89.2</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(61.7)</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 (expense)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(87.0)</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per share attributable to common stockholders - diluted</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5.87 </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5.87 </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 Equity-based compensation expensed at Resolute Holdings under GPGI Equity Plan (1)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 Pro forma management fees from Jan 1, 2025 to Feb 27, 2025 (2)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 Spin-Off costs (3)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Tax impact from consolidation of GPGI Holdings (4)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center"/>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center"/>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tax impact of pre-tax adjustments (5)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Fee-Related Earnings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Fee-Related Earnings per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0.69 </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0.69 </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 </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1.38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weighted average shares used to compute: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per share attributable to common stockholders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8,103,475</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8,103,475</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8,363,195</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5"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8,363,195</w:t>
            </w:r>
          </w:p>
        </w:tc>
        <w:tc>
          <w:tcPr>
            <w:tcW w:w="154"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Fee-Related Earnings per share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8,180,818</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8,180,818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8,363,195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5"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8,363,195</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360" w:right="0" w:hanging="0"/>
        <w:jc w:val="both"/>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360" w:right="0" w:hanging="0"/>
        <w:jc w:val="both"/>
        <w:rPr/>
      </w:pPr>
      <w:r>
        <w:rPr/>
        <w:t>​</w:t>
      </w:r>
    </w:p>
    <w:tbl>
      <w:tblPr>
        <w:tblW w:w="11486" w:type="dxa"/>
        <w:jc w:val="left"/>
        <w:tblInd w:w="0" w:type="dxa"/>
        <w:tblLayout w:type="fixed"/>
        <w:tblCellMar>
          <w:top w:w="0" w:type="dxa"/>
          <w:left w:w="0" w:type="dxa"/>
          <w:bottom w:w="0" w:type="dxa"/>
          <w:right w:w="0" w:type="dxa"/>
        </w:tblCellMar>
      </w:tblPr>
      <w:tblGrid>
        <w:gridCol w:w="1216"/>
        <w:gridCol w:w="109"/>
        <w:gridCol w:w="196"/>
        <w:gridCol w:w="826"/>
        <w:gridCol w:w="346"/>
        <w:gridCol w:w="208"/>
        <w:gridCol w:w="543"/>
        <w:gridCol w:w="346"/>
        <w:gridCol w:w="375"/>
        <w:gridCol w:w="751"/>
        <w:gridCol w:w="346"/>
        <w:gridCol w:w="201"/>
        <w:gridCol w:w="850"/>
        <w:gridCol w:w="109"/>
        <w:gridCol w:w="196"/>
        <w:gridCol w:w="826"/>
        <w:gridCol w:w="346"/>
        <w:gridCol w:w="208"/>
        <w:gridCol w:w="543"/>
        <w:gridCol w:w="346"/>
        <w:gridCol w:w="375"/>
        <w:gridCol w:w="751"/>
        <w:gridCol w:w="346"/>
        <w:gridCol w:w="196"/>
        <w:gridCol w:w="931"/>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72160" cy="175260"/>
                      <wp:effectExtent l="0" t="0" r="0" b="0"/>
                      <wp:wrapNone/>
                      <wp:docPr id="72" name="Frame70"/>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24510" cy="175260"/>
                      <wp:effectExtent l="0" t="0" r="0" b="0"/>
                      <wp:wrapNone/>
                      <wp:docPr id="75" name="Frame7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2080" cy="175260"/>
                      <wp:effectExtent l="0" t="0" r="0" b="0"/>
                      <wp:wrapNone/>
                      <wp:docPr id="77" name="Frame7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44805" cy="175260"/>
                      <wp:effectExtent l="0" t="0" r="0" b="0"/>
                      <wp:wrapNone/>
                      <wp:docPr id="78" name="Frame7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38125" cy="175260"/>
                      <wp:effectExtent l="0" t="0" r="0" b="0"/>
                      <wp:wrapNone/>
                      <wp:docPr id="80" name="Frame7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76885" cy="175260"/>
                      <wp:effectExtent l="0" t="0" r="0" b="0"/>
                      <wp:wrapNone/>
                      <wp:docPr id="81" name="Frame7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7635" cy="175260"/>
                      <wp:effectExtent l="0" t="0" r="0" b="0"/>
                      <wp:wrapNone/>
                      <wp:docPr id="83" name="Frame8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39750" cy="175260"/>
                      <wp:effectExtent l="0" t="0" r="0" b="0"/>
                      <wp:wrapNone/>
                      <wp:docPr id="84" name="Frame82"/>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6"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24510" cy="175260"/>
                      <wp:effectExtent l="0" t="0" r="0" b="0"/>
                      <wp:wrapNone/>
                      <wp:docPr id="87" name="Frame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2080" cy="175260"/>
                      <wp:effectExtent l="0" t="0" r="0" b="0"/>
                      <wp:wrapNone/>
                      <wp:docPr id="89" name="Frame87"/>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4805" cy="175260"/>
                      <wp:effectExtent l="0" t="0" r="0" b="0"/>
                      <wp:wrapNone/>
                      <wp:docPr id="90" name="Frame88"/>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38125" cy="175260"/>
                      <wp:effectExtent l="0" t="0" r="0" b="0"/>
                      <wp:wrapNone/>
                      <wp:docPr id="92" name="Frame9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76885" cy="175260"/>
                      <wp:effectExtent l="0" t="0" r="0" b="0"/>
                      <wp:wrapNone/>
                      <wp:docPr id="93" name="Frame9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91185" cy="175260"/>
                      <wp:effectExtent l="0" t="0" r="0" b="0"/>
                      <wp:wrapNone/>
                      <wp:docPr id="96" name="Frame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8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0"/>
              <w:ind w:left="0" w:right="0" w:hanging="0"/>
              <w:jc w:val="left"/>
              <w:rPr/>
            </w:pPr>
            <w:r>
              <w:rPr/>
              <w:t>​</w:t>
            </w:r>
          </w:p>
        </w:tc>
        <w:tc>
          <w:tcPr>
            <w:tcW w:w="506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8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109" w:type="dxa"/>
            <w:tcBorders/>
            <w:vAlign w:val="center"/>
          </w:tcPr>
          <w:p>
            <w:pPr>
              <w:pStyle w:val="TableContents"/>
              <w:bidi w:val="0"/>
              <w:spacing w:before="0" w:after="0"/>
              <w:ind w:left="0" w:right="0" w:hanging="0"/>
              <w:jc w:val="left"/>
              <w:rPr/>
            </w:pPr>
            <w:r>
              <w:rPr/>
              <w:t>​</w:t>
            </w:r>
          </w:p>
        </w:tc>
        <w:tc>
          <w:tcPr>
            <w:tcW w:w="506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9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 millions except share and per share figures)</w:t>
            </w:r>
          </w:p>
        </w:tc>
        <w:tc>
          <w:tcPr>
            <w:tcW w:w="109" w:type="dxa"/>
            <w:tcBorders/>
            <w:vAlign w:val="center"/>
          </w:tcPr>
          <w:p>
            <w:pPr>
              <w:pStyle w:val="TableContents"/>
              <w:bidi w:val="0"/>
              <w:spacing w:before="0" w:after="0"/>
              <w:ind w:left="0" w:right="0" w:hanging="0"/>
              <w:jc w:val="left"/>
              <w:rPr/>
            </w:pPr>
            <w:r>
              <w:rPr/>
              <w:t>​</w:t>
            </w:r>
          </w:p>
        </w:tc>
        <w:tc>
          <w:tcPr>
            <w:tcW w:w="506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 millions except share and per share figures)</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Resolute</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GPGI</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0"/>
              <w:ind w:left="0" w:right="0" w:hanging="0"/>
              <w:jc w:val="left"/>
              <w:rPr/>
            </w:pPr>
            <w:r>
              <w:rPr/>
              <w:t>  ​ ​ ​</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Resolute</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GPGI</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Intercompany/</w:t>
            </w:r>
          </w:p>
        </w:tc>
        <w:tc>
          <w:tcPr>
            <w:tcW w:w="346" w:type="dxa"/>
            <w:tcBorders/>
            <w:vAlign w:val="center"/>
          </w:tcPr>
          <w:p>
            <w:pPr>
              <w:pStyle w:val="TableContents"/>
              <w:bidi w:val="0"/>
              <w:spacing w:before="0" w:after="0"/>
              <w:ind w:left="0" w:right="0" w:hanging="0"/>
              <w:jc w:val="left"/>
              <w:rPr/>
            </w:pPr>
            <w:r>
              <w:rPr/>
              <w:t>  ​ ​ ​</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Holdings</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Eliminations</w:t>
            </w:r>
          </w:p>
        </w:tc>
        <w:tc>
          <w:tcPr>
            <w:tcW w:w="346" w:type="dxa"/>
            <w:tcBorders/>
            <w:vAlign w:val="center"/>
          </w:tcPr>
          <w:p>
            <w:pPr>
              <w:pStyle w:val="TableContents"/>
              <w:bidi w:val="0"/>
              <w:spacing w:before="0" w:after="0"/>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Management fees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sales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100.2</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income (expense)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 (expense)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60.9</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 per share attributable to common stockholders - diluted</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(0.47)</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(0.47)</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 Equity-based compensation expensed at Resolute Holdings under GPGI Equity Plan (1)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 Pro forma management fees from Jan 1, 2025 to Feb 27, 2025 (2)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center"/>
              <w:rPr/>
            </w:pPr>
            <w:r>
              <w:rPr/>
              <w:t>​</w:t>
            </w:r>
          </w:p>
        </w:tc>
        <w:tc>
          <w:tcPr>
            <w:tcW w:w="8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 Spin-Off costs (3)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center"/>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Tax impact from consolidation of GPGI Holdings (4)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center"/>
              <w:rPr/>
            </w:pPr>
            <w:r>
              <w:rPr/>
              <w:t>​</w:t>
            </w:r>
          </w:p>
        </w:tc>
        <w:tc>
          <w:tcPr>
            <w:tcW w:w="8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tax impact of pre-tax adjustments (5)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Fee-Related Earnings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center"/>
              <w:rPr/>
            </w:pPr>
            <w:r>
              <w:rPr/>
              <w:t>​</w:t>
            </w:r>
          </w:p>
        </w:tc>
        <w:tc>
          <w:tcPr>
            <w:tcW w:w="54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Fee-Related Earnings per share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0.08 </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0.08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0.01 </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0.01 </w:t>
            </w:r>
          </w:p>
        </w:tc>
      </w:tr>
      <w:tr>
        <w:trPr/>
        <w:tc>
          <w:tcPr>
            <w:tcW w:w="1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weighted average shares used to compute: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2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per share attributable to common stockholders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8,525,998</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8,525,998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8,525,998</w:t>
            </w:r>
          </w:p>
        </w:tc>
        <w:tc>
          <w:tcPr>
            <w:tcW w:w="34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8,525,998</w:t>
            </w:r>
          </w:p>
        </w:tc>
      </w:tr>
      <w:tr>
        <w:trPr/>
        <w:tc>
          <w:tcPr>
            <w:tcW w:w="1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Fee-Related Earnings per share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8,526,504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8,526,504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8,526,254</w:t>
            </w:r>
          </w:p>
        </w:tc>
        <w:tc>
          <w:tcPr>
            <w:tcW w:w="34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8,526,254</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(1)</w:t>
            </w:r>
          </w:p>
        </w:tc>
        <w:tc>
          <w:tcPr>
            <w:tcW w:w="10008" w:type="dxa"/>
            <w:tcBorders/>
            <w:vAlign w:val="center"/>
          </w:tcPr>
          <w:p>
            <w:pPr>
              <w:pStyle w:val="TableContents"/>
              <w:bidi w:val="0"/>
              <w:spacing w:before="0" w:after="283"/>
              <w:jc w:val="left"/>
              <w:rPr/>
            </w:pPr>
            <w:r>
              <w:rPr>
                <w:rFonts w:ascii="Arial;Helvetica;sans-serif" w:hAnsi="Arial;Helvetica;sans-serif"/>
                <w:b w:val="false"/>
                <w:i/>
                <w:sz w:val="14"/>
              </w:rPr>
              <w:t xml:space="preserve">Equity-based compensation required to be reported by Resolute Holdings related to awards issued under the GPGI, Inc Equity Incentive Plan, as amended (the </w:t>
            </w:r>
            <w:r>
              <w:rPr/>
              <w:t>“</w:t>
            </w:r>
            <w:r>
              <w:rPr>
                <w:rFonts w:ascii="Arial;Helvetica;sans-serif" w:hAnsi="Arial;Helvetica;sans-serif"/>
                <w:b w:val="false"/>
                <w:i/>
                <w:sz w:val="14"/>
              </w:rPr>
              <w:t>GPGI Equity Plan</w:t>
            </w:r>
            <w:r>
              <w:rPr/>
              <w:t>”</w:t>
            </w:r>
            <w:r>
              <w:rPr>
                <w:rFonts w:ascii="Arial;Helvetica;sans-serif" w:hAnsi="Arial;Helvetica;sans-serif"/>
                <w:b w:val="false"/>
                <w:i/>
                <w:sz w:val="14"/>
              </w:rPr>
              <w:t>). Equity granted under the GPGI Equity Plan relates to GPGI Class A Common Stock and has no impact on Resolute Holdings</w:t>
            </w:r>
            <w:r>
              <w:rPr/>
              <w:t xml:space="preserve">’ </w:t>
            </w:r>
            <w:r>
              <w:rPr>
                <w:rFonts w:ascii="Arial;Helvetica;sans-serif" w:hAnsi="Arial;Helvetica;sans-serif"/>
                <w:b w:val="false"/>
                <w:i/>
                <w:sz w:val="14"/>
              </w:rPr>
              <w:t>common stock outstanding.</w:t>
            </w:r>
          </w:p>
        </w:tc>
      </w:tr>
    </w:tbl>
    <w:tbl>
      <w:tblPr>
        <w:tblW w:w="7285" w:type="dxa"/>
        <w:jc w:val="left"/>
        <w:tblInd w:w="0" w:type="dxa"/>
        <w:tblLayout w:type="fixed"/>
        <w:tblCellMar>
          <w:top w:w="0" w:type="dxa"/>
          <w:left w:w="0" w:type="dxa"/>
          <w:bottom w:w="0" w:type="dxa"/>
          <w:right w:w="0" w:type="dxa"/>
        </w:tblCellMar>
      </w:tblPr>
      <w:tblGrid>
        <w:gridCol w:w="230"/>
        <w:gridCol w:w="7055"/>
      </w:tblGrid>
      <w:tr>
        <w:trPr/>
        <w:tc>
          <w:tcPr>
            <w:tcW w:w="230"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(2)</w:t>
            </w:r>
          </w:p>
        </w:tc>
        <w:tc>
          <w:tcPr>
            <w:tcW w:w="7055" w:type="dxa"/>
            <w:tcBorders/>
            <w:vAlign w:val="center"/>
          </w:tcPr>
          <w:p>
            <w:pPr>
              <w:pStyle w:val="TableContents"/>
              <w:bidi w:val="0"/>
              <w:spacing w:before="0" w:after="283"/>
              <w:jc w:val="left"/>
              <w:rPr>
                <w:rFonts w:ascii="Arial;Helvetica;sans-serif" w:hAnsi="Arial;Helvetica;sans-serif"/>
                <w:b w:val="false"/>
                <w:i/>
                <w:sz w:val="14"/>
              </w:rPr>
            </w:pPr>
            <w:r>
              <w:rPr>
                <w:rFonts w:ascii="Arial;Helvetica;sans-serif" w:hAnsi="Arial;Helvetica;sans-serif"/>
                <w:b w:val="false"/>
                <w:i/>
                <w:sz w:val="14"/>
              </w:rPr>
              <w:t>Incremental management fees as if the CompoSecure Management Agreement was executed on January 1, 2025.</w:t>
            </w:r>
          </w:p>
        </w:tc>
      </w:tr>
    </w:tbl>
    <w:tbl>
      <w:tblPr>
        <w:tblW w:w="4255" w:type="dxa"/>
        <w:jc w:val="left"/>
        <w:tblInd w:w="0" w:type="dxa"/>
        <w:tblLayout w:type="fixed"/>
        <w:tblCellMar>
          <w:top w:w="0" w:type="dxa"/>
          <w:left w:w="0" w:type="dxa"/>
          <w:bottom w:w="0" w:type="dxa"/>
          <w:right w:w="0" w:type="dxa"/>
        </w:tblCellMar>
      </w:tblPr>
      <w:tblGrid>
        <w:gridCol w:w="230"/>
        <w:gridCol w:w="4025"/>
      </w:tblGrid>
      <w:tr>
        <w:trPr/>
        <w:tc>
          <w:tcPr>
            <w:tcW w:w="230"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(3)</w:t>
            </w:r>
          </w:p>
        </w:tc>
        <w:tc>
          <w:tcPr>
            <w:tcW w:w="4025" w:type="dxa"/>
            <w:tcBorders/>
            <w:vAlign w:val="center"/>
          </w:tcPr>
          <w:p>
            <w:pPr>
              <w:pStyle w:val="TableContents"/>
              <w:bidi w:val="0"/>
              <w:spacing w:before="0" w:after="283"/>
              <w:jc w:val="left"/>
              <w:rPr>
                <w:rFonts w:ascii="Arial;Helvetica;sans-serif" w:hAnsi="Arial;Helvetica;sans-serif"/>
                <w:b w:val="false"/>
                <w:i/>
                <w:sz w:val="14"/>
              </w:rPr>
            </w:pPr>
            <w:r>
              <w:rPr>
                <w:rFonts w:ascii="Arial;Helvetica;sans-serif" w:hAnsi="Arial;Helvetica;sans-serif"/>
                <w:b w:val="false"/>
                <w:i/>
                <w:sz w:val="14"/>
              </w:rPr>
              <w:t>One-time costs associated with the Spin-Off from CompoSecure.</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(4)</w:t>
            </w:r>
          </w:p>
        </w:tc>
        <w:tc>
          <w:tcPr>
            <w:tcW w:w="9995" w:type="dxa"/>
            <w:tcBorders/>
            <w:vAlign w:val="center"/>
          </w:tcPr>
          <w:p>
            <w:pPr>
              <w:pStyle w:val="TableContents"/>
              <w:bidi w:val="0"/>
              <w:spacing w:before="0" w:after="283"/>
              <w:jc w:val="left"/>
              <w:rPr>
                <w:rFonts w:ascii="Arial;Helvetica;sans-serif" w:hAnsi="Arial;Helvetica;sans-serif"/>
                <w:b w:val="false"/>
                <w:i/>
                <w:sz w:val="14"/>
              </w:rPr>
            </w:pPr>
            <w:r>
              <w:rPr>
                <w:rFonts w:ascii="Arial;Helvetica;sans-serif" w:hAnsi="Arial;Helvetica;sans-serif"/>
                <w:b w:val="false"/>
                <w:i/>
                <w:sz w:val="14"/>
              </w:rPr>
              <w:t>The tax impact of treating Resolute Holdings and GPGI Holdings, including Husky Holdings, as a consolidated entity under ASC 740, to arrive at the Resolute Holdings incometax expense if presented on a non-consolidated basis.</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rFonts w:ascii="Arial;Helvetica;sans-serif" w:hAnsi="Arial;Helvetica;sans-serif"/>
                <w:i/>
                <w:sz w:val="16"/>
              </w:rPr>
            </w:pPr>
            <w:r>
              <w:rPr>
                <w:rFonts w:ascii="Arial;Helvetica;sans-serif" w:hAnsi="Arial;Helvetica;sans-serif"/>
                <w:i/>
                <w:sz w:val="16"/>
              </w:rPr>
              <w:t>(5)</w:t>
            </w:r>
          </w:p>
        </w:tc>
        <w:tc>
          <w:tcPr>
            <w:tcW w:w="10006" w:type="dxa"/>
            <w:tcBorders/>
            <w:vAlign w:val="center"/>
          </w:tcPr>
          <w:p>
            <w:pPr>
              <w:pStyle w:val="TableContents"/>
              <w:bidi w:val="0"/>
              <w:spacing w:before="0" w:after="283"/>
              <w:jc w:val="left"/>
              <w:rPr/>
            </w:pPr>
            <w:r>
              <w:rPr>
                <w:rFonts w:ascii="Arial;Helvetica;sans-serif" w:hAnsi="Arial;Helvetica;sans-serif"/>
                <w:b w:val="false"/>
                <w:i/>
                <w:sz w:val="14"/>
              </w:rPr>
              <w:t>Tax-effect of pre-tax adjustments at a 32.5% estimated effective rate for 2026 and 31% rate for 2025. Only applied to those adjustments that would impact Resolute Holdings</w:t>
            </w:r>
            <w:r>
              <w:rPr/>
              <w:t xml:space="preserve">’ </w:t>
            </w:r>
            <w:r>
              <w:rPr>
                <w:rFonts w:ascii="Arial;Helvetica;sans-serif" w:hAnsi="Arial;Helvetica;sans-serif"/>
                <w:b w:val="false"/>
                <w:i/>
                <w:sz w:val="14"/>
              </w:rPr>
              <w:t>taxes. Equity-based compensation expense under the GPGI Equity Plan is expensed for tax purposes at GPGI and not Resolute Holdings</w:t>
            </w:r>
            <w:r>
              <w:rPr>
                <w:rFonts w:ascii="Arial;Helvetica;sans-serif" w:hAnsi="Arial;Helvetica;sans-serif"/>
                <w:b w:val="false"/>
                <w:i w:val="false"/>
                <w:caps w:val="false"/>
                <w:smallCaps w:val="false"/>
                <w:sz w:val="14"/>
              </w:rPr>
              <w:t>.</w:t>
            </w:r>
          </w:p>
        </w:tc>
      </w:tr>
    </w:tbl>
    <w:p>
      <w:pPr>
        <w:pStyle w:val="TextBody"/>
        <w:bidi w:val="0"/>
        <w:spacing w:before="0" w:after="0"/>
        <w:ind w:left="0" w:right="0" w:hanging="0"/>
        <w:jc w:val="left"/>
        <w:rPr/>
      </w:pPr>
      <w:r>
        <w:rPr/>
        <w:t>​</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Additional Information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Segment Balance Sheets</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Resolute Holdings Management, Inc.</w:t>
      </w:r>
    </w:p>
    <w:p>
      <w:pPr>
        <w:pStyle w:val="TextBody"/>
        <w:pBdr>
          <w:bottom w:val="single" w:sz="2" w:space="1" w:color="000000"/>
        </w:pBdr>
        <w:bidi w:val="0"/>
        <w:spacing w:before="0" w:after="0"/>
        <w:ind w:left="0" w:right="0" w:hanging="0"/>
        <w:jc w:val="center"/>
        <w:rPr>
          <w:rFonts w:ascii="Arial;Helvetica;sans-serif" w:hAnsi="Arial;Helvetica;sans-serif"/>
          <w:b/>
          <w:sz w:val="20"/>
        </w:rPr>
      </w:pPr>
      <w:r>
        <w:rPr>
          <w:rFonts w:ascii="Arial;Helvetica;sans-serif" w:hAnsi="Arial;Helvetica;sans-serif"/>
          <w:b/>
          <w:sz w:val="20"/>
        </w:rPr>
        <w:t>($ in millions)</w:t>
      </w:r>
    </w:p>
    <w:p>
      <w:pPr>
        <w:pStyle w:val="TextBody"/>
        <w:bidi w:val="0"/>
        <w:spacing w:before="0" w:after="0"/>
        <w:ind w:left="0" w:right="0" w:hanging="0"/>
        <w:jc w:val="left"/>
        <w:rPr/>
      </w:pPr>
      <w:r>
        <w:rPr/>
        <w:t>​</w:t>
      </w:r>
    </w:p>
    <w:tbl>
      <w:tblPr>
        <w:tblW w:w="10535" w:type="dxa"/>
        <w:jc w:val="left"/>
        <w:tblInd w:w="0" w:type="dxa"/>
        <w:tblLayout w:type="fixed"/>
        <w:tblCellMar>
          <w:top w:w="0" w:type="dxa"/>
          <w:left w:w="0" w:type="dxa"/>
          <w:bottom w:w="0" w:type="dxa"/>
          <w:right w:w="0" w:type="dxa"/>
        </w:tblCellMar>
      </w:tblPr>
      <w:tblGrid>
        <w:gridCol w:w="1561"/>
        <w:gridCol w:w="286"/>
        <w:gridCol w:w="196"/>
        <w:gridCol w:w="481"/>
        <w:gridCol w:w="286"/>
        <w:gridCol w:w="196"/>
        <w:gridCol w:w="646"/>
        <w:gridCol w:w="286"/>
        <w:gridCol w:w="273"/>
        <w:gridCol w:w="673"/>
        <w:gridCol w:w="286"/>
        <w:gridCol w:w="209"/>
        <w:gridCol w:w="692"/>
        <w:gridCol w:w="346"/>
        <w:gridCol w:w="209"/>
        <w:gridCol w:w="452"/>
        <w:gridCol w:w="286"/>
        <w:gridCol w:w="196"/>
        <w:gridCol w:w="511"/>
        <w:gridCol w:w="286"/>
        <w:gridCol w:w="315"/>
        <w:gridCol w:w="631"/>
        <w:gridCol w:w="286"/>
        <w:gridCol w:w="228"/>
        <w:gridCol w:w="718"/>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91235" cy="175260"/>
                      <wp:effectExtent l="0" t="0" r="0" b="0"/>
                      <wp:wrapNone/>
                      <wp:docPr id="97" name="Frame9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1610" cy="175260"/>
                      <wp:effectExtent l="0" t="0" r="0" b="0"/>
                      <wp:wrapNone/>
                      <wp:docPr id="98" name="Frame9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9"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5435" cy="175260"/>
                      <wp:effectExtent l="0" t="0" r="0" b="0"/>
                      <wp:wrapNone/>
                      <wp:docPr id="100" name="Frame9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1610" cy="175260"/>
                      <wp:effectExtent l="0" t="0" r="0" b="0"/>
                      <wp:wrapNone/>
                      <wp:docPr id="101" name="Frame9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102" name="Frame1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10210" cy="175260"/>
                      <wp:effectExtent l="0" t="0" r="0" b="0"/>
                      <wp:wrapNone/>
                      <wp:docPr id="103" name="Frame10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81610" cy="175260"/>
                      <wp:effectExtent l="0" t="0" r="0" b="0"/>
                      <wp:wrapNone/>
                      <wp:docPr id="104" name="Frame10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3355" cy="175260"/>
                      <wp:effectExtent l="0" t="0" r="0" b="0"/>
                      <wp:wrapNone/>
                      <wp:docPr id="105" name="Frame103"/>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7355" cy="175260"/>
                      <wp:effectExtent l="0" t="0" r="0" b="0"/>
                      <wp:wrapNone/>
                      <wp:docPr id="106" name="Frame104"/>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1610" cy="175260"/>
                      <wp:effectExtent l="0" t="0" r="0" b="0"/>
                      <wp:wrapNone/>
                      <wp:docPr id="107" name="Frame10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2715" cy="175260"/>
                      <wp:effectExtent l="0" t="0" r="0" b="0"/>
                      <wp:wrapNone/>
                      <wp:docPr id="108" name="Frame106"/>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9420" cy="175260"/>
                      <wp:effectExtent l="0" t="0" r="0" b="0"/>
                      <wp:wrapNone/>
                      <wp:docPr id="109" name="Frame107"/>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2715" cy="175260"/>
                      <wp:effectExtent l="0" t="0" r="0" b="0"/>
                      <wp:wrapNone/>
                      <wp:docPr id="111" name="Frame109"/>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87020" cy="175260"/>
                      <wp:effectExtent l="0" t="0" r="0" b="0"/>
                      <wp:wrapNone/>
                      <wp:docPr id="112" name="Frame110"/>
                      <a:graphic xmlns:a="http://schemas.openxmlformats.org/drawingml/2006/main">
                        <a:graphicData uri="http://schemas.microsoft.com/office/word/2010/wordprocessingShape">
                          <wps:wsp>
                            <wps:cNvSpPr txBox="1"/>
                            <wps:spPr>
                              <a:xfrm>
                                <a:off x="0" y="0"/>
                                <a:ext cx="287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1610" cy="175260"/>
                      <wp:effectExtent l="0" t="0" r="0" b="0"/>
                      <wp:wrapNone/>
                      <wp:docPr id="113" name="Frame11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4460" cy="175260"/>
                      <wp:effectExtent l="0" t="0" r="0" b="0"/>
                      <wp:wrapNone/>
                      <wp:docPr id="114" name="Frame1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24485" cy="175260"/>
                      <wp:effectExtent l="0" t="0" r="0" b="0"/>
                      <wp:wrapNone/>
                      <wp:docPr id="115" name="Frame11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1610" cy="175260"/>
                      <wp:effectExtent l="0" t="0" r="0" b="0"/>
                      <wp:wrapNone/>
                      <wp:docPr id="116" name="Frame11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0025" cy="175260"/>
                      <wp:effectExtent l="0" t="0" r="0" b="0"/>
                      <wp:wrapNone/>
                      <wp:docPr id="117" name="Frame11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00685" cy="175260"/>
                      <wp:effectExtent l="0" t="0" r="0" b="0"/>
                      <wp:wrapNone/>
                      <wp:docPr id="118" name="Frame11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1610" cy="175260"/>
                      <wp:effectExtent l="0" t="0" r="0" b="0"/>
                      <wp:wrapNone/>
                      <wp:docPr id="119" name="Frame11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4780" cy="175260"/>
                      <wp:effectExtent l="0" t="0" r="0" b="0"/>
                      <wp:wrapNone/>
                      <wp:docPr id="120" name="Frame11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55930" cy="175260"/>
                      <wp:effectExtent l="0" t="0" r="0" b="0"/>
                      <wp:wrapNone/>
                      <wp:docPr id="121" name="Frame119"/>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224"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346" w:type="dxa"/>
            <w:tcBorders/>
            <w:vAlign w:val="center"/>
          </w:tcPr>
          <w:p>
            <w:pPr>
              <w:pStyle w:val="TableContents"/>
              <w:bidi w:val="0"/>
              <w:spacing w:before="0" w:after="0"/>
              <w:ind w:left="0" w:right="0" w:hanging="0"/>
              <w:jc w:val="left"/>
              <w:rPr/>
            </w:pPr>
            <w:r>
              <w:rPr/>
              <w:t>​</w:t>
            </w:r>
          </w:p>
        </w:tc>
        <w:tc>
          <w:tcPr>
            <w:tcW w:w="4118" w:type="dxa"/>
            <w:gridSpan w:val="11"/>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31, 2025</w:t>
            </w:r>
          </w:p>
        </w:tc>
      </w:tr>
      <w:tr>
        <w:trPr/>
        <w:tc>
          <w:tcPr>
            <w:tcW w:w="15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22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c>
          <w:tcPr>
            <w:tcW w:w="346" w:type="dxa"/>
            <w:tcBorders/>
            <w:vAlign w:val="center"/>
          </w:tcPr>
          <w:p>
            <w:pPr>
              <w:pStyle w:val="TableContents"/>
              <w:bidi w:val="0"/>
              <w:spacing w:before="0" w:after="0"/>
              <w:ind w:left="0" w:right="0" w:hanging="0"/>
              <w:jc w:val="left"/>
              <w:rPr/>
            </w:pPr>
            <w:r>
              <w:rPr/>
              <w:t>​</w:t>
            </w:r>
          </w:p>
        </w:tc>
        <w:tc>
          <w:tcPr>
            <w:tcW w:w="411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in millions)</w:t>
            </w:r>
          </w:p>
        </w:tc>
      </w:tr>
      <w:tr>
        <w:trPr/>
        <w:tc>
          <w:tcPr>
            <w:tcW w:w="15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67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GPGI</w:t>
            </w:r>
          </w:p>
        </w:tc>
        <w:tc>
          <w:tcPr>
            <w:tcW w:w="286" w:type="dxa"/>
            <w:tcBorders/>
            <w:vAlign w:val="center"/>
          </w:tcPr>
          <w:p>
            <w:pPr>
              <w:pStyle w:val="TableContents"/>
              <w:bidi w:val="0"/>
              <w:spacing w:before="0" w:after="0"/>
              <w:ind w:left="0" w:right="0" w:hanging="0"/>
              <w:jc w:val="left"/>
              <w:rPr/>
            </w:pPr>
            <w:r>
              <w:rPr/>
              <w:t>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86" w:type="dxa"/>
            <w:tcBorders/>
            <w:vAlign w:val="center"/>
          </w:tcPr>
          <w:p>
            <w:pPr>
              <w:pStyle w:val="TableContents"/>
              <w:bidi w:val="0"/>
              <w:spacing w:before="0" w:after="0"/>
              <w:ind w:left="0" w:right="0" w:hanging="0"/>
              <w:jc w:val="left"/>
              <w:rPr/>
            </w:pPr>
            <w:r>
              <w:rPr/>
              <w:t>  ​ ​</w:t>
            </w:r>
          </w:p>
        </w:tc>
        <w:tc>
          <w:tcPr>
            <w:tcW w:w="209"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6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Resolute</w:t>
            </w:r>
          </w:p>
        </w:tc>
        <w:tc>
          <w:tcPr>
            <w:tcW w:w="286" w:type="dxa"/>
            <w:tcBorders/>
            <w:vAlign w:val="center"/>
          </w:tcPr>
          <w:p>
            <w:pPr>
              <w:pStyle w:val="TableContents"/>
              <w:bidi w:val="0"/>
              <w:spacing w:before="0" w:after="0"/>
              <w:ind w:left="0" w:right="0" w:hanging="0"/>
              <w:jc w:val="left"/>
              <w:rPr/>
            </w:pPr>
            <w:r>
              <w:rPr/>
              <w:t>  ​ ​</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GPGI</w:t>
            </w:r>
          </w:p>
        </w:tc>
        <w:tc>
          <w:tcPr>
            <w:tcW w:w="286" w:type="dxa"/>
            <w:tcBorders/>
            <w:vAlign w:val="center"/>
          </w:tcPr>
          <w:p>
            <w:pPr>
              <w:pStyle w:val="TableContents"/>
              <w:bidi w:val="0"/>
              <w:spacing w:before="0" w:after="0"/>
              <w:ind w:left="0" w:right="0" w:hanging="0"/>
              <w:jc w:val="left"/>
              <w:rPr/>
            </w:pPr>
            <w:r>
              <w:rPr/>
              <w:t>  ​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Intercompany/</w:t>
            </w:r>
          </w:p>
        </w:tc>
        <w:tc>
          <w:tcPr>
            <w:tcW w:w="286" w:type="dxa"/>
            <w:tcBorders/>
            <w:vAlign w:val="center"/>
          </w:tcPr>
          <w:p>
            <w:pPr>
              <w:pStyle w:val="TableContents"/>
              <w:bidi w:val="0"/>
              <w:spacing w:before="0" w:after="0"/>
              <w:ind w:left="0" w:right="0" w:hanging="0"/>
              <w:jc w:val="left"/>
              <w:rPr/>
            </w:pPr>
            <w:r>
              <w:rPr/>
              <w:t>  ​ ​</w:t>
            </w:r>
          </w:p>
        </w:tc>
        <w:tc>
          <w:tcPr>
            <w:tcW w:w="228"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center"/>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286" w:type="dxa"/>
            <w:tcBorders/>
            <w:vAlign w:val="center"/>
          </w:tcPr>
          <w:p>
            <w:pPr>
              <w:pStyle w:val="TableContents"/>
              <w:bidi w:val="0"/>
              <w:spacing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346" w:type="dxa"/>
            <w:tcBorders/>
            <w:vAlign w:val="center"/>
          </w:tcPr>
          <w:p>
            <w:pPr>
              <w:pStyle w:val="TableContents"/>
              <w:bidi w:val="0"/>
              <w:spacing w:before="0" w:after="0"/>
              <w:ind w:left="0" w:right="0" w:hanging="0"/>
              <w:jc w:val="left"/>
              <w:rPr/>
            </w:pPr>
            <w:r>
              <w:rPr/>
              <w:t>  ​ ​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Holdings</w:t>
            </w:r>
          </w:p>
        </w:tc>
        <w:tc>
          <w:tcPr>
            <w:tcW w:w="28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Eliminations</w:t>
            </w:r>
          </w:p>
        </w:tc>
        <w:tc>
          <w:tcPr>
            <w:tcW w:w="28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452"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117.0</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296.5</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296.5</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 net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322.9</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322.9</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receivable</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769.5</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818.1</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289.6</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297.5</w:t>
            </w:r>
          </w:p>
        </w:tc>
      </w:tr>
      <w:tr>
        <w:trPr/>
        <w:tc>
          <w:tcPr>
            <w:tcW w:w="156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572.0</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572.0</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2,916.5</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2,916.5</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1,711.8</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1,711.8</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 of use assets, net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6,077.5</w:t>
            </w:r>
          </w:p>
        </w:tc>
        <w:tc>
          <w:tcPr>
            <w:tcW w:w="28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6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4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323.6</w:t>
            </w:r>
          </w:p>
        </w:tc>
        <w:tc>
          <w:tcPr>
            <w:tcW w:w="286" w:type="dxa"/>
            <w:tcBorders/>
            <w:vAlign w:val="center"/>
          </w:tcPr>
          <w:p>
            <w:pPr>
              <w:pStyle w:val="TableContents"/>
              <w:bidi w:val="0"/>
              <w:spacing w:before="0" w:after="0"/>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332.7</w:t>
            </w:r>
          </w:p>
        </w:tc>
      </w:tr>
      <w:tr>
        <w:trPr/>
        <w:tc>
          <w:tcPr>
            <w:tcW w:w="156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 (DEFICIT)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87.3</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87.5</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259.4</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250.7</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183.4</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183.4</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lease liabilities – operating leases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28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601.8</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605.4</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77.6</w:t>
            </w:r>
          </w:p>
        </w:tc>
      </w:tr>
      <w:tr>
        <w:trPr/>
        <w:tc>
          <w:tcPr>
            <w:tcW w:w="156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pPr>
            <w:r>
              <w:rPr/>
              <w:t>​</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Long-term debt, net of deferred financing costs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2,076.6</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2,153.5</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liability</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214.9</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214.9</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operating leases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54.4</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 net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2,992.5</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3,073.9</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252.3</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255.0</w:t>
            </w:r>
          </w:p>
        </w:tc>
      </w:tr>
      <w:tr>
        <w:trPr/>
        <w:tc>
          <w:tcPr>
            <w:tcW w:w="1561"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3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4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Retained earnings (accumulated deficit)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Treasury stock</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4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4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3,085.0</w:t>
            </w:r>
          </w:p>
        </w:tc>
        <w:tc>
          <w:tcPr>
            <w:tcW w:w="286" w:type="dxa"/>
            <w:tcBorders/>
            <w:vAlign w:val="center"/>
          </w:tcPr>
          <w:p>
            <w:pPr>
              <w:pStyle w:val="TableContents"/>
              <w:bidi w:val="0"/>
              <w:spacing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3,084.9</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c>
          <w:tcPr>
            <w:tcW w:w="28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equity (deficit)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3,085.0</w:t>
            </w:r>
          </w:p>
        </w:tc>
        <w:tc>
          <w:tcPr>
            <w:tcW w:w="28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3,053.4</w:t>
            </w:r>
          </w:p>
        </w:tc>
        <w:tc>
          <w:tcPr>
            <w:tcW w:w="3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71.3</w:t>
            </w:r>
          </w:p>
        </w:tc>
        <w:tc>
          <w:tcPr>
            <w:tcW w:w="28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w:t>
            </w:r>
          </w:p>
        </w:tc>
        <w:tc>
          <w:tcPr>
            <w:tcW w:w="28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 (deficit)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6,077.5</w:t>
            </w:r>
          </w:p>
        </w:tc>
        <w:tc>
          <w:tcPr>
            <w:tcW w:w="28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w:t>
            </w:r>
          </w:p>
        </w:tc>
        <w:tc>
          <w:tcPr>
            <w:tcW w:w="28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6,127.3</w:t>
            </w:r>
          </w:p>
        </w:tc>
        <w:tc>
          <w:tcPr>
            <w:tcW w:w="34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323.6</w:t>
            </w:r>
          </w:p>
        </w:tc>
        <w:tc>
          <w:tcPr>
            <w:tcW w:w="286" w:type="dxa"/>
            <w:tcBorders/>
            <w:vAlign w:val="center"/>
          </w:tcPr>
          <w:p>
            <w:pPr>
              <w:pStyle w:val="TableContents"/>
              <w:bidi w:val="0"/>
              <w:spacing w:before="0" w:after="0"/>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8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332.7</w:t>
            </w:r>
          </w:p>
        </w:tc>
      </w:tr>
    </w:tbl>
    <w:p>
      <w:pPr>
        <w:pStyle w:val="TextBody"/>
        <w:bidi w:val="0"/>
        <w:spacing w:before="0" w:after="0"/>
        <w:ind w:left="0" w:right="0" w:hanging="0"/>
        <w:jc w:val="left"/>
        <w:rPr/>
      </w:pPr>
      <w:r>
        <w:rPr/>
        <w:t>​</w:t>
      </w:r>
    </w:p>
    <w:p>
      <w:pPr>
        <w:pStyle w:val="TextBody"/>
        <w:bidi w:val="0"/>
        <w:spacing w:before="36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3943</Words>
  <Characters>22404</Characters>
  <CharactersWithSpaces>28136</CharactersWithSpaces>
  <Paragraphs>4125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