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405"/>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333"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33" w:before="0" w:after="20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40" w:after="18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2023</w:t>
      </w:r>
    </w:p>
    <w:p>
      <w:pPr>
        <w:pStyle w:val="TextBody"/>
        <w:bidi w:val="0"/>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For transition period from         to</w:t>
      </w:r>
    </w:p>
    <w:p>
      <w:pPr>
        <w:pStyle w:val="TextBody"/>
        <w:bidi w:val="0"/>
        <w:spacing w:lineRule="auto" w:line="333" w:before="60" w:after="180"/>
        <w:jc w:val="center"/>
        <w:rPr>
          <w:rFonts w:ascii="Times New Roman;sans-serif" w:hAnsi="Times New Roman;sans-serif"/>
          <w:b/>
          <w:color w:val="000000"/>
          <w:sz w:val="18"/>
        </w:rPr>
      </w:pPr>
      <w:r>
        <w:rPr>
          <w:rFonts w:ascii="Times New Roman;sans-serif" w:hAnsi="Times New Roman;sans-serif"/>
          <w:b/>
          <w:color w:val="000000"/>
          <w:sz w:val="18"/>
        </w:rPr>
        <w:t>Commission File Number 001-39687</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283"/>
        <w:jc w:val="center"/>
        <w:rPr>
          <w:rFonts w:ascii="Times New Roman;sans-serif" w:hAnsi="Times New Roman;sans-serif"/>
          <w:b/>
          <w:color w:val="000000"/>
          <w:sz w:val="36"/>
        </w:rPr>
      </w:pPr>
      <w:r>
        <w:rPr>
          <w:rFonts w:ascii="Times New Roman;sans-serif" w:hAnsi="Times New Roman;sans-serif"/>
          <w:b/>
          <w:color w:val="000000"/>
          <w:sz w:val="36"/>
        </w:rPr>
        <w:t>CompoSecure, Inc.</w:t>
      </w:r>
    </w:p>
    <w:p>
      <w:pPr>
        <w:pStyle w:val="TextBody"/>
        <w:bidi w:val="0"/>
        <w:spacing w:lineRule="auto" w:line="333" w:before="0" w:after="24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16"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586"/>
        <w:gridCol w:w="586"/>
        <w:gridCol w:w="83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85-2749902</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Number)</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309 Pierce St.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Somerset, NJ 08873</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(908) 518-0500</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including zip code, and telephone number, including area code, of registrant’s principal executive offices)</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18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141"/>
        <w:gridCol w:w="1804"/>
        <w:gridCol w:w="1828"/>
        <w:gridCol w:w="397"/>
        <w:gridCol w:w="392"/>
        <w:gridCol w:w="394"/>
        <w:gridCol w:w="109"/>
        <w:gridCol w:w="109"/>
        <w:gridCol w:w="109"/>
        <w:gridCol w:w="854"/>
        <w:gridCol w:w="854"/>
        <w:gridCol w:w="1214"/>
      </w:tblGrid>
      <w:tr>
        <w:trPr/>
        <w:tc>
          <w:tcPr>
            <w:tcW w:w="2141"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r>
      <w:tr>
        <w:trPr/>
        <w:tc>
          <w:tcPr>
            <w:tcW w:w="57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18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57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118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CMPO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r>
        <w:trPr/>
        <w:tc>
          <w:tcPr>
            <w:tcW w:w="57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Redeemable Warrants, each whole warrant exercisable for one share of Class A Common Stock</w:t>
            </w:r>
          </w:p>
        </w:tc>
        <w:tc>
          <w:tcPr>
            <w:tcW w:w="118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CMPOW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405"/>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405"/>
                        <w:jc w:val="center"/>
                        <w:rPr/>
                      </w:pPr>
                      <w:r>
                        <w:rPr/>
                      </w:r>
                    </w:p>
                  </w:txbxContent>
                </v:textbox>
                <w10:wrap type="none"/>
              </v:rect>
            </w:pict>
          </mc:Fallback>
        </mc:AlternateContent>
      </w:r>
    </w:p>
    <w:p>
      <w:pPr>
        <w:pStyle w:val="TextBody"/>
        <w:bidi w:val="0"/>
        <w:spacing w:before="0" w:after="0"/>
        <w:ind w:left="0" w:right="0" w:firstLine="405"/>
        <w:jc w:val="both"/>
        <w:rPr/>
      </w:pPr>
      <w:r>
        <w:rPr/>
      </w:r>
    </w:p>
    <w:p>
      <w:pPr>
        <w:pStyle w:val="TextBody"/>
        <w:bidi w:val="0"/>
        <w:spacing w:lineRule="auto" w:line="333" w:before="200" w:after="283"/>
        <w:ind w:left="0" w:right="0" w:firstLine="405"/>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p>
    <w:p>
      <w:pPr>
        <w:pStyle w:val="TextBody"/>
        <w:bidi w:val="0"/>
        <w:spacing w:lineRule="auto" w:line="333" w:before="200" w:after="283"/>
        <w:ind w:left="0" w:right="0" w:firstLine="405"/>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No ☐</w:t>
      </w:r>
    </w:p>
    <w:p>
      <w:pPr>
        <w:pStyle w:val="TextBody"/>
        <w:bidi w:val="0"/>
        <w:spacing w:lineRule="auto" w:line="333" w:before="200" w:after="283"/>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bl>
    <w:p>
      <w:pPr>
        <w:pStyle w:val="TextBody"/>
        <w:bidi w:val="0"/>
        <w:spacing w:lineRule="auto" w:line="333" w:before="200" w:after="283"/>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uto" w:line="333" w:before="200" w:after="283"/>
        <w:ind w:left="0" w:right="0" w:firstLine="405"/>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 No </w:t>
      </w:r>
      <w:r>
        <w:rPr>
          <w:color w:val="000000"/>
        </w:rPr>
        <w:t>☒</w:t>
      </w:r>
    </w:p>
    <w:p>
      <w:pPr>
        <w:pStyle w:val="TextBody"/>
        <w:bidi w:val="0"/>
        <w:spacing w:lineRule="auto" w:line="333" w:before="200" w:after="20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As of August 8, 2023, there were 19,045,347 shares of the registrant's Class A common stock outstanding and 59,958,422 shares of the registrant's Class B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405"/>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405"/>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jc w:val="right"/>
        <w:rPr/>
      </w:pPr>
      <w:r>
        <w:rPr/>
      </w:r>
    </w:p>
    <w:p>
      <w:pPr>
        <w:pStyle w:val="TextBody"/>
        <w:bidi w:val="0"/>
        <w:spacing w:lineRule="auto" w:line="288" w:before="0" w:after="24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8881" w:type="dxa"/>
        <w:jc w:val="left"/>
        <w:tblInd w:w="0" w:type="dxa"/>
        <w:tblLayout w:type="fixed"/>
        <w:tblCellMar>
          <w:top w:w="28" w:type="dxa"/>
          <w:left w:w="28" w:type="dxa"/>
          <w:bottom w:w="28" w:type="dxa"/>
          <w:right w:w="28" w:type="dxa"/>
        </w:tblCellMar>
      </w:tblPr>
      <w:tblGrid>
        <w:gridCol w:w="352"/>
        <w:gridCol w:w="310"/>
        <w:gridCol w:w="314"/>
        <w:gridCol w:w="2443"/>
        <w:gridCol w:w="2443"/>
        <w:gridCol w:w="2448"/>
        <w:gridCol w:w="167"/>
        <w:gridCol w:w="167"/>
        <w:gridCol w:w="237"/>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13">
              <w:r>
                <w:rPr>
                  <w:rStyle w:val="InternetLink"/>
                  <w:rFonts w:ascii="Times New Roman;sans-serif" w:hAnsi="Times New Roman;sans-serif"/>
                  <w:b/>
                  <w:color w:val="0000FF"/>
                  <w:sz w:val="20"/>
                  <w:u w:val="single"/>
                </w:rPr>
                <w:t>Part I.</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13">
              <w:r>
                <w:rPr>
                  <w:rStyle w:val="InternetLink"/>
                  <w:rFonts w:ascii="Times New Roman;sans-serif" w:hAnsi="Times New Roman;sans-serif"/>
                  <w:b/>
                  <w:color w:val="0000FF"/>
                  <w:sz w:val="20"/>
                  <w:u w:val="single"/>
                </w:rPr>
                <w:t>Financial Information</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pPr>
            <w:hyperlink w:anchor="i38da651db7f5430996e7fa61eb572d04_13">
              <w:r>
                <w:rPr>
                  <w:rStyle w:val="InternetLink"/>
                  <w:rFonts w:ascii="Times New Roman;sans-serif" w:hAnsi="Times New Roman;sans-serif"/>
                  <w:b w:val="false"/>
                  <w:strike w:val="false"/>
                  <w:dstrike w:val="false"/>
                  <w:color w:val="000000"/>
                  <w:sz w:val="20"/>
                  <w:u w:val="none"/>
                  <w:effect w:val="none"/>
                </w:rPr>
                <w:t>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8da651db7f5430996e7fa61eb572d04_16">
              <w:r>
                <w:rPr>
                  <w:rStyle w:val="InternetLink"/>
                  <w:rFonts w:ascii="Times New Roman;sans-serif" w:hAnsi="Times New Roman;sans-serif"/>
                  <w:b w:val="false"/>
                  <w:color w:val="0000FF"/>
                  <w:sz w:val="20"/>
                  <w:u w:val="single"/>
                </w:rPr>
                <w:t>Item 1.</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16">
              <w:r>
                <w:rPr>
                  <w:rStyle w:val="InternetLink"/>
                  <w:rFonts w:ascii="Times New Roman;sans-serif" w:hAnsi="Times New Roman;sans-serif"/>
                  <w:b w:val="false"/>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16">
              <w:r>
                <w:rPr>
                  <w:rStyle w:val="InternetLink"/>
                  <w:rFonts w:ascii="Times New Roman;sans-serif" w:hAnsi="Times New Roman;sans-serif"/>
                  <w:b w:val="false"/>
                  <w:strike w:val="false"/>
                  <w:dstrike w:val="false"/>
                  <w:color w:val="000000"/>
                  <w:sz w:val="20"/>
                  <w:u w:val="none"/>
                  <w:effect w:val="none"/>
                </w:rPr>
                <w:t>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19">
              <w:r>
                <w:rPr>
                  <w:rStyle w:val="InternetLink"/>
                  <w:rFonts w:ascii="Times New Roman;sans-serif" w:hAnsi="Times New Roman;sans-serif"/>
                  <w:b w:val="false"/>
                  <w:color w:val="0000FF"/>
                  <w:sz w:val="20"/>
                  <w:u w:val="single"/>
                </w:rPr>
                <w:t xml:space="preserve">Consolidated Balance Sheets (Unaudited) </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19">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22">
              <w:r>
                <w:rPr>
                  <w:rStyle w:val="InternetLink"/>
                  <w:rFonts w:ascii="Times New Roman;sans-serif" w:hAnsi="Times New Roman;sans-serif"/>
                  <w:b w:val="false"/>
                  <w:color w:val="0000FF"/>
                  <w:sz w:val="20"/>
                  <w:u w:val="single"/>
                </w:rPr>
                <w:t>Consolidated Statements of Operations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22">
              <w:r>
                <w:rPr>
                  <w:rStyle w:val="InternetLink"/>
                  <w:rFonts w:ascii="Times New Roman;sans-serif" w:hAnsi="Times New Roman;sans-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25">
              <w:r>
                <w:rPr>
                  <w:rStyle w:val="InternetLink"/>
                  <w:rFonts w:ascii="Times New Roman;sans-serif" w:hAnsi="Times New Roman;sans-serif"/>
                  <w:b w:val="false"/>
                  <w:color w:val="0000FF"/>
                  <w:sz w:val="20"/>
                  <w:u w:val="single"/>
                </w:rPr>
                <w:t>Consolidated Statements of Comprehensive Income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25">
              <w:r>
                <w:rPr>
                  <w:rStyle w:val="InternetLink"/>
                  <w:rFonts w:ascii="Times New Roman;sans-serif" w:hAnsi="Times New Roman;sans-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28">
              <w:r>
                <w:rPr>
                  <w:rStyle w:val="InternetLink"/>
                  <w:rFonts w:ascii="Times New Roman;sans-serif" w:hAnsi="Times New Roman;sans-serif"/>
                  <w:b w:val="false"/>
                  <w:color w:val="0000FF"/>
                  <w:sz w:val="20"/>
                  <w:u w:val="single"/>
                </w:rPr>
                <w:t>Consolidated Statements of Stockholders’ Deficit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28">
              <w:r>
                <w:rPr>
                  <w:rStyle w:val="InternetLink"/>
                  <w:rFonts w:ascii="Times New Roman;sans-serif" w:hAnsi="Times New Roman;sans-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31">
              <w:r>
                <w:rPr>
                  <w:rStyle w:val="InternetLink"/>
                  <w:rFonts w:ascii="Times New Roman;sans-serif" w:hAnsi="Times New Roman;sans-serif"/>
                  <w:b w:val="false"/>
                  <w:color w:val="0000FF"/>
                  <w:sz w:val="20"/>
                  <w:u w:val="single"/>
                </w:rPr>
                <w:t>Consolidated Statements of Cash Flows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31">
              <w:r>
                <w:rPr>
                  <w:rStyle w:val="InternetLink"/>
                  <w:rFonts w:ascii="Times New Roman;sans-serif" w:hAnsi="Times New Roman;sans-serif"/>
                  <w:b w:val="false"/>
                  <w:strike w:val="false"/>
                  <w:dstrike w:val="false"/>
                  <w:color w:val="000000"/>
                  <w:sz w:val="20"/>
                  <w:u w:val="none"/>
                  <w:effect w:val="non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34">
              <w:r>
                <w:rPr>
                  <w:rStyle w:val="InternetLink"/>
                  <w:rFonts w:ascii="Times New Roman;sans-serif" w:hAnsi="Times New Roman;sans-serif"/>
                  <w:b w:val="false"/>
                  <w:color w:val="0000FF"/>
                  <w:sz w:val="20"/>
                  <w:u w:val="single"/>
                </w:rPr>
                <w:t>Notes to Consolidated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34">
              <w:r>
                <w:rPr>
                  <w:rStyle w:val="InternetLink"/>
                  <w:rFonts w:ascii="Times New Roman;sans-serif" w:hAnsi="Times New Roman;sans-serif"/>
                  <w:b w:val="false"/>
                  <w:strike w:val="false"/>
                  <w:dstrike w:val="false"/>
                  <w:color w:val="000000"/>
                  <w:sz w:val="20"/>
                  <w:u w:val="none"/>
                  <w:effect w:val="none"/>
                </w:rPr>
                <w:t>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8da651db7f5430996e7fa61eb572d04_85">
              <w:r>
                <w:rPr>
                  <w:rStyle w:val="InternetLink"/>
                  <w:rFonts w:ascii="Times New Roman;sans-serif" w:hAnsi="Times New Roman;sans-serif"/>
                  <w:b w:val="false"/>
                  <w:color w:val="0000FF"/>
                  <w:sz w:val="20"/>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85">
              <w:r>
                <w:rPr>
                  <w:rStyle w:val="InternetLink"/>
                  <w:rFonts w:ascii="Times New Roman;sans-serif" w:hAnsi="Times New Roman;sans-serif"/>
                  <w:b w:val="false"/>
                  <w:color w:val="0000FF"/>
                  <w:sz w:val="20"/>
                  <w:u w:val="single"/>
                </w:rPr>
                <w:t>Management's Discussion and Analysis of Financial Condition and Results of Operation</w:t>
              </w:r>
            </w:hyperlink>
            <w:r>
              <w:rPr>
                <w:rFonts w:ascii="Times New Roman;sans-serif" w:hAnsi="Times New Roman;sans-serif"/>
                <w:b w:val="false"/>
                <w:color w:val="000000"/>
                <w:sz w:val="20"/>
              </w:rPr>
              <w:t>s</w:t>
            </w:r>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85">
              <w:r>
                <w:rPr>
                  <w:rStyle w:val="InternetLink"/>
                  <w:rFonts w:ascii="Times New Roman;sans-serif" w:hAnsi="Times New Roman;sans-serif"/>
                  <w:b w:val="false"/>
                  <w:strike w:val="false"/>
                  <w:dstrike w:val="false"/>
                  <w:color w:val="000000"/>
                  <w:sz w:val="20"/>
                  <w:u w:val="none"/>
                  <w:effect w:val="non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8da651db7f5430996e7fa61eb572d04_118">
              <w:r>
                <w:rPr>
                  <w:rStyle w:val="InternetLink"/>
                  <w:rFonts w:ascii="Times New Roman;sans-serif" w:hAnsi="Times New Roman;sans-serif"/>
                  <w:b w:val="false"/>
                  <w:color w:val="0000FF"/>
                  <w:sz w:val="20"/>
                  <w:u w:val="single"/>
                </w:rPr>
                <w:t>Item 3.</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118">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118">
              <w:r>
                <w:rPr>
                  <w:rStyle w:val="InternetLink"/>
                  <w:rFonts w:ascii="Times New Roman;sans-serif" w:hAnsi="Times New Roman;sans-serif"/>
                  <w:b w:val="false"/>
                  <w:strike w:val="false"/>
                  <w:dstrike w:val="false"/>
                  <w:color w:val="000000"/>
                  <w:sz w:val="20"/>
                  <w:u w:val="none"/>
                  <w:effect w:val="none"/>
                </w:rPr>
                <w:t>37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8da651db7f5430996e7fa61eb572d04_121">
              <w:r>
                <w:rPr>
                  <w:rStyle w:val="InternetLink"/>
                  <w:rFonts w:ascii="Times New Roman;sans-serif" w:hAnsi="Times New Roman;sans-serif"/>
                  <w:b w:val="false"/>
                  <w:color w:val="0000FF"/>
                  <w:sz w:val="20"/>
                  <w:u w:val="single"/>
                </w:rPr>
                <w:t>Item 4.</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121">
              <w:r>
                <w:rPr>
                  <w:rStyle w:val="InternetLink"/>
                  <w:rFonts w:ascii="Times New Roman;sans-serif" w:hAnsi="Times New Roman;sans-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121">
              <w:r>
                <w:rPr>
                  <w:rStyle w:val="InternetLink"/>
                  <w:rFonts w:ascii="Times New Roman;sans-serif" w:hAnsi="Times New Roman;sans-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124">
              <w:r>
                <w:rPr>
                  <w:rStyle w:val="InternetLink"/>
                  <w:rFonts w:ascii="Times New Roman;sans-serif" w:hAnsi="Times New Roman;sans-serif"/>
                  <w:b/>
                  <w:color w:val="0000FF"/>
                  <w:sz w:val="20"/>
                  <w:u w:val="single"/>
                </w:rPr>
                <w:t>Part II.</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124">
              <w:r>
                <w:rPr>
                  <w:rStyle w:val="InternetLink"/>
                  <w:rFonts w:ascii="Times New Roman;sans-serif" w:hAnsi="Times New Roman;sans-serif"/>
                  <w:b/>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124">
              <w:r>
                <w:rPr>
                  <w:rStyle w:val="InternetLink"/>
                  <w:rFonts w:ascii="Times New Roman;sans-serif" w:hAnsi="Times New Roman;sans-serif"/>
                  <w:b w:val="false"/>
                  <w:strike w:val="false"/>
                  <w:dstrike w:val="false"/>
                  <w:color w:val="000000"/>
                  <w:sz w:val="20"/>
                  <w:u w:val="none"/>
                  <w:effect w:val="none"/>
                </w:rPr>
                <w:t>40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8da651db7f5430996e7fa61eb572d04_127">
              <w:r>
                <w:rPr>
                  <w:rStyle w:val="InternetLink"/>
                  <w:rFonts w:ascii="Times New Roman;sans-serif" w:hAnsi="Times New Roman;sans-serif"/>
                  <w:b w:val="false"/>
                  <w:color w:val="0000FF"/>
                  <w:sz w:val="20"/>
                  <w:u w:val="single"/>
                </w:rPr>
                <w:t>Item 1.</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127">
              <w:r>
                <w:rPr>
                  <w:rStyle w:val="InternetLink"/>
                  <w:rFonts w:ascii="Times New Roman;sans-serif" w:hAnsi="Times New Roman;sans-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127">
              <w:r>
                <w:rPr>
                  <w:rStyle w:val="InternetLink"/>
                  <w:rFonts w:ascii="Times New Roman;sans-serif" w:hAnsi="Times New Roman;sans-serif"/>
                  <w:b w:val="false"/>
                  <w:strike w:val="false"/>
                  <w:dstrike w:val="false"/>
                  <w:color w:val="000000"/>
                  <w:sz w:val="20"/>
                  <w:u w:val="none"/>
                  <w:effect w:val="none"/>
                </w:rPr>
                <w:t>40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8da651db7f5430996e7fa61eb572d04_130">
              <w:r>
                <w:rPr>
                  <w:rStyle w:val="InternetLink"/>
                  <w:rFonts w:ascii="Times New Roman;sans-serif" w:hAnsi="Times New Roman;sans-serif"/>
                  <w:b w:val="false"/>
                  <w:color w:val="0000FF"/>
                  <w:sz w:val="20"/>
                  <w:u w:val="single"/>
                </w:rPr>
                <w:t>Item 1A.</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130">
              <w:r>
                <w:rPr>
                  <w:rStyle w:val="InternetLink"/>
                  <w:rFonts w:ascii="Times New Roman;sans-serif" w:hAnsi="Times New Roman;sans-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127">
              <w:r>
                <w:rPr>
                  <w:rStyle w:val="InternetLink"/>
                  <w:rFonts w:ascii="Times New Roman;sans-serif" w:hAnsi="Times New Roman;sans-serif"/>
                  <w:b w:val="false"/>
                  <w:strike w:val="false"/>
                  <w:dstrike w:val="false"/>
                  <w:color w:val="000000"/>
                  <w:sz w:val="20"/>
                  <w:u w:val="none"/>
                  <w:effect w:val="none"/>
                </w:rPr>
                <w:t>40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8da651db7f5430996e7fa61eb572d04_133">
              <w:r>
                <w:rPr>
                  <w:rStyle w:val="InternetLink"/>
                  <w:rFonts w:ascii="Times New Roman;sans-serif" w:hAnsi="Times New Roman;sans-serif"/>
                  <w:b w:val="false"/>
                  <w:color w:val="0000FF"/>
                  <w:sz w:val="20"/>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133">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133">
              <w:r>
                <w:rPr>
                  <w:rStyle w:val="InternetLink"/>
                  <w:rFonts w:ascii="Times New Roman;sans-serif" w:hAnsi="Times New Roman;sans-serif"/>
                  <w:b w:val="false"/>
                  <w:strike w:val="false"/>
                  <w:dstrike w:val="false"/>
                  <w:color w:val="000000"/>
                  <w:sz w:val="20"/>
                  <w:u w:val="none"/>
                  <w:effect w:val="none"/>
                </w:rPr>
                <w:t>62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8da651db7f5430996e7fa61eb572d04_136">
              <w:r>
                <w:rPr>
                  <w:rStyle w:val="InternetLink"/>
                  <w:rFonts w:ascii="Times New Roman;sans-serif" w:hAnsi="Times New Roman;sans-serif"/>
                  <w:b w:val="false"/>
                  <w:color w:val="0000FF"/>
                  <w:sz w:val="20"/>
                  <w:u w:val="single"/>
                </w:rPr>
                <w:t>Item 3.</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136">
              <w:r>
                <w:rPr>
                  <w:rStyle w:val="InternetLink"/>
                  <w:rFonts w:ascii="Times New Roman;sans-serif" w:hAnsi="Times New Roman;sans-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136">
              <w:r>
                <w:rPr>
                  <w:rStyle w:val="InternetLink"/>
                  <w:rFonts w:ascii="Times New Roman;sans-serif" w:hAnsi="Times New Roman;sans-serif"/>
                  <w:b w:val="false"/>
                  <w:strike w:val="false"/>
                  <w:dstrike w:val="false"/>
                  <w:color w:val="000000"/>
                  <w:sz w:val="20"/>
                  <w:u w:val="none"/>
                  <w:effect w:val="none"/>
                </w:rPr>
                <w:t>62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8da651db7f5430996e7fa61eb572d04_139">
              <w:r>
                <w:rPr>
                  <w:rStyle w:val="InternetLink"/>
                  <w:rFonts w:ascii="Times New Roman;sans-serif" w:hAnsi="Times New Roman;sans-serif"/>
                  <w:b w:val="false"/>
                  <w:color w:val="0000FF"/>
                  <w:sz w:val="20"/>
                  <w:u w:val="single"/>
                </w:rPr>
                <w:t>Item 4.</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139">
              <w:r>
                <w:rPr>
                  <w:rStyle w:val="InternetLink"/>
                  <w:rFonts w:ascii="Times New Roman;sans-serif" w:hAnsi="Times New Roman;sans-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139">
              <w:r>
                <w:rPr>
                  <w:rStyle w:val="InternetLink"/>
                  <w:rFonts w:ascii="Times New Roman;sans-serif" w:hAnsi="Times New Roman;sans-serif"/>
                  <w:b w:val="false"/>
                  <w:strike w:val="false"/>
                  <w:dstrike w:val="false"/>
                  <w:color w:val="000000"/>
                  <w:sz w:val="20"/>
                  <w:u w:val="none"/>
                  <w:effect w:val="none"/>
                </w:rPr>
                <w:t>62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8da651db7f5430996e7fa61eb572d04_142">
              <w:r>
                <w:rPr>
                  <w:rStyle w:val="InternetLink"/>
                  <w:rFonts w:ascii="Times New Roman;sans-serif" w:hAnsi="Times New Roman;sans-serif"/>
                  <w:b w:val="false"/>
                  <w:color w:val="0000FF"/>
                  <w:sz w:val="20"/>
                  <w:u w:val="single"/>
                </w:rPr>
                <w:t>Item 5.</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142">
              <w:r>
                <w:rPr>
                  <w:rStyle w:val="InternetLink"/>
                  <w:rFonts w:ascii="Times New Roman;sans-serif" w:hAnsi="Times New Roman;sans-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142">
              <w:r>
                <w:rPr>
                  <w:rStyle w:val="InternetLink"/>
                  <w:rFonts w:ascii="Times New Roman;sans-serif" w:hAnsi="Times New Roman;sans-serif"/>
                  <w:b w:val="false"/>
                  <w:strike w:val="false"/>
                  <w:dstrike w:val="false"/>
                  <w:color w:val="000000"/>
                  <w:sz w:val="20"/>
                  <w:u w:val="none"/>
                  <w:effect w:val="none"/>
                </w:rPr>
                <w:t>62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8da651db7f5430996e7fa61eb572d04_145">
              <w:r>
                <w:rPr>
                  <w:rStyle w:val="InternetLink"/>
                  <w:rFonts w:ascii="Times New Roman;sans-serif" w:hAnsi="Times New Roman;sans-serif"/>
                  <w:b w:val="false"/>
                  <w:color w:val="0000FF"/>
                  <w:sz w:val="20"/>
                  <w:u w:val="single"/>
                </w:rPr>
                <w:t>Item 6.</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8da651db7f5430996e7fa61eb572d04_145">
              <w:r>
                <w:rPr>
                  <w:rStyle w:val="InternetLink"/>
                  <w:rFonts w:ascii="Times New Roman;sans-serif" w:hAnsi="Times New Roman;sans-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145">
              <w:r>
                <w:rPr>
                  <w:rStyle w:val="InternetLink"/>
                  <w:rFonts w:ascii="Times New Roman;sans-serif" w:hAnsi="Times New Roman;sans-serif"/>
                  <w:b w:val="false"/>
                  <w:strike w:val="false"/>
                  <w:dstrike w:val="false"/>
                  <w:color w:val="000000"/>
                  <w:sz w:val="20"/>
                  <w:u w:val="none"/>
                  <w:effect w:val="none"/>
                </w:rPr>
                <w:t>62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8da651db7f5430996e7fa61eb572d04_148">
              <w:r>
                <w:rPr>
                  <w:rStyle w:val="InternetLink"/>
                  <w:rFonts w:ascii="Times New Roman;sans-serif" w:hAnsi="Times New Roman;sans-serif"/>
                  <w:b w:val="false"/>
                  <w:color w:val="0000FF"/>
                  <w:sz w:val="20"/>
                  <w:u w:val="single"/>
                </w:rPr>
                <w:t>Signatures</w:t>
              </w:r>
            </w:hyperlink>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38da651db7f5430996e7fa61eb572d04_148">
              <w:r>
                <w:rPr>
                  <w:rStyle w:val="InternetLink"/>
                  <w:rFonts w:ascii="Times New Roman;sans-serif" w:hAnsi="Times New Roman;sans-serif"/>
                  <w:b w:val="false"/>
                  <w:strike w:val="false"/>
                  <w:dstrike w:val="false"/>
                  <w:color w:val="000000"/>
                  <w:sz w:val="20"/>
                  <w:u w:val="none"/>
                  <w:effect w:val="none"/>
                </w:rPr>
                <w:t>63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
        <w:jc w:val="center"/>
        <w:rPr/>
      </w:pPr>
      <w:r>
        <w:rPr>
          <w:rFonts w:ascii="Times New Roman;sans-serif" w:hAnsi="Times New Roman;sans-serif"/>
          <w:b/>
          <w:color w:val="000000"/>
          <w:sz w:val="24"/>
        </w:rPr>
        <w:t>CAUTIONARY NOTE REGARDING FORWARD-LOOKING STATEMENTS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and the documents incorporated by reference herein, may contain forward-looking statements as defined by the Private Securities Litigation Reform Act of 1995. These statements are based on the beliefs and assumptions of management. Although the Company believes that its plans, intentions, and expectations reflected in or suggested by these forward- 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 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not guarantees of performance. You should not put undue reliance on these statements which speak only as of the date hereof. You should understand that the following important factors, among others, could affect the Company’s future results and could cause those results or other outcomes to differ materially from those expressed or implied in the Company’s forward-looking statements: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the Company to grow and manage growth profitably, maintain relationships with customers, compete within its industry and retain its key employees;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possibility that the Company may be adversely impacted by other economic, business, and/or competitive factors;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outcome of any legal proceedings that may be instituted against the Company or others;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future exchange and interest rates;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risks and uncertainties indicated in this report, including those under “Risk Factors” herein, and other filings that have been made or will be made with the SEC.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and other factors that could cause actual results to differ from those implied by the forward-looking statements in this report are more fully described in the “Risk Factors” section.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Statements</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6550"/>
                <wp:effectExtent l="0" t="0" r="0" b="0"/>
                <wp:wrapNone/>
                <wp:docPr id="5" name="Frame5"/>
                <a:graphic xmlns:a="http://schemas.openxmlformats.org/drawingml/2006/main">
                  <a:graphicData uri="http://schemas.microsoft.com/office/word/2010/wordprocessingShape">
                    <wps:wsp>
                      <wps:cNvSpPr txBox="1"/>
                      <wps:spPr>
                        <a:xfrm>
                          <a:off x="0" y="0"/>
                          <a:ext cx="6480175" cy="336550"/>
                        </a:xfrm>
                        <a:prstGeom prst="rect"/>
                        <a:solidFill>
                          <a:srgbClr val="FFFFFF"/>
                        </a:solidFill>
                      </wps:spPr>
                      <wps:txbx>
                        <w:txbxContent>
                          <w:p>
                            <w:pPr>
                              <w:pStyle w:val="TextBody"/>
                              <w:bidi w:val="0"/>
                              <w:spacing w:before="0" w:after="1"/>
                              <w:jc w:val="center"/>
                              <w:rPr/>
                            </w:pPr>
                            <w:r>
                              <w:rPr/>
                            </w:r>
                          </w:p>
                          <w:p>
                            <w:pPr>
                              <w:pStyle w:val="TextBody"/>
                              <w:bidi w:val="0"/>
                              <w:spacing w:lineRule="auto" w:line="288" w:before="0" w:after="1"/>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
                        <w:jc w:val="center"/>
                        <w:rPr/>
                      </w:pPr>
                      <w:r>
                        <w:rPr/>
                      </w:r>
                    </w:p>
                    <w:p>
                      <w:pPr>
                        <w:pStyle w:val="TextBody"/>
                        <w:bidi w:val="0"/>
                        <w:spacing w:lineRule="auto" w:line="288" w:before="0" w:after="1"/>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tbl>
      <w:tblPr>
        <w:tblW w:w="5564" w:type="dxa"/>
        <w:jc w:val="left"/>
        <w:tblInd w:w="0" w:type="dxa"/>
        <w:tblLayout w:type="fixed"/>
        <w:tblCellMar>
          <w:top w:w="28" w:type="dxa"/>
          <w:left w:w="28" w:type="dxa"/>
          <w:bottom w:w="28" w:type="dxa"/>
          <w:right w:w="28" w:type="dxa"/>
        </w:tblCellMar>
      </w:tblPr>
      <w:tblGrid>
        <w:gridCol w:w="1782"/>
        <w:gridCol w:w="1567"/>
        <w:gridCol w:w="2215"/>
      </w:tblGrid>
      <w:tr>
        <w:trPr/>
        <w:tc>
          <w:tcPr>
            <w:tcW w:w="1782"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55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Balance Sheets</w:t>
            </w:r>
          </w:p>
        </w:tc>
      </w:tr>
      <w:tr>
        <w:trPr/>
        <w:tc>
          <w:tcPr>
            <w:tcW w:w="5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in thousands, except par value and share amounts)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97"/>
        <w:gridCol w:w="2345"/>
        <w:gridCol w:w="2380"/>
        <w:gridCol w:w="196"/>
        <w:gridCol w:w="736"/>
        <w:gridCol w:w="109"/>
        <w:gridCol w:w="109"/>
        <w:gridCol w:w="109"/>
        <w:gridCol w:w="109"/>
        <w:gridCol w:w="200"/>
        <w:gridCol w:w="755"/>
        <w:gridCol w:w="160"/>
      </w:tblGrid>
      <w:tr>
        <w:trPr/>
        <w:tc>
          <w:tcPr>
            <w:tcW w:w="2997"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97,112 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 of use assets operating,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asset - 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162,943 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DEFICIT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lease liabilities, operating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tax receivable agreement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Bonus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47,360 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deferred finance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Convertible notes,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convertible notes redemption make-whole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operating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receivable agreement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Earnout consideration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454,941 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600,234 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10,000,000 shares authorized, no shares issued and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250,000,000 shares authorized, 18,692,106 and 16,446,748 shares issued and outstanding as of June 30, 2023 and December 31, 2022,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 $0.0001 par value; 75,000,000 shares authorized, 59,958,422 and 60,325,057 shares issued and outstanding as of June 30, 2023 and December 31, 2022,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(924,630)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deficit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(868,489)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(892,232)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DEFICIT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181,063 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162,943 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3695"/>
                <wp:effectExtent l="0" t="0" r="0" b="0"/>
                <wp:wrapNone/>
                <wp:docPr id="6" name="Frame6"/>
                <a:graphic xmlns:a="http://schemas.openxmlformats.org/drawingml/2006/main">
                  <a:graphicData uri="http://schemas.microsoft.com/office/word/2010/wordprocessingShape">
                    <wps:wsp>
                      <wps:cNvSpPr txBox="1"/>
                      <wps:spPr>
                        <a:xfrm>
                          <a:off x="0" y="0"/>
                          <a:ext cx="6480175" cy="353695"/>
                        </a:xfrm>
                        <a:prstGeom prst="rect"/>
                        <a:solidFill>
                          <a:srgbClr val="FFFFFF"/>
                        </a:solidFill>
                      </wps:spPr>
                      <wps:txb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jc w:val="left"/>
        <w:rPr/>
      </w:pPr>
      <w:r>
        <w:rPr/>
      </w:r>
    </w:p>
    <w:tbl>
      <w:tblPr>
        <w:tblW w:w="5400" w:type="dxa"/>
        <w:jc w:val="left"/>
        <w:tblInd w:w="0" w:type="dxa"/>
        <w:tblLayout w:type="fixed"/>
        <w:tblCellMar>
          <w:top w:w="28" w:type="dxa"/>
          <w:left w:w="28" w:type="dxa"/>
          <w:bottom w:w="28" w:type="dxa"/>
          <w:right w:w="28" w:type="dxa"/>
        </w:tblCellMar>
      </w:tblPr>
      <w:tblGrid>
        <w:gridCol w:w="1729"/>
        <w:gridCol w:w="1521"/>
        <w:gridCol w:w="2150"/>
      </w:tblGrid>
      <w:tr>
        <w:trPr/>
        <w:tc>
          <w:tcPr>
            <w:tcW w:w="172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54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Statements of Operations (Unaudited)</w:t>
            </w:r>
          </w:p>
        </w:tc>
      </w:tr>
      <w:tr>
        <w:trPr/>
        <w:tc>
          <w:tcPr>
            <w:tcW w:w="54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in thousands, except per share amounts)</w:t>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78"/>
        <w:gridCol w:w="1524"/>
        <w:gridCol w:w="1328"/>
        <w:gridCol w:w="217"/>
        <w:gridCol w:w="743"/>
        <w:gridCol w:w="112"/>
        <w:gridCol w:w="112"/>
        <w:gridCol w:w="112"/>
        <w:gridCol w:w="112"/>
        <w:gridCol w:w="217"/>
        <w:gridCol w:w="743"/>
        <w:gridCol w:w="112"/>
        <w:gridCol w:w="109"/>
        <w:gridCol w:w="109"/>
        <w:gridCol w:w="109"/>
        <w:gridCol w:w="211"/>
        <w:gridCol w:w="826"/>
        <w:gridCol w:w="109"/>
        <w:gridCol w:w="109"/>
        <w:gridCol w:w="109"/>
        <w:gridCol w:w="109"/>
        <w:gridCol w:w="211"/>
        <w:gridCol w:w="826"/>
        <w:gridCol w:w="158"/>
      </w:tblGrid>
      <w:tr>
        <w:trPr/>
        <w:tc>
          <w:tcPr>
            <w:tcW w:w="187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107,611 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Revaluation of earnout consideration liability</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Revaluation of warrant liability</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 - convertible notes redemption make-whole provision</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benefit </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w:t>
            </w:r>
          </w:p>
        </w:tc>
        <w:tc>
          <w:tcPr>
            <w:tcW w:w="21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CompoSecure, Inc.</w:t>
            </w:r>
          </w:p>
        </w:tc>
        <w:tc>
          <w:tcPr>
            <w:tcW w:w="21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Class A common stockholders - basic</w:t>
            </w:r>
          </w:p>
        </w:tc>
        <w:tc>
          <w:tcPr>
            <w:tcW w:w="21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Class A common stockholders - diluted</w:t>
            </w:r>
          </w:p>
        </w:tc>
        <w:tc>
          <w:tcPr>
            <w:tcW w:w="21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net income per share attributable to Class A common stockholders - basic (in thousands)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net income per share attributable to Class A common stockholders - diluted (in thousands)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73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3695"/>
                <wp:effectExtent l="0" t="0" r="0" b="0"/>
                <wp:wrapNone/>
                <wp:docPr id="7" name="Frame7"/>
                <a:graphic xmlns:a="http://schemas.openxmlformats.org/drawingml/2006/main">
                  <a:graphicData uri="http://schemas.microsoft.com/office/word/2010/wordprocessingShape">
                    <wps:wsp>
                      <wps:cNvSpPr txBox="1"/>
                      <wps:spPr>
                        <a:xfrm>
                          <a:off x="0" y="0"/>
                          <a:ext cx="6480175" cy="353695"/>
                        </a:xfrm>
                        <a:prstGeom prst="rect"/>
                        <a:solidFill>
                          <a:srgbClr val="FFFFFF"/>
                        </a:solidFill>
                      </wps:spPr>
                      <wps:txb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tbl>
      <w:tblPr>
        <w:tblW w:w="6674" w:type="dxa"/>
        <w:jc w:val="left"/>
        <w:tblInd w:w="0" w:type="dxa"/>
        <w:tblLayout w:type="fixed"/>
        <w:tblCellMar>
          <w:top w:w="28" w:type="dxa"/>
          <w:left w:w="28" w:type="dxa"/>
          <w:bottom w:w="28" w:type="dxa"/>
          <w:right w:w="28" w:type="dxa"/>
        </w:tblCellMar>
      </w:tblPr>
      <w:tblGrid>
        <w:gridCol w:w="2137"/>
        <w:gridCol w:w="1880"/>
        <w:gridCol w:w="2657"/>
      </w:tblGrid>
      <w:tr>
        <w:trPr/>
        <w:tc>
          <w:tcPr>
            <w:tcW w:w="2137"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66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Statements of Comprehensive Income (Unaudited)</w:t>
            </w:r>
          </w:p>
        </w:tc>
      </w:tr>
      <w:tr>
        <w:trPr/>
        <w:tc>
          <w:tcPr>
            <w:tcW w:w="66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in thousands)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6"/>
        <w:gridCol w:w="1533"/>
        <w:gridCol w:w="1557"/>
        <w:gridCol w:w="229"/>
        <w:gridCol w:w="759"/>
        <w:gridCol w:w="127"/>
        <w:gridCol w:w="127"/>
        <w:gridCol w:w="127"/>
        <w:gridCol w:w="127"/>
        <w:gridCol w:w="229"/>
        <w:gridCol w:w="759"/>
        <w:gridCol w:w="127"/>
        <w:gridCol w:w="109"/>
        <w:gridCol w:w="109"/>
        <w:gridCol w:w="109"/>
        <w:gridCol w:w="208"/>
        <w:gridCol w:w="689"/>
        <w:gridCol w:w="115"/>
        <w:gridCol w:w="115"/>
        <w:gridCol w:w="115"/>
        <w:gridCol w:w="115"/>
        <w:gridCol w:w="208"/>
        <w:gridCol w:w="689"/>
        <w:gridCol w:w="177"/>
      </w:tblGrid>
      <w:tr>
        <w:trPr/>
        <w:tc>
          <w:tcPr>
            <w:tcW w:w="1746"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2022</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32,710 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60,658 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87,566 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w:t>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derivative - interest rate swap, (net of tax)</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 net</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62,146 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43,074 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92,923 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4836"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3695"/>
                <wp:effectExtent l="0" t="0" r="0" b="0"/>
                <wp:wrapNone/>
                <wp:docPr id="8" name="Frame8"/>
                <a:graphic xmlns:a="http://schemas.openxmlformats.org/drawingml/2006/main">
                  <a:graphicData uri="http://schemas.microsoft.com/office/word/2010/wordprocessingShape">
                    <wps:wsp>
                      <wps:cNvSpPr txBox="1"/>
                      <wps:spPr>
                        <a:xfrm>
                          <a:off x="0" y="0"/>
                          <a:ext cx="6480175" cy="353695"/>
                        </a:xfrm>
                        <a:prstGeom prst="rect"/>
                        <a:solidFill>
                          <a:srgbClr val="FFFFFF"/>
                        </a:solidFill>
                      </wps:spPr>
                      <wps:txb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tbl>
      <w:tblPr>
        <w:tblW w:w="6374" w:type="dxa"/>
        <w:jc w:val="left"/>
        <w:tblInd w:w="0" w:type="dxa"/>
        <w:tblLayout w:type="fixed"/>
        <w:tblCellMar>
          <w:top w:w="28" w:type="dxa"/>
          <w:left w:w="28" w:type="dxa"/>
          <w:bottom w:w="28" w:type="dxa"/>
          <w:right w:w="28" w:type="dxa"/>
        </w:tblCellMar>
      </w:tblPr>
      <w:tblGrid>
        <w:gridCol w:w="2041"/>
        <w:gridCol w:w="1795"/>
        <w:gridCol w:w="2538"/>
      </w:tblGrid>
      <w:tr>
        <w:trPr/>
        <w:tc>
          <w:tcPr>
            <w:tcW w:w="2041"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6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Statements of Stockholders' Deficit (Unaudited)</w:t>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(in thousands, except share data)</w:t>
            </w:r>
          </w:p>
        </w:tc>
      </w:tr>
    </w:tbl>
    <w:p>
      <w:pPr>
        <w:pStyle w:val="TextBody"/>
        <w:bidi w:val="0"/>
        <w:spacing w:before="0" w:after="0"/>
        <w:jc w:val="left"/>
        <w:rPr/>
      </w:pPr>
      <w:r>
        <w:rPr/>
      </w:r>
    </w:p>
    <w:tbl>
      <w:tblPr>
        <w:tblW w:w="12497" w:type="dxa"/>
        <w:jc w:val="left"/>
        <w:tblInd w:w="0" w:type="dxa"/>
        <w:tblLayout w:type="fixed"/>
        <w:tblCellMar>
          <w:top w:w="28" w:type="dxa"/>
          <w:left w:w="28" w:type="dxa"/>
          <w:bottom w:w="28" w:type="dxa"/>
          <w:right w:w="28" w:type="dxa"/>
        </w:tblCellMar>
      </w:tblPr>
      <w:tblGrid>
        <w:gridCol w:w="581"/>
        <w:gridCol w:w="234"/>
        <w:gridCol w:w="236"/>
        <w:gridCol w:w="109"/>
        <w:gridCol w:w="109"/>
        <w:gridCol w:w="109"/>
        <w:gridCol w:w="427"/>
        <w:gridCol w:w="429"/>
        <w:gridCol w:w="181"/>
        <w:gridCol w:w="109"/>
        <w:gridCol w:w="109"/>
        <w:gridCol w:w="109"/>
        <w:gridCol w:w="249"/>
        <w:gridCol w:w="273"/>
        <w:gridCol w:w="109"/>
        <w:gridCol w:w="109"/>
        <w:gridCol w:w="109"/>
        <w:gridCol w:w="109"/>
        <w:gridCol w:w="428"/>
        <w:gridCol w:w="428"/>
        <w:gridCol w:w="268"/>
        <w:gridCol w:w="109"/>
        <w:gridCol w:w="109"/>
        <w:gridCol w:w="109"/>
        <w:gridCol w:w="249"/>
        <w:gridCol w:w="273"/>
        <w:gridCol w:w="109"/>
        <w:gridCol w:w="109"/>
        <w:gridCol w:w="109"/>
        <w:gridCol w:w="109"/>
        <w:gridCol w:w="181"/>
        <w:gridCol w:w="586"/>
        <w:gridCol w:w="109"/>
        <w:gridCol w:w="109"/>
        <w:gridCol w:w="109"/>
        <w:gridCol w:w="109"/>
        <w:gridCol w:w="247"/>
        <w:gridCol w:w="699"/>
        <w:gridCol w:w="150"/>
        <w:gridCol w:w="109"/>
        <w:gridCol w:w="109"/>
        <w:gridCol w:w="109"/>
        <w:gridCol w:w="181"/>
        <w:gridCol w:w="656"/>
        <w:gridCol w:w="109"/>
        <w:gridCol w:w="109"/>
        <w:gridCol w:w="109"/>
        <w:gridCol w:w="109"/>
        <w:gridCol w:w="181"/>
        <w:gridCol w:w="656"/>
        <w:gridCol w:w="109"/>
        <w:gridCol w:w="109"/>
        <w:gridCol w:w="109"/>
        <w:gridCol w:w="109"/>
        <w:gridCol w:w="220"/>
        <w:gridCol w:w="807"/>
        <w:gridCol w:w="189"/>
      </w:tblGrid>
      <w:tr>
        <w:trPr/>
        <w:tc>
          <w:tcPr>
            <w:tcW w:w="5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16,446,748 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60,325,057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600,234 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issued pursuant to equity awards, net of shares withheld for taxes, and employee stock purchase plan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1,564,956 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employee stock purchase plan and exercises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withheld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issued pursuant to Class B common stock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366,635 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(366,635)</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derivative -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receivable agreement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of redeemable non-controlling interests to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18,378,339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59,958,422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(919,960)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596,587 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26,973 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issued pursuant to equity awards, net of shares withheld for taxes, and employee stock purchase plan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313,767 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employee stock purchase plan and exercises of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withheld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derivative - interest rate swap,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receivable agreement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of redeemable non-controlling interests to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(26,973)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18,692,106</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59,958,422</w:t>
            </w: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30,137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7,910</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(906,544)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(868,489)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596,587</w:t>
            </w: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3695"/>
                <wp:effectExtent l="0" t="0" r="0" b="0"/>
                <wp:wrapNone/>
                <wp:docPr id="9" name="Frame9"/>
                <a:graphic xmlns:a="http://schemas.openxmlformats.org/drawingml/2006/main">
                  <a:graphicData uri="http://schemas.microsoft.com/office/word/2010/wordprocessingShape">
                    <wps:wsp>
                      <wps:cNvSpPr txBox="1"/>
                      <wps:spPr>
                        <a:xfrm>
                          <a:off x="0" y="0"/>
                          <a:ext cx="6480175" cy="353695"/>
                        </a:xfrm>
                        <a:prstGeom prst="rect"/>
                        <a:solidFill>
                          <a:srgbClr val="FFFFFF"/>
                        </a:solidFill>
                      </wps:spPr>
                      <wps:txb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tbl>
      <w:tblPr>
        <w:tblW w:w="6374" w:type="dxa"/>
        <w:jc w:val="left"/>
        <w:tblInd w:w="0" w:type="dxa"/>
        <w:tblLayout w:type="fixed"/>
        <w:tblCellMar>
          <w:top w:w="28" w:type="dxa"/>
          <w:left w:w="28" w:type="dxa"/>
          <w:bottom w:w="28" w:type="dxa"/>
          <w:right w:w="28" w:type="dxa"/>
        </w:tblCellMar>
      </w:tblPr>
      <w:tblGrid>
        <w:gridCol w:w="2041"/>
        <w:gridCol w:w="1795"/>
        <w:gridCol w:w="2538"/>
      </w:tblGrid>
      <w:tr>
        <w:trPr/>
        <w:tc>
          <w:tcPr>
            <w:tcW w:w="2041"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6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Statements of Stockholders' Deficit (Unaudited)</w:t>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(in thousands, except share data)</w:t>
            </w:r>
          </w:p>
        </w:tc>
      </w:tr>
    </w:tbl>
    <w:tbl>
      <w:tblPr>
        <w:tblW w:w="13875" w:type="dxa"/>
        <w:jc w:val="left"/>
        <w:tblInd w:w="0" w:type="dxa"/>
        <w:tblLayout w:type="fixed"/>
        <w:tblCellMar>
          <w:top w:w="28" w:type="dxa"/>
          <w:left w:w="28" w:type="dxa"/>
          <w:bottom w:w="28" w:type="dxa"/>
          <w:right w:w="28" w:type="dxa"/>
        </w:tblCellMar>
      </w:tblPr>
      <w:tblGrid>
        <w:gridCol w:w="679"/>
        <w:gridCol w:w="268"/>
        <w:gridCol w:w="269"/>
        <w:gridCol w:w="109"/>
        <w:gridCol w:w="109"/>
        <w:gridCol w:w="109"/>
        <w:gridCol w:w="487"/>
        <w:gridCol w:w="489"/>
        <w:gridCol w:w="196"/>
        <w:gridCol w:w="109"/>
        <w:gridCol w:w="109"/>
        <w:gridCol w:w="109"/>
        <w:gridCol w:w="290"/>
        <w:gridCol w:w="292"/>
        <w:gridCol w:w="109"/>
        <w:gridCol w:w="109"/>
        <w:gridCol w:w="109"/>
        <w:gridCol w:w="109"/>
        <w:gridCol w:w="375"/>
        <w:gridCol w:w="376"/>
        <w:gridCol w:w="308"/>
        <w:gridCol w:w="109"/>
        <w:gridCol w:w="109"/>
        <w:gridCol w:w="109"/>
        <w:gridCol w:w="288"/>
        <w:gridCol w:w="294"/>
        <w:gridCol w:w="109"/>
        <w:gridCol w:w="109"/>
        <w:gridCol w:w="109"/>
        <w:gridCol w:w="109"/>
        <w:gridCol w:w="196"/>
        <w:gridCol w:w="661"/>
        <w:gridCol w:w="109"/>
        <w:gridCol w:w="109"/>
        <w:gridCol w:w="109"/>
        <w:gridCol w:w="109"/>
        <w:gridCol w:w="272"/>
        <w:gridCol w:w="792"/>
        <w:gridCol w:w="152"/>
        <w:gridCol w:w="203"/>
        <w:gridCol w:w="203"/>
        <w:gridCol w:w="109"/>
        <w:gridCol w:w="196"/>
        <w:gridCol w:w="886"/>
        <w:gridCol w:w="109"/>
        <w:gridCol w:w="109"/>
        <w:gridCol w:w="109"/>
        <w:gridCol w:w="109"/>
        <w:gridCol w:w="196"/>
        <w:gridCol w:w="886"/>
        <w:gridCol w:w="109"/>
        <w:gridCol w:w="109"/>
        <w:gridCol w:w="109"/>
        <w:gridCol w:w="109"/>
        <w:gridCol w:w="240"/>
        <w:gridCol w:w="921"/>
        <w:gridCol w:w="190"/>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14,929,982 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61,136,800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608,311 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 related to 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issued pursuant to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derivative - interest rate</w:t>
              <w:br/>
              <w:t>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3,869</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of redeemable non-controlling</w:t>
              <w:br/>
              <w:t>interests to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14,954,982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61,136,800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608,311 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52,184 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issued pursuant to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issued pursuant to Class B common stock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(150,000)</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derivative - interest rate</w:t>
              <w:br/>
              <w:t>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receivable agreement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of redeemable non-controlling</w:t>
              <w:br/>
              <w:t>interests to redemption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(53,677)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15,118,532</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60,986,800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17,610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5,357</w:t>
            </w: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(964,899)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(941,924)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606,818</w:t>
            </w: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3695"/>
                <wp:effectExtent l="0" t="0" r="0" b="0"/>
                <wp:wrapNone/>
                <wp:docPr id="10" name="Frame10"/>
                <a:graphic xmlns:a="http://schemas.openxmlformats.org/drawingml/2006/main">
                  <a:graphicData uri="http://schemas.microsoft.com/office/word/2010/wordprocessingShape">
                    <wps:wsp>
                      <wps:cNvSpPr txBox="1"/>
                      <wps:spPr>
                        <a:xfrm>
                          <a:off x="0" y="0"/>
                          <a:ext cx="6480175" cy="353695"/>
                        </a:xfrm>
                        <a:prstGeom prst="rect"/>
                        <a:solidFill>
                          <a:srgbClr val="FFFFFF"/>
                        </a:solidFill>
                      </wps:spPr>
                      <wps:txb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tbl>
      <w:tblPr>
        <w:tblW w:w="5459" w:type="dxa"/>
        <w:jc w:val="left"/>
        <w:tblInd w:w="0" w:type="dxa"/>
        <w:tblLayout w:type="fixed"/>
        <w:tblCellMar>
          <w:top w:w="28" w:type="dxa"/>
          <w:left w:w="28" w:type="dxa"/>
          <w:bottom w:w="28" w:type="dxa"/>
          <w:right w:w="28" w:type="dxa"/>
        </w:tblCellMar>
      </w:tblPr>
      <w:tblGrid>
        <w:gridCol w:w="1748"/>
        <w:gridCol w:w="1537"/>
        <w:gridCol w:w="2174"/>
      </w:tblGrid>
      <w:tr>
        <w:trPr/>
        <w:tc>
          <w:tcPr>
            <w:tcW w:w="174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54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Statements of Cash Flows (Unaudited)</w:t>
            </w:r>
          </w:p>
        </w:tc>
      </w:tr>
      <w:tr>
        <w:trPr/>
        <w:tc>
          <w:tcPr>
            <w:tcW w:w="54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in thousands)</w:t>
            </w:r>
          </w:p>
        </w:tc>
      </w:tr>
    </w:tbl>
    <w:p>
      <w:pPr>
        <w:pStyle w:val="TextBody"/>
        <w:bidi w:val="0"/>
        <w:spacing w:before="0" w:after="0"/>
        <w:jc w:val="left"/>
        <w:rPr/>
      </w:pPr>
      <w:r>
        <w:rPr/>
      </w:r>
    </w:p>
    <w:tbl>
      <w:tblPr>
        <w:tblW w:w="7808" w:type="dxa"/>
        <w:jc w:val="left"/>
        <w:tblInd w:w="0" w:type="dxa"/>
        <w:tblLayout w:type="fixed"/>
        <w:tblCellMar>
          <w:top w:w="28" w:type="dxa"/>
          <w:left w:w="28" w:type="dxa"/>
          <w:bottom w:w="28" w:type="dxa"/>
          <w:right w:w="28" w:type="dxa"/>
        </w:tblCellMar>
      </w:tblPr>
      <w:tblGrid>
        <w:gridCol w:w="2005"/>
        <w:gridCol w:w="1757"/>
        <w:gridCol w:w="1772"/>
        <w:gridCol w:w="196"/>
        <w:gridCol w:w="646"/>
        <w:gridCol w:w="109"/>
        <w:gridCol w:w="109"/>
        <w:gridCol w:w="109"/>
        <w:gridCol w:w="109"/>
        <w:gridCol w:w="196"/>
        <w:gridCol w:w="646"/>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earnout consideration liability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Revaluation of warrant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liability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(benefit)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purchase plan and exercises of equity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 of equity awards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line of credit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Tax receivable agreement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term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issuance costs related to business combination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Supplementary disclosure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 - interest rate swap</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3695"/>
                <wp:effectExtent l="0" t="0" r="0" b="0"/>
                <wp:wrapNone/>
                <wp:docPr id="11" name="Frame11"/>
                <a:graphic xmlns:a="http://schemas.openxmlformats.org/drawingml/2006/main">
                  <a:graphicData uri="http://schemas.microsoft.com/office/word/2010/wordprocessingShape">
                    <wps:wsp>
                      <wps:cNvSpPr txBox="1"/>
                      <wps:spPr>
                        <a:xfrm>
                          <a:off x="0" y="0"/>
                          <a:ext cx="6480175" cy="353695"/>
                        </a:xfrm>
                        <a:prstGeom prst="rect"/>
                        <a:solidFill>
                          <a:srgbClr val="FFFFFF"/>
                        </a:solidFill>
                      </wps:spPr>
                      <wps:txb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before="0" w:after="2"/>
        <w:ind w:left="0" w:right="0" w:hanging="4"/>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ORGANIZATION AND BUSINESS OPERATIONS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CompoSecure, Inc. (“CompoSecure” or the “Company”) is a manufacturer and designer of complex metal, composite and proprietary financial transaction cards. The Company started operations in 2000 and provides products and services primarily to global financial institutions, plastic card manufacturers, system integrators, and security specialists. The Company is located in Somerset, New Jersey.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Founded in 2000, CompoSecure is a technology partner to market leaders, fintechs and consumers enabling trust for millions of people around the globe. The Company combines elegance, simplicity and security to deliver exceptional experiences and peace of mind in the physical and digital world. The Company’s innovative payment card technology and metal cards with Arculus secure authentication and digital asset storage capabilities deliver unique, premium branded experiences, enable people to access and use their financial and digital assets, and ensure trust at the point of a transaction.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creates newly innovated, highly differentiated and customized quality financial payment products for banks and other payment card issuers to support and increase their customer acquisition, customer retention and organic customer spend. The Company’s customers consist primarily of leading international and domestic banks and other payment card issuers primarily within the United States (“U.S.”),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through nearly over 20 years of innovation and experience and is focused primarily on this attractive subsector of the financial technology market. The Company serves a diverse set of direct customers and indirect customers, including some of the largest issuers of credit cards in the U.S.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27, 2021 (the "Closing Date"), Roman DBDR Tech Acquisition Corp ("Roman DBDR") consummated the merger pursuant to the Merger Agreement, dated April 19, 2021 (the "Merger Agreement"), by and among Roman DBDR, Roman Parent Merger Sub, LLC, a wholly-owned subsidiary of Roman DBDR incorporated in the State of Delaware ("Merger Sub"), and CompoSecure Holdings, L.L.C., a Delaware limited liability company ("Holdings"). Pursuant to the terms of the Merger Agreement, a business combination between the Company and Holdings was affected through the merger of Merger Sub with and into Holdings, with Holdings surviving as the surviving company and as a subsidiary of Roman DBDR (the "Business Combination"). Pursuant to the Business Combination, the merger was accounted for as a reverse recapitalization in accordance with accounting principles generally accepted in the U.S. ("U.S. GAAP"). On the Closing Date, and in connection with the closing of the Business Combination, Roman DBDR changed its name to CompoSecure, Inc. Holdings was deemed the accounting acquirer in the Business Combination based on an analysis of the criteria outlined in Accounting Standards Codification ("ASC") 805.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CompoSecure is operated as an umbrella partnership C corporation (“Up-C”) meaning that the sole asset of CompoSecure, Inc. is its interest in CompoSecure Holdings, L.L.C. and the related deferred tax asset. CompoSecure Holdings, L.L.C. is an entity taxed as a partnership for U.S. federal income tax purposes and owned by both the historical owners and CompoSecure, Inc. By virtue of our control of CompoSecure Holdings, L.L.C.’s board of managers, CompoSecure, Inc. operates and controls the business and affairs of CompoSecure Holdings, L.L.C. As a result, we consolidate CompoSecure Holdings’ financial results and report a non-controlling interest related to the CompoSecure Holdings units not owned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are presented in conformity U.S. GAAP and pursuant to the rules and regulations of the Securities and Exchange Commission (“SEC”). Any reference in these notes to applicable guidance is meant to refer to U.S. GAAP as found in the Accounting Standards Codification (“ASC”) and Accounting Standards Updates (“ASU”) promulgated by the Financial Accounting Standards Board (“FASB”). The accompanying consolidated financial statements include the results of operations of the Company and its subsidiaries. All intercompany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transactions have been eliminated in consolidation. Certain reclassifications have been made to conform to the current year presentation. All dollar amounts are in thousands, unless otherwise noted. Share and per share amounts are presented on a post-conversion basis for all periods presented, unless otherwise noted.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detailed in our Annual Report on Form 10-K for the year ended December 31, 2022 filed with the SEC.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Interim Financial Statements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U.S. GAAP and Article 10 of Regulation S-X of the SEC for interim financial information. and should be read in conjunction with the Company’s Annual Report on Form 10-K for the year ended December 31, 2022. The financial statements presented in this Quarterly Report on Form 10-Q are unaudited; however, in the opinion of management, the Financial Statements reflect all adjustments, consisting solely of normal, recurring adjustments, necessary for the fair presentation of the financial statements for the periods presented. The results disclosed in the Consolidated Statements of Operations for the three months and six months period ended June 30, 2023 are not necessarily indicative of the results to be expected for the full year.</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equity instruments, measurement of changes in the fair value of earnout consideration liability, estimates of derivative liability associated with the Exchangeable Notes, which are marked to market each quarter based on a Lattice model approach, derivative asset for the interest rate swap, changes in the fair value of warrant liabilities, valuation allowances on deferred tax assets which are based on an assessment of recoverability of the deferred tax assets against future taxable income and estimates of the inputs used to calculate the tax receivable agreement liability.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in accordance with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refers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 instances when a customer pays consideration, or an entity has a right to an amount of consideration that is unconditional (e.g. receivable), before the entity transfers a good or service to the customer. The Company did not have any contract assets or liabilities as of June 30, 2023 or December 31, 2022.</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invoices its customers at the time at which control is transferred, with payment terms ranging between 15 and 60 days depending on each individual contract. As the payment is due within 90 days of the invoice, a significant financing component is not included within the contracts.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contracts with its customers have the same performance obligation of manufacturing and transferring the specified number of cards to the customer. Each individual card included within an order constitutes a separate performance obligation, which is satisfied upon the transfer of goods to the customer.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term as defined by ASC 606 is the length of time it takes to deliver the goods or services promised under the purchase order or statement of work. As such, the Company's contracts are generally short term in nature.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measured in an amount that reflects the consideration the Company expects to receive in exchange for those products or services. Revenue is recognized net of variable consideration such as discounts, rebates, and returns.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has a rebate program with certain customers allowing for a rebate based on achieving a certain level of shipped sales during the calendar year. This rebate is estimated and updated throughout the year and recorded against revenues and the related accounts receivable.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managed and operated as one business as the entire business is managed by a single management team that reports to the Chief Executive Officer and President. The Company's chief operating decision-maker ("CODM") is its Chief Executive Officer and President, who makes resource allocation decisions and assesses performance based on financial information presented on an aggregate basis. The Company does not operate separate lines of business with respect to any of its products and does not review discrete financial information to allocate resources to separate products or by location. Accordingly, the Company views its business as one reportable operating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Characteristics of the organization which were relied upon in making the determination that the Company operates in one reportable segment include the similar nature of all of the products that the Company sells, the functional alignment of the Company’s organizational structure, and the reports that are regularly reviewed by the CODM for the purpose of assessing performance and allocating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Income Per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complies with accounting and disclosure requirements of FASB ASC Topic 260, “Earnings Per Share”. Net income per common share is computed by dividing net income attributable to controlling interest by the weighted average number of common shares outstanding for the period. The weighted-average number of common shares outstanding during the period includes Class A common stock but is exclusive of Class B common stock as these shares have no economic or participating rights.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April 1, 2022, the Company changed its methodology to apply the accounting policy to calculate the basic and diluted earnings per share as well as it determined that it would push down the changes in fair value of the mark-to-market liabilities related to the Company's warrants and earnout consideration liability to its operating subsidiary, Holdings, resulting in a change to the net income attributable to the controlling interest and non-controlling interest. Diluted net income per share is computed by dividing the net income allocated to potential dilutive instruments attributable to controlling interest by the basic weighted-average number of common shares outstanding during the period, adjusted for the potentially dilutive shares of common stock equivalents resulting from the assumed exercise of the warrants, payment of the earnouts, exercise of the equity awards, exchange of the Class B units and Exchangeable Notes ("securities") only if the effect is not anti-dilutive.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prospectively adopted this change in methodology to apply the accounting policy described above to allocate its net income and to calculate its basic and dilutive earnings per share. The Company has provided the appropriate disclosures as required in ASC 250-10. See Note 12.</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 – Adopted in current fiscal year</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FASB issued ASU No. 2020-4, "Reference Rate Reform (Topic 848): Facilitation of the Effects of Reference Rate Reform on Financial Reporting" (ASU 2020-4), and in December 2022, the FASB issued ASU No. 2022-6, "Reference Rate Reform (Topic 848): Deferral of the Sunset Date for Topic 848" (ASU 2022-6). ASU 2020-4 provides optional expedients and exceptions for applying U.S. GAAP to contracts, hedging relationships, and other transactions affected by reference rate reform if certain criteria are met. This guidance is elective and applies to all entities that have contracts, hedging relationships, and other transactions that reference LIBOR or another reference rate expected to be discontinued because of reference rate reform. ASU 2022-6 defers the sunset date of Topic 848 from December 31, 2022, to December 31, 2024, after which entities will no longer be permitted to apply the relief in Topic 848. During the first quarter of fiscal 2023, the Company adopted the expedient in accounting for the amendments to the Company's 2021 Credit Facility agreement which were made as a result of the replacement of LIBOR as a reference rate. On February 28, 2023, the Company amended the 2021 Credit Facility to, among other things, transition from bearing interest based on LIBOR to Secured Overnight Financing Rate ("SOFR") or the Alternate Base Rate (as defined in the 2021 Credit Facility), at the election of the Company, plus an applicable margin. See Note 5, Debt, for further details regarding the interest rate effected by these amendments, which will be applied prospectively. The adoption of these ASUs did not have a material impact to the Company's consolidated financial statements. </w:t>
      </w:r>
    </w:p>
    <w:p>
      <w:pPr>
        <w:pStyle w:val="TextBody"/>
        <w:bidi w:val="0"/>
        <w:spacing w:lineRule="auto" w:line="288" w:before="240" w:after="283"/>
        <w:jc w:val="left"/>
        <w:rPr>
          <w:color w:val="000000"/>
        </w:rPr>
      </w:pPr>
      <w:r>
        <w:rPr>
          <w:color w:val="000000"/>
        </w:rPr>
        <w:t>    </w:t>
      </w:r>
      <w:r>
        <w:rPr>
          <w:rFonts w:ascii="Times New Roman;sans-serif" w:hAnsi="Times New Roman;sans-serif"/>
          <w:b w:val="false"/>
          <w:color w:val="000000"/>
          <w:sz w:val="20"/>
        </w:rPr>
        <w:t xml:space="preserve">In March 2022, the FASB issued ASU 2022-02, which eliminates the accounting guidance on troubled debt restructurings (TDRs) for creditors in ASC 310-402 and amends the guidance on “vintage disclosures” to require disclosure of current-period gross write-offs by year of origination. The ASU also updates the requirements related to accounting for credit losses under ASC 326 and adds enhanced disclosures for creditors with respect to loan refinancing and restructurings for borrowers experiencing financial difficulty. The amendments in ASU 2020-04 are effective for years beginning after December 15, 2022 for entities that have adopted current expected credit loss ("CECL") model under ASC 326. The Company adopted the CECL model effective January 1, 2022. The adoption of this ASU did not have any impact on the Company's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INVENTORIES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 classes of inventories were as follows: </w:t>
      </w:r>
    </w:p>
    <w:tbl>
      <w:tblPr>
        <w:tblW w:w="4900" w:type="dxa"/>
        <w:jc w:val="left"/>
        <w:tblInd w:w="0" w:type="dxa"/>
        <w:tblLayout w:type="fixed"/>
        <w:tblCellMar>
          <w:top w:w="28" w:type="dxa"/>
          <w:left w:w="28" w:type="dxa"/>
          <w:bottom w:w="28" w:type="dxa"/>
          <w:right w:w="28" w:type="dxa"/>
        </w:tblCellMar>
      </w:tblPr>
      <w:tblGrid>
        <w:gridCol w:w="554"/>
        <w:gridCol w:w="486"/>
        <w:gridCol w:w="489"/>
        <w:gridCol w:w="258"/>
        <w:gridCol w:w="883"/>
        <w:gridCol w:w="133"/>
        <w:gridCol w:w="109"/>
        <w:gridCol w:w="109"/>
        <w:gridCol w:w="109"/>
        <w:gridCol w:w="344"/>
        <w:gridCol w:w="1175"/>
        <w:gridCol w:w="251"/>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monitor inventory costs relative to selling prices and perform physical cycle count procedures on inventories throughout the year to determine if a lower of cost or net realizable value reserve is necessary. The Company reviews inventory for slow-moving or obsolete amounts based on expected product sales volume and provides reserves against the carrying amount of inventory as appropriate. This reserve may fluctuate as our assumptions change due to new information, discrete events, or changes in our business, such as entering new markets or discontinuing a specific product.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4. PROPERTY AND EQUIPMENT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consisted of the following: </w:t>
      </w:r>
    </w:p>
    <w:tbl>
      <w:tblPr>
        <w:tblW w:w="10205" w:type="dxa"/>
        <w:jc w:val="left"/>
        <w:tblInd w:w="0" w:type="dxa"/>
        <w:tblLayout w:type="fixed"/>
        <w:tblCellMar>
          <w:top w:w="28" w:type="dxa"/>
          <w:left w:w="28" w:type="dxa"/>
          <w:bottom w:w="28" w:type="dxa"/>
          <w:right w:w="28" w:type="dxa"/>
        </w:tblCellMar>
      </w:tblPr>
      <w:tblGrid>
        <w:gridCol w:w="1331"/>
        <w:gridCol w:w="1123"/>
        <w:gridCol w:w="1131"/>
        <w:gridCol w:w="1040"/>
        <w:gridCol w:w="1038"/>
        <w:gridCol w:w="1021"/>
        <w:gridCol w:w="109"/>
        <w:gridCol w:w="109"/>
        <w:gridCol w:w="109"/>
        <w:gridCol w:w="248"/>
        <w:gridCol w:w="851"/>
        <w:gridCol w:w="128"/>
        <w:gridCol w:w="109"/>
        <w:gridCol w:w="109"/>
        <w:gridCol w:w="109"/>
        <w:gridCol w:w="317"/>
        <w:gridCol w:w="1085"/>
        <w:gridCol w:w="238"/>
      </w:tblGrid>
      <w:tr>
        <w:trPr/>
        <w:tc>
          <w:tcPr>
            <w:tcW w:w="133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December 31, 2022</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5 - 10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0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lease term or estimated useful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30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1 - 3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85,866 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22,655 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on property and equipment was $2,131 and $2,218 for the three months ended June 30, 2023 and 2022, respectively. Depreciation and amortization expense on property and equipment was $4,171</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$4,567 for the six months ended June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
        <w:jc w:val="left"/>
        <w:rPr>
          <w:rFonts w:ascii="Times New Roman;sans-serif" w:hAnsi="Times New Roman;sans-serif"/>
          <w:b/>
          <w:color w:val="000000"/>
          <w:sz w:val="20"/>
        </w:rPr>
      </w:pPr>
      <w:r>
        <w:rPr>
          <w:rFonts w:ascii="Times New Roman;sans-serif" w:hAnsi="Times New Roman;sans-serif"/>
          <w:b/>
          <w:color w:val="000000"/>
          <w:sz w:val="20"/>
        </w:rPr>
        <w:t>5. DEBT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Exchangeable Senior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19, 2021, concurrent with the execution of the Merger Agreement, the Company and its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subsidiary, Holdings in an aggregate principal amount of up to $130,000 that are exchangeable into shares of Class A common stock at a conversion price of $11.50 per share, subject to the terms and conditions of an Indenture entered by the Company and its subsidiary, Holdings, and the trustee under the Indenture. The Exchangeable Notes bear interest at a rate of 7% per year, payable semiannually in arrears on each June 15 and December 15, commencing on June 15, 2022, to holders of record at the close of business on the preceding June 1 and December 1 (whether or not such day is a Business Day), respectively. The Exchangeable Notes mature in five years on December 27, 2026. The Company will settle any exchange of the Exchangeable Notes in shares of Class A common stock, with cash payable in lieu of any fractional shares. In connection with the issuance of the Exchangeable Notes, the Company entered into a Registration Rights Agreement, pursuant to which the Notes Investors received certain registration rights with respect to the Class A common stock.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the three-year anniversary of the Closing Date, the Exchangeable Notes will be redeemable at any time and from time to time by the Company, in whole or in part, (i) if the Last Reported Sale Price of the Class A common stock exceeds 130% of the exchange price as defined in Indenture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so long as a registration statement registering the resale of all Exchange Shares is effective and available for use by holders of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Exchangeable Notes during the entirety of the period from and including the date notice of redemption is given to and including the date of redemption. The notice period for any redemption will be no less than 30 scheduled trading days. The redemption price in any such redemption shall be equal to (a) 100% of the principal amount of the Exchangeable Notes to be redeemed, plus (b) accrued and unpaid interest to, but excluding, the redemption date. The redemption price is payable in cash.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Per the terms of the Indenture, holders of Exchangeable Notes in connection with any such redemption will receive a make-whole payment equal to the aggregate dollar value of all interest payable from the date the Company delivers notice of such redemption through the maturity of the Exchangeable Notes. The redemption Make-Whole Amount is payable, at the Company’s option, in cash or through an increase in the exchange rate then applicable to the Exchangeable Notes by an amount equal to (i) the redemption Make-Whole Amount divided by (ii) the five day Volume Weighed Average Price ("VWAP") with regard to the Class A common stock during the five trading period beginning on the trading day immediately following the notice of redemption.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Exchangeable Notes may exchange their notes in whole or in part, at any time or from time to time, for shares of the Company’s Class A common stock, par value $0.0001 per share up, to a maximum exchange rate of 99.9999 shares per $1,000 principal amount after adjustments as defined in the indenture.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Exchangeable Notes contain customary anti-dilution adjustments, taking into account the agreed terms in the Indenture. To avoid doubt, among other customary adjustments, this includes anti-dilution protections for dividends and distributions of the Company's capital stock, assets and indebtedness. Per the terms of the Indenture, the following are the anti-dilution adjustments of the Exchange Rate: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a.If the Company exclusively issues shares of common stock as a dividend or distribution on shares of the common stock, or if the Company effects a share split or share combination;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b.If the Company issues to all or substantially all holders of the common stock any rights, options or warrants (other than pursuant to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c.If the Company distributes shares of its capital stock, evidences of its indebtedness, other assets or property of the Company or rights, options or warrants to acquire its capital stock or other securities of the Company, to all or substantially all holders of the common stock;</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d.If any cash dividend or distribution is made to all or substantially all holders of the common stock;</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e.If the Company or any of its Subsidiaries make a payment in respect of a tender or exchange offer for the common Stock,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exchange rate will in no event be adjusted down pursuant to the provisions described above, except to the extent a tender or exchange offer is announced but not consummated.</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undergoes a “fundamental change” (as defined in the Indenture), subject to certain conditions, the Exchange Rate will be adjusted per the adjustment table included in the Indenture. If a fundamental change occurs at any time prior to the maturity date, each holder shall have the right, at such holder’s option, to require the Company to repurchase for cash all of such holder’s Exchangeable Notes at a repurchase price equal to 100% of the principal amount of the Exchangeable Notes to be repurchased, plus accrued and unpaid interest thereon. There is no make-whole payment associated with a fundamental change redemption.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Exchangeable Notes will be entitled to the resale registration rights under the resale Registration Rights Agreement. If a Registration default occurs, additional interest will accrue, equal to 0.25% in the first 90 days and 0.50%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0"/>
        <w:jc w:val="left"/>
        <w:rPr/>
      </w:pPr>
      <w:r>
        <w:rPr>
          <w:rFonts w:ascii="Times New Roman;sans-serif" w:hAnsi="Times New Roman;sans-serif"/>
          <w:b w:val="false"/>
          <w:color w:val="000000"/>
          <w:sz w:val="20"/>
        </w:rPr>
        <w:t>after the 91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 xml:space="preserve">day after the Registration Default (which includes that the Registration Statement has not been filed, or deemed effective or ceases to be effective).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contains customary terms and covenants and events of default. Upon an event of default as defined in the Indenture, the trustee or the holders of at least 25% in aggregate principal amount of the Exchangeable Notes may declare 100% of the principal of, and accrued and unpaid interest on, all the Exchangeable Notes to be due and payable immediately, and upon any such declaration, the same shall become and shall automatically be immediately due and payable. Upon an event of default in the payment of interest, the Company may elect the sole remedy to be the payment of additional interest of 0.25% for the first 90 days after the occurrence of such an event of default and 0.50% for day s 91-180 after the occurrence of such an event of default.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assessed all of the terms and features of the Exchangeable Notes in order to identify any potential embedded features that would require bifurcation. As part of this analysis, the Company assessed the economic characteristics and risks of the Exchangeable Notes, including the conversion, put and call features. In consideration of these provisions, the Company determined that the optional redemption with a make-whole provision feature required bifurcation as it is a derivative. The fair value of this derivative was determined based on the difference between the fair value of the Exchangeable Notes with the redemption with a make-whole provision feature and the fair value of the Exchangeable Notes without the redemption with a make-whole provision feature. The Company employed a Lattice model to determine the fair value of the derivative upon issuance of the Exchangeable Notes and recorded this amount as derivative liability with an offsetting amount as a debt discount as a reduction to the carrying value of the Exchangeable Notes on the Closing Date, or December 27, 2021. The optional redemption with a make-whole provision feature is measured at fair value on a quarterly basis and the change in the fair value for the period is recorded on the consolidated statements of operations. The Company performed a valuation of the derivative liability and determined that the fair value of the derivative liability was $798 at June 30, 2023 and $285 at December 31, 2022. The Company recorded a favorable change in fair value of $195 and $187 for the three months ended June 30, 2023 and June 30,2022, respectively. The Company recorded an unfavorable change in fair value of $513 and $61 for the six months ended June 30, 2023 and June 30, 2022,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expected term of the Exchangeable Notes was equal for the period through December 27, 2026 as this represents the point at which the Exchangeable Notes will mature unless earlier converted in accordance with their terms prior to such date. For the quarter ended June 30, 2023 and June 30, 2022, the Company recognized $2,389 and $2,366 of interest expense related to the Exchangeable Notes at the effective interest rate of 7.4%. For the six-months ended June 30, 2023 and June 30, 2022, the Company recognized $4,751 and $4,720 of interest expense related to the Exchangeable Notes at the effective interest rate of 7.4%. The fair value of the Company’s Exchangeable Notes approximate the carrying value of the debt.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Exchangeable Notes, the Company incurred approximately $2,600 of debt issuance costs, which primarily consisted of underwriting fees, and allocated these costs to the liability component and recorded as a reduction in the carrying amount of the debt liability on the balance sheet. The portion allocated to the Exchangeable Notes is amortized to interest expense over the expected term of the Exchangeable Notes using the effective interest method.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Term Loan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Company's subsidiaries entered into a new agreement with JPMC to refinance the then existing July 2019 credit facility, increasing the maximum aggregate amount available under the term loan to $240,000 bringing total credit facility to $300,000. In addition, the maturity date of both the revolver and term loan was amended to November 5, 2023. This amendment was accounted for as a modification and approximately $3,200 of additional costs incurred in connection with the modification were capitalized as debt issuance costs.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Company entered into a new agreement with JPMC to refinance its then existing November 2020 credit facility (the "2021 Credit Facility"), increasing the maximum aggregate amount available under the term loan to $250,000 bringing total credit facility to $310,000. In addition, the maturity dates of both the revolver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were amended to December 16, 2025. This amendment was accounted for as a modification and approximately $1,800 of additional costs incurred in connection with the modification were capitalized as debt issuance costs.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the Company amended the 2021 Credit Facility to, among other things, transition from bearing interest based on LIBOR to SOFR or the Alternate Base Rate (as defined in the 2021 Credit Facility), at the election of the Company, plus an applicable margin, and to reflect the waiver of a technical default under the 2021 Credit Facility, related to the delayed delivery of a pledge of its interests in Holdings by the parent company (i.e., CompoSecure, Inc.). Holdings had already pledged all of its assets in favor of the lenders as per the terms of the debt agreement. After the amendment on February 28, 2023, the interest rate spreads and fees under the 2021 Credit Facility are based on a quoted SOFR plus a SOFR adjustment of 0.10% and an applicable margin ranging from 1.75% to 2.75% as determined by the Company’s prevailing Leverage Ratio for the revolving and term loan Term Benchmark and RFR Spread debt (as each term is defined in the 2021 Credit Facility).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further amended its 2021 Credit Facility in May 2023. Pursuant to the amendment, approximately $257 of additional costs incurred in connection with the modification were capitalized as debt issuance costs. In connection with the amendment, two of the lenders in the original agreement did not participate in the amended debt agreement. As a result, the remaining debt issuance cost of approximately $589 related to these two lenders were written off by the Company.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the Revolver and Term Loan are based on the outstanding principal amount during the interest period multiplied by the fluctuating bank prime rate plus the applicable margin of 1.75% or for portions of the debt converted to Term Benchmark Loan, the quoted SOFR rate plus the applicable margin of 2.85%. At June 30, 2023 and 2022, the effective interest rate on the Revolver and Term Loan was 7.99% and 3.65% per year, respectively. Interest is payable monthly in arrears or upon maturity of the Euro loans that can run 30, 90, 120, 180 day time periods. The Company must pay quarterly an annual commitment fee of 0.35% on the unused portion of the $60,000 Revolver.</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is secured by substantially all of the assets of the Company. The Company recognized $4,712 and $3,000 of interest expense related to the Revolver and the Term Loan for the quarter ended June 30, 2023 and 2022, respectively. The Company recognized $9,873 and $6,170 of interest expense related to the Revolver and the Term Loan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respectively.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the credit facilities contain certain financial covenants including a minimum interest coverage ratio, a maximum total debt to EBITDA ratio and a minimum fixed charge coverage ratio. At June 30, 2023 and December 31, 2022, the Company was in compliance with all financial covenants. The fair value of the Company's debt approximates the carrying value for all periods presented.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there were no balances outstanding on the Revolver. At June 30, 2023, there was $60,000 available for borrowing under the Revolver.</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payable under all borrowing facilities are as follows:</w:t>
      </w:r>
    </w:p>
    <w:tbl>
      <w:tblPr>
        <w:tblW w:w="7802" w:type="dxa"/>
        <w:jc w:val="left"/>
        <w:tblInd w:w="0" w:type="dxa"/>
        <w:tblLayout w:type="fixed"/>
        <w:tblCellMar>
          <w:top w:w="28" w:type="dxa"/>
          <w:left w:w="28" w:type="dxa"/>
          <w:bottom w:w="28" w:type="dxa"/>
          <w:right w:w="28" w:type="dxa"/>
        </w:tblCellMar>
      </w:tblPr>
      <w:tblGrid>
        <w:gridCol w:w="1819"/>
        <w:gridCol w:w="1596"/>
        <w:gridCol w:w="1610"/>
        <w:gridCol w:w="211"/>
        <w:gridCol w:w="826"/>
        <w:gridCol w:w="109"/>
        <w:gridCol w:w="109"/>
        <w:gridCol w:w="109"/>
        <w:gridCol w:w="109"/>
        <w:gridCol w:w="231"/>
        <w:gridCol w:w="905"/>
        <w:gridCol w:w="168"/>
      </w:tblGrid>
      <w:tr>
        <w:trPr/>
        <w:tc>
          <w:tcPr>
            <w:tcW w:w="18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233,122 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363,122 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term loan (scheduled payments)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financing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343,624 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redemption with make-whole provision</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of all the borrowings facilities is as follows:</w:t>
      </w:r>
    </w:p>
    <w:p>
      <w:pPr>
        <w:pStyle w:val="TextBody"/>
        <w:bidi w:val="0"/>
        <w:spacing w:before="0" w:after="0"/>
        <w:jc w:val="left"/>
        <w:rPr/>
      </w:pPr>
      <w:r>
        <w:rPr/>
      </w:r>
    </w:p>
    <w:tbl>
      <w:tblPr>
        <w:tblW w:w="2871" w:type="dxa"/>
        <w:jc w:val="left"/>
        <w:tblInd w:w="0" w:type="dxa"/>
        <w:tblLayout w:type="fixed"/>
        <w:tblCellMar>
          <w:top w:w="28" w:type="dxa"/>
          <w:left w:w="28" w:type="dxa"/>
          <w:bottom w:w="28" w:type="dxa"/>
          <w:right w:w="28" w:type="dxa"/>
        </w:tblCellMar>
      </w:tblPr>
      <w:tblGrid>
        <w:gridCol w:w="608"/>
        <w:gridCol w:w="534"/>
        <w:gridCol w:w="538"/>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interest rate risk on variable interest rate debt obligations. To manage interest rate risk, the Company had entered into an interest rate swap agreement on November 5, 2020 to hedge forecasted interest rate payments on its variable rate debt. In January 2022, the Company cancelled the November 2020 swap agreement and entered into a new interest rate swap agreement. The Company recognized $400 gain upon the settlement of the November 2020 interest rate swap agreement. At June 30, 2023, the Company’s interest rate swap contract outstanding had a notional amount of $125,000 maturing in December 2025. The Company has designated the interest rate swap agreement as a cash flow hedge for accounting purposes, that was determined to be effective. The Company determined the fair value of the interest rate swap to be zero at the inception of the agreement and $8,329 and $8,651 at June 30, 2023 and December 31, 2022, respectively. The Company reflects the realized gains and losses of the actual monthly settlement activity of the interest rate swap through interest income or expense in its consolidated statements of operations. The Company reflects the unrealized changes in fair value of the interest rate swap at each reporting period in other comprehensive income and a derivative asset or liability will be recognized at each reporting period in the Company’s financial statements. The interest rate swap converted to SOFR from LIBOR at the same time as the amendment of 2021 Credit Facility in February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EQUITY STRUCTURE</w:t>
      </w:r>
    </w:p>
    <w:p>
      <w:pPr>
        <w:pStyle w:val="TextBody"/>
        <w:bidi w:val="0"/>
        <w:spacing w:lineRule="auto" w:line="288" w:before="120" w:after="1"/>
        <w:jc w:val="left"/>
        <w:rPr>
          <w:rFonts w:ascii="Times New Roman;sans-serif" w:hAnsi="Times New Roman;sans-serif"/>
          <w:b/>
          <w:color w:val="000000"/>
          <w:sz w:val="20"/>
        </w:rPr>
      </w:pPr>
      <w:r>
        <w:rPr>
          <w:rFonts w:ascii="Times New Roman;sans-serif" w:hAnsi="Times New Roman;sans-serif"/>
          <w:b/>
          <w:color w:val="000000"/>
          <w:sz w:val="20"/>
        </w:rPr>
        <w:t>Shares Authorized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authorized a total of 250,000,000 shares for issuance designated as Class A common stock, 75,000,000 designated as Class B common stock and 10,000,000 shares designated as preferred stock. As of June 30, 2023, there were 18,692,106 shares of Class A Common Stock issued and outstanding, 59,958,422 shares of Class B Common Stock issued and outstanding and no shares of Preferred Stock issued and outstanding.</w:t>
      </w:r>
    </w:p>
    <w:p>
      <w:pPr>
        <w:pStyle w:val="TextBody"/>
        <w:bidi w:val="0"/>
        <w:spacing w:before="0" w:after="0"/>
        <w:ind w:left="0" w:right="0" w:firstLine="720"/>
        <w:jc w:val="left"/>
        <w:rPr/>
      </w:pPr>
      <w:r>
        <w:rPr/>
      </w:r>
    </w:p>
    <w:p>
      <w:pPr>
        <w:pStyle w:val="TextBody"/>
        <w:bidi w:val="0"/>
        <w:spacing w:lineRule="auto" w:line="288" w:before="120" w:after="1"/>
        <w:jc w:val="left"/>
        <w:rPr>
          <w:rFonts w:ascii="Times New Roman;sans-serif" w:hAnsi="Times New Roman;sans-serif"/>
          <w:b/>
          <w:color w:val="000000"/>
          <w:sz w:val="20"/>
        </w:rPr>
      </w:pPr>
      <w:r>
        <w:rPr>
          <w:rFonts w:ascii="Times New Roman;sans-serif" w:hAnsi="Times New Roman;sans-serif"/>
          <w:b/>
          <w:color w:val="000000"/>
          <w:sz w:val="20"/>
        </w:rPr>
        <w:t>Issuance of Common Stock</w:t>
      </w:r>
    </w:p>
    <w:p>
      <w:pPr>
        <w:pStyle w:val="TextBody"/>
        <w:bidi w:val="0"/>
        <w:spacing w:lineRule="auto" w:line="288" w:before="120"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quarter ended June 30, 2023, the Company issued 313,767 new shares of class A common stock pursuant primarily to the vesting of certain restricted stock units ("RSUs") as well as employee stock purchase plan transactions ("ESPP") during the quarter. The Class A common stock issued pursuant to the vesting of RSUs were issued net of shares withheld for applicable taxes. </w:t>
      </w:r>
    </w:p>
    <w:p>
      <w:pPr>
        <w:pStyle w:val="TextBody"/>
        <w:bidi w:val="0"/>
        <w:spacing w:lineRule="auto" w:line="268" w:before="120"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six month period ended June 30, 2023, the Company issued 1,878,723 new shares of class A common stock pursuant primarily to the vesting of certain restricted stock units ("RSUs") as well as ESPP transactions during the six month period. The Class A common stock issued pursuant to the vesting of RSUs were issued net of shares withheld for applicable taxes. Additionally, certain holders of the shares of Class B common stock exchanged an aggregate of 366,635 Class B units in Holdings (together with the corresponding number of shares of the Company's Class B common stock) in exchange for 366,635 shares of Class A common stock. Upon the exchange, the exchanged shares of Class B common stock and the corresponding number of shares of Class B units were canceled.</w:t>
      </w:r>
    </w:p>
    <w:p>
      <w:pPr>
        <w:pStyle w:val="TextBody"/>
        <w:bidi w:val="0"/>
        <w:spacing w:before="120" w:after="1"/>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 had 8,586,624 private warrants outstanding. Each private warrant entitles the registered holder to purchase one share of Class A common stock at a price of $11.50 per share, subject to adjustment, at any time commencing 30 days after the completion of the Business Combination. The exercise price and number of common shares issuable upon exercise of the private warrants may be adjusted in certain circumstances including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event of a share dividend, or recapitalization, reorganization, merger or consolidation. However, the private warrants will not be adjusted for issuance of common stock at a price below its exercise price.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13,828,765 public warrants outstanding. Each public warrant entitles the registered holder to purchase one share of the Company’s Class A Common Stock at a price of $11.50 per share, subject to adjustment, at any time commencing 30 days after the completion of the Business Combination. Pursuant to the warrant agreement, a warrant holder may exercise its warrants only for a whole number of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holder of private warrants had sold an aggregate of 2,250,776 private warrants in open market transactions resulting in such private warrants becoming public warrants.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Non-Controlling Interest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represent direct interests held in Holdings other than by the Company immediately after the Business Combination. The non-controlling interests in the Company are represented by Class B Units, or such other equity securities in the Company as the Board may establish in accordance with the terms hereof. Since the potential cash redemptions of the non-controlling interests are outside the control of the Company, such non-controlling interests are classified as temporary equity on the consolidated balance sheet in accordance with ASC 480. Income tax benefit or expense is applied to the income attributable to the controlling interest as the income attributable to the non-controlling interest is pass-through income. The non-controlling interest has been adjusted to redemption value as of June 30, 2023 in accordance with ASC 480-10. This measurement adjustment results in a corresponding adjustment to shareholders’ deficit through adjustments to additional paid-in capital and retained earnings. The redemption value of the Class B Units was $596,587 on June 30, 2023. The redemption value was calculated by multiplying the 59,958,422 Class B Units outstanding at June 30, 2023 by the $9.95 trading price of our Class A common stock on December 27,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7. STOCK-BASED COMPENSATION </w:t>
      </w:r>
    </w:p>
    <w:p>
      <w:pPr>
        <w:pStyle w:val="TextBody"/>
        <w:bidi w:val="0"/>
        <w:spacing w:before="0" w:after="2"/>
        <w:ind w:left="0" w:right="0" w:hanging="4"/>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share-based compensation expense included in Selling, general and administrative expenses within the consolidated statements of operations:</w:t>
      </w:r>
    </w:p>
    <w:p>
      <w:pPr>
        <w:pStyle w:val="TextBody"/>
        <w:bidi w:val="0"/>
        <w:spacing w:before="0" w:after="1"/>
        <w:ind w:left="0" w:right="0" w:firstLine="2"/>
        <w:jc w:val="both"/>
        <w:rPr/>
      </w:pPr>
      <w:r>
        <w:rPr/>
      </w:r>
    </w:p>
    <w:tbl>
      <w:tblPr>
        <w:tblW w:w="8826" w:type="dxa"/>
        <w:jc w:val="left"/>
        <w:tblInd w:w="0" w:type="dxa"/>
        <w:tblLayout w:type="fixed"/>
        <w:tblCellMar>
          <w:top w:w="28" w:type="dxa"/>
          <w:left w:w="28" w:type="dxa"/>
          <w:bottom w:w="28" w:type="dxa"/>
          <w:right w:w="28" w:type="dxa"/>
        </w:tblCellMar>
      </w:tblPr>
      <w:tblGrid>
        <w:gridCol w:w="1249"/>
        <w:gridCol w:w="1095"/>
        <w:gridCol w:w="1105"/>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24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expense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 expense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units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options activity under the Holdings' equity plan, which was assumed by the Company, for the six month period ended June 30, 2023:</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 Option Activity</w:t>
      </w:r>
    </w:p>
    <w:tbl>
      <w:tblPr>
        <w:tblW w:w="10205" w:type="dxa"/>
        <w:jc w:val="left"/>
        <w:tblInd w:w="0" w:type="dxa"/>
        <w:tblLayout w:type="fixed"/>
        <w:tblCellMar>
          <w:top w:w="28" w:type="dxa"/>
          <w:left w:w="28" w:type="dxa"/>
          <w:bottom w:w="28" w:type="dxa"/>
          <w:right w:w="28" w:type="dxa"/>
        </w:tblCellMar>
      </w:tblPr>
      <w:tblGrid>
        <w:gridCol w:w="925"/>
        <w:gridCol w:w="811"/>
        <w:gridCol w:w="816"/>
        <w:gridCol w:w="539"/>
        <w:gridCol w:w="492"/>
        <w:gridCol w:w="414"/>
        <w:gridCol w:w="109"/>
        <w:gridCol w:w="109"/>
        <w:gridCol w:w="109"/>
        <w:gridCol w:w="642"/>
        <w:gridCol w:w="1560"/>
        <w:gridCol w:w="335"/>
        <w:gridCol w:w="109"/>
        <w:gridCol w:w="109"/>
        <w:gridCol w:w="109"/>
        <w:gridCol w:w="474"/>
        <w:gridCol w:w="474"/>
        <w:gridCol w:w="476"/>
        <w:gridCol w:w="109"/>
        <w:gridCol w:w="109"/>
        <w:gridCol w:w="109"/>
        <w:gridCol w:w="245"/>
        <w:gridCol w:w="837"/>
        <w:gridCol w:w="184"/>
      </w:tblGrid>
      <w:tr>
        <w:trPr/>
        <w:tc>
          <w:tcPr>
            <w:tcW w:w="92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 Per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Remaining</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 Value</w:t>
              <w:br/>
              <w:t>(in thousands)</w:t>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4,765,545 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(958,015)</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2023</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3,807,530 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19,372 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June 30, 2023</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3,807,530 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June 30, 2023</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3,761,909 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 Activity</w:t>
      </w:r>
    </w:p>
    <w:tbl>
      <w:tblPr>
        <w:tblW w:w="4396" w:type="dxa"/>
        <w:jc w:val="left"/>
        <w:tblInd w:w="0" w:type="dxa"/>
        <w:tblLayout w:type="fixed"/>
        <w:tblCellMar>
          <w:top w:w="28" w:type="dxa"/>
          <w:left w:w="28" w:type="dxa"/>
          <w:bottom w:w="28" w:type="dxa"/>
          <w:right w:w="28" w:type="dxa"/>
        </w:tblCellMar>
      </w:tblPr>
      <w:tblGrid>
        <w:gridCol w:w="962"/>
        <w:gridCol w:w="844"/>
        <w:gridCol w:w="849"/>
        <w:gridCol w:w="524"/>
        <w:gridCol w:w="526"/>
        <w:gridCol w:w="691"/>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5,497,066 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1,649,498 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(1,319,555)</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June 30, 2023</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5,763,784 </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Performance Stock Unit Activity</w:t>
      </w:r>
    </w:p>
    <w:tbl>
      <w:tblPr>
        <w:tblW w:w="4408" w:type="dxa"/>
        <w:jc w:val="left"/>
        <w:tblInd w:w="0" w:type="dxa"/>
        <w:tblLayout w:type="fixed"/>
        <w:tblCellMar>
          <w:top w:w="28" w:type="dxa"/>
          <w:left w:w="28" w:type="dxa"/>
          <w:bottom w:w="28" w:type="dxa"/>
          <w:right w:w="28" w:type="dxa"/>
        </w:tblCellMar>
      </w:tblPr>
      <w:tblGrid>
        <w:gridCol w:w="962"/>
        <w:gridCol w:w="844"/>
        <w:gridCol w:w="849"/>
        <w:gridCol w:w="575"/>
        <w:gridCol w:w="487"/>
        <w:gridCol w:w="691"/>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449,380 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658,156 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June 30, 2023</w:t>
            </w:r>
          </w:p>
        </w:tc>
        <w:tc>
          <w:tcPr>
            <w:tcW w:w="10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1,107,536 </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Earnouts</w:t>
      </w:r>
    </w:p>
    <w:tbl>
      <w:tblPr>
        <w:tblW w:w="4320" w:type="dxa"/>
        <w:jc w:val="left"/>
        <w:tblInd w:w="0" w:type="dxa"/>
        <w:tblLayout w:type="fixed"/>
        <w:tblCellMar>
          <w:top w:w="28" w:type="dxa"/>
          <w:left w:w="28" w:type="dxa"/>
          <w:bottom w:w="28" w:type="dxa"/>
          <w:right w:w="28" w:type="dxa"/>
        </w:tblCellMar>
      </w:tblPr>
      <w:tblGrid>
        <w:gridCol w:w="962"/>
        <w:gridCol w:w="844"/>
        <w:gridCol w:w="849"/>
        <w:gridCol w:w="487"/>
        <w:gridCol w:w="487"/>
        <w:gridCol w:w="691"/>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657,160 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June 30, 2023</w:t>
            </w:r>
          </w:p>
        </w:tc>
        <w:tc>
          <w:tcPr>
            <w:tcW w:w="9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657,160 </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Incentive Units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on December 27, 2021, all of the incentive units, whether vested or unvested, outstanding immediately prior to the merger that were not settled as part of the transaction, were assumed by the Company and converted into class B common stock and such shares of converted class B common stock outstanding were 1,236,027 as of June 30, 2023.</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cost for unvested stock options, restricted stock awards and performance stock units as of June 30, 2023 totaled $38,214, and is expected to be recognized over a weighted average period of approximately 2.2 years. No unrecognized compensation expense remained for the incentive units as of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RETIREMENT PLANS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Defined Contribution Plan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401(k) profit sharing plan for all full-time employees who have attained the age of 21 and completed 90 days of service. The Company matches 100% of the first 1% and then 50% of the next 5% of employee contributions. Retirement plan expense for the three months ended June 30, 2023 and 2022 was approximately $396 and $409, respectively. Retirement plan expense for the six months ended June 30, 2023 and 2022 was approximately $921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$837, respectively.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Deferred Compensation Plan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a self-administered deferred compensation plan that accrues a liability for the benefit of certain employees equal to 0.25% of the year-over-year change in Earnings Before Interest Depreciation “EBITDA” that began in 2014. The total liability was $0 and $242 at June 30, 2023 and December 31, 2022, respectively and was recorded in other liabilities on the balance sheet. The plan was terminated during the year ended December 31, 2021 and the remaining liability was paid in the six months ended June 30,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9. FAIR VALUE MEASUREMENTS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fair value in accordance with ASC 820 which established a hierarchy for the inputs used to measure the fair value of financial assets and liabilities based on the source of the input, which generally range from quoted prices for identical instruments in a principal trading market (i.e., Level 1) to estimates determined using significant unobservable inputs (i.e., Level 3). The fair value hierarchy prioritizes the inputs, which refer to assumptions that market participants would use in pricing an asset or liability, based upon the highest and best use, into three levels as follows: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standard describes three levels of inputs that may be used to measure fair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Level 1:</w:t>
      </w:r>
      <w:r>
        <w:rPr>
          <w:color w:val="000000"/>
        </w:rPr>
        <w:t xml:space="preserve"> </w:t>
      </w:r>
      <w:r>
        <w:rPr>
          <w:rFonts w:ascii="Times New Roman;sans-serif" w:hAnsi="Times New Roman;sans-serif"/>
          <w:b w:val="false"/>
          <w:color w:val="000000"/>
          <w:sz w:val="20"/>
        </w:rPr>
        <w:t>Unadjusted quoted prices in active markets for identical assets or liabilities at the measurement date.</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Level 2:</w:t>
      </w:r>
      <w:r>
        <w:rPr>
          <w:color w:val="000000"/>
        </w:rPr>
        <w:t xml:space="preserve"> </w:t>
      </w:r>
      <w:r>
        <w:rPr>
          <w:rFonts w:ascii="Times New Roman;sans-serif" w:hAnsi="Times New Roman;sans-serif"/>
          <w:b w:val="false"/>
          <w:color w:val="000000"/>
          <w:sz w:val="20"/>
        </w:rPr>
        <w:t>Observable inputs other than unadjusted quoted prices in active markets for identical assets or liabilities such as:</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Quoted prices for similar assets or liabilities in active markets</w:t>
      </w:r>
    </w:p>
    <w:p>
      <w:pPr>
        <w:pStyle w:val="TextBody"/>
        <w:bidi w:val="0"/>
        <w:spacing w:lineRule="auto" w:line="288" w:before="0" w:after="0"/>
        <w:ind w:left="0" w:right="0" w:hanging="187"/>
        <w:jc w:val="left"/>
        <w:rPr/>
      </w:pPr>
      <w:r>
        <w:rPr>
          <w:color w:val="000000"/>
        </w:rPr>
        <w:t>◦</w:t>
      </w:r>
      <w:r>
        <w:rPr>
          <w:rFonts w:ascii="Times New Roman;sans-serif" w:hAnsi="Times New Roman;sans-serif"/>
          <w:b w:val="false"/>
          <w:color w:val="000000"/>
          <w:sz w:val="20"/>
        </w:rPr>
        <w:t>Quoted prices for identical or similar assets or liabilities in inactive markets</w:t>
      </w:r>
    </w:p>
    <w:p>
      <w:pPr>
        <w:pStyle w:val="TextBody"/>
        <w:bidi w:val="0"/>
        <w:spacing w:lineRule="auto" w:line="288" w:before="0" w:after="0"/>
        <w:ind w:left="0" w:right="0" w:hanging="187"/>
        <w:jc w:val="left"/>
        <w:rPr/>
      </w:pPr>
      <w:r>
        <w:rPr>
          <w:color w:val="000000"/>
        </w:rPr>
        <w:t>◦</w:t>
      </w:r>
      <w:r>
        <w:rPr>
          <w:rFonts w:ascii="Times New Roman;sans-serif" w:hAnsi="Times New Roman;sans-serif"/>
          <w:b w:val="false"/>
          <w:color w:val="000000"/>
          <w:sz w:val="20"/>
        </w:rPr>
        <w:t>Inputs other than quoted prices that are observable for the asset or liability</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Inputs that are derived principally from or corroborated by observable market data by correlation or other mean</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Level 3:</w:t>
      </w:r>
      <w:r>
        <w:rPr>
          <w:color w:val="000000"/>
        </w:rPr>
        <w:t xml:space="preserve"> </w:t>
      </w:r>
      <w:r>
        <w:rPr>
          <w:rFonts w:ascii="Times New Roman;sans-serif" w:hAnsi="Times New Roman;sans-serif"/>
          <w:b w:val="false"/>
          <w:color w:val="000000"/>
          <w:sz w:val="20"/>
        </w:rPr>
        <w:t>Unobservable inputs in which there is little or no market data available, which are significant to the fair value measurement and require the Company to develop its own assumptions.</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measured at fair value on a recurring basis, consisted of the following types of instruments as of the following dates: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12"/>
        <w:gridCol w:w="1584"/>
        <w:gridCol w:w="1605"/>
        <w:gridCol w:w="109"/>
        <w:gridCol w:w="109"/>
        <w:gridCol w:w="109"/>
        <w:gridCol w:w="211"/>
        <w:gridCol w:w="721"/>
        <w:gridCol w:w="109"/>
        <w:gridCol w:w="109"/>
        <w:gridCol w:w="109"/>
        <w:gridCol w:w="109"/>
        <w:gridCol w:w="211"/>
        <w:gridCol w:w="616"/>
        <w:gridCol w:w="109"/>
        <w:gridCol w:w="109"/>
        <w:gridCol w:w="109"/>
        <w:gridCol w:w="109"/>
        <w:gridCol w:w="246"/>
        <w:gridCol w:w="475"/>
        <w:gridCol w:w="109"/>
        <w:gridCol w:w="109"/>
        <w:gridCol w:w="109"/>
        <w:gridCol w:w="109"/>
        <w:gridCol w:w="211"/>
        <w:gridCol w:w="721"/>
        <w:gridCol w:w="157"/>
      </w:tblGrid>
      <w:tr>
        <w:trPr/>
        <w:tc>
          <w:tcPr>
            <w:tcW w:w="181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Assets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 -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redemption with make-whole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Assets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 -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redemption with make-whole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is provided below about assets and liabilities remeasured at fair value on a recurring basis and for which the Company utilizes Level 3 inputs to determine fair value.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Derivative asset - interest rate swap</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interest rate risk on variable interest rate debt obligations. To manage interest rate risk, the Company entered into an interest rate swap agreement on January 5, 2022. See Note 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Warrant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the Company assumed warrant liability related to previously issued warrants in connection with Roman DBDR's initial public offering. The warrants were accounted for as liabilities in accordance with ASC 815-40 and are presented within warrant liabilities on our consolidated balance sheet. The warrant liabilities were remeasured at June 30, 2023, with changes in fair value presented within revaluation of warrant liabilities in the consolidated statement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ending balances for the warrant liabilities remeasured at fair value:</w:t>
      </w:r>
    </w:p>
    <w:tbl>
      <w:tblPr>
        <w:tblW w:w="5757" w:type="dxa"/>
        <w:jc w:val="left"/>
        <w:tblInd w:w="0" w:type="dxa"/>
        <w:tblLayout w:type="fixed"/>
        <w:tblCellMar>
          <w:top w:w="28" w:type="dxa"/>
          <w:left w:w="28" w:type="dxa"/>
          <w:bottom w:w="28" w:type="dxa"/>
          <w:right w:w="28" w:type="dxa"/>
        </w:tblCellMar>
      </w:tblPr>
      <w:tblGrid>
        <w:gridCol w:w="1287"/>
        <w:gridCol w:w="1130"/>
        <w:gridCol w:w="1138"/>
        <w:gridCol w:w="109"/>
        <w:gridCol w:w="109"/>
        <w:gridCol w:w="109"/>
        <w:gridCol w:w="364"/>
        <w:gridCol w:w="1245"/>
        <w:gridCol w:w="266"/>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 </w:t>
            </w:r>
            <w:r>
              <w:rPr>
                <w:rFonts w:ascii="Times New Roman;sans-serif" w:hAnsi="Times New Roman;sans-serif"/>
                <w:b/>
                <w:color w:val="000000"/>
                <w:sz w:val="20"/>
              </w:rPr>
              <w:t>Warrant Liabilities</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24,309 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Public Warrants were valued using the quoted market price as the fair value at the end of each balance sheet date. The Private Placement Warrants were valued using the Black Scholes Option Pricing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assumptions were used to determine the fair value of the private warrants as of June 30, 2023: </w:t>
      </w:r>
    </w:p>
    <w:p>
      <w:pPr>
        <w:pStyle w:val="TextBody"/>
        <w:bidi w:val="0"/>
        <w:spacing w:before="0" w:after="0"/>
        <w:ind w:left="0" w:right="0" w:firstLine="720"/>
        <w:jc w:val="left"/>
        <w:rPr/>
      </w:pPr>
      <w:r>
        <w:rPr/>
      </w:r>
    </w:p>
    <w:tbl>
      <w:tblPr>
        <w:tblW w:w="4091" w:type="dxa"/>
        <w:jc w:val="left"/>
        <w:tblInd w:w="0" w:type="dxa"/>
        <w:tblLayout w:type="fixed"/>
        <w:tblCellMar>
          <w:top w:w="28" w:type="dxa"/>
          <w:left w:w="28" w:type="dxa"/>
          <w:bottom w:w="28" w:type="dxa"/>
          <w:right w:w="28" w:type="dxa"/>
        </w:tblCellMar>
      </w:tblPr>
      <w:tblGrid>
        <w:gridCol w:w="887"/>
        <w:gridCol w:w="778"/>
        <w:gridCol w:w="780"/>
        <w:gridCol w:w="109"/>
        <w:gridCol w:w="109"/>
        <w:gridCol w:w="109"/>
        <w:gridCol w:w="243"/>
        <w:gridCol w:w="711"/>
        <w:gridCol w:w="365"/>
      </w:tblGrid>
      <w:tr>
        <w:trPr/>
        <w:tc>
          <w:tcPr>
            <w:tcW w:w="8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36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6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6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years</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market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private warrants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Earnout Consideration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Holdings' equity holders have the right to receive an aggregate of up to 7,500,000 additional (i) shares of the Company's class A common stock or (ii) Holdings Units (and a corresponding number of shares of the Company's class B common stock), as applicable, in Earnout consideration based on the achievement of certain stock price thresholds. Earnout Considerations held by Holdings' holders (not including the holders under ASC 718) were determined to be derivative instruments in accordance with ASC 815 and were accounted as derivative liabilities, initially valued at fair value in accordance with ASC 815-40-30-1. The liability for Earnouts are remeasured at each reporting period at fair value, with changes in fair value recorded in earnings in accordance with ASC 815. The Company established the initial fair value for the earnouts at the closing date on December 27, 2021 using a Monte Carlo simulation model. The following table provides a reconciliation of the ending balances for the earnout consideration liabilities remeasured at fair value: </w:t>
      </w:r>
    </w:p>
    <w:p>
      <w:pPr>
        <w:pStyle w:val="TextBody"/>
        <w:bidi w:val="0"/>
        <w:spacing w:before="0" w:after="0"/>
        <w:ind w:left="0" w:right="0" w:firstLine="720"/>
        <w:jc w:val="left"/>
        <w:rPr/>
      </w:pPr>
      <w:r>
        <w:rPr/>
      </w:r>
    </w:p>
    <w:tbl>
      <w:tblPr>
        <w:tblW w:w="6776" w:type="dxa"/>
        <w:jc w:val="left"/>
        <w:tblInd w:w="0" w:type="dxa"/>
        <w:tblLayout w:type="fixed"/>
        <w:tblCellMar>
          <w:top w:w="28" w:type="dxa"/>
          <w:left w:w="28" w:type="dxa"/>
          <w:bottom w:w="28" w:type="dxa"/>
          <w:right w:w="28" w:type="dxa"/>
        </w:tblCellMar>
      </w:tblPr>
      <w:tblGrid>
        <w:gridCol w:w="1287"/>
        <w:gridCol w:w="1130"/>
        <w:gridCol w:w="1138"/>
        <w:gridCol w:w="109"/>
        <w:gridCol w:w="109"/>
        <w:gridCol w:w="109"/>
        <w:gridCol w:w="561"/>
        <w:gridCol w:w="1920"/>
        <w:gridCol w:w="413"/>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Earnout Consideration Liability</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assumptions were used to determine the fair value of the Earnout considerations as of June 30, 2023:</w:t>
      </w:r>
    </w:p>
    <w:tbl>
      <w:tblPr>
        <w:tblW w:w="4091" w:type="dxa"/>
        <w:jc w:val="left"/>
        <w:tblInd w:w="0" w:type="dxa"/>
        <w:tblLayout w:type="fixed"/>
        <w:tblCellMar>
          <w:top w:w="28" w:type="dxa"/>
          <w:left w:w="28" w:type="dxa"/>
          <w:bottom w:w="28" w:type="dxa"/>
          <w:right w:w="28" w:type="dxa"/>
        </w:tblCellMar>
      </w:tblPr>
      <w:tblGrid>
        <w:gridCol w:w="884"/>
        <w:gridCol w:w="777"/>
        <w:gridCol w:w="783"/>
        <w:gridCol w:w="109"/>
        <w:gridCol w:w="109"/>
        <w:gridCol w:w="109"/>
        <w:gridCol w:w="268"/>
        <w:gridCol w:w="650"/>
        <w:gridCol w:w="402"/>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market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ans-serif" w:hAnsi="Times New Roman;sans-serif"/>
                <w:b w:val="false"/>
                <w:color w:val="000000"/>
                <w:sz w:val="20"/>
              </w:rPr>
            </w:pPr>
            <w:r>
              <w:rPr>
                <w:rFonts w:ascii="Times New Roman;sans-serif" w:hAnsi="Times New Roman;sans-serif"/>
                <w:b w:val="false"/>
                <w:color w:val="000000"/>
                <w:sz w:val="20"/>
              </w:rPr>
              <w:t>4.68% -5.14%</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ans-serif" w:hAnsi="Times New Roman;sans-serif"/>
                <w:b w:val="false"/>
                <w:color w:val="000000"/>
                <w:sz w:val="20"/>
              </w:rPr>
            </w:pPr>
            <w:r>
              <w:rPr>
                <w:rFonts w:ascii="Times New Roman;sans-serif" w:hAnsi="Times New Roman;sans-serif"/>
                <w:b w:val="false"/>
                <w:color w:val="000000"/>
                <w:sz w:val="20"/>
              </w:rPr>
              <w:t>47.5%- 50.0%</w:t>
            </w:r>
          </w:p>
        </w:tc>
      </w:tr>
      <w:tr>
        <w:trPr/>
        <w:tc>
          <w:tcPr>
            <w:tcW w:w="24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ans-serif" w:hAnsi="Times New Roman;sans-serif"/>
                <w:b w:val="false"/>
                <w:color w:val="000000"/>
                <w:sz w:val="20"/>
              </w:rPr>
            </w:pPr>
            <w:r>
              <w:rPr>
                <w:rFonts w:ascii="Times New Roman;sans-serif" w:hAnsi="Times New Roman;sans-serif"/>
                <w:b w:val="false"/>
                <w:color w:val="000000"/>
                <w:sz w:val="20"/>
              </w:rPr>
              <w:t>1.5-2.5 years</w:t>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Earnouts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40" w:after="283"/>
        <w:jc w:val="left"/>
        <w:rPr>
          <w:rFonts w:ascii="Times New Roman;sans-serif" w:hAnsi="Times New Roman;sans-serif"/>
          <w:b/>
          <w:color w:val="000000"/>
          <w:sz w:val="20"/>
        </w:rPr>
      </w:pPr>
      <w:r>
        <w:rPr>
          <w:rFonts w:ascii="Times New Roman;sans-serif" w:hAnsi="Times New Roman;sans-serif"/>
          <w:b/>
          <w:color w:val="000000"/>
          <w:sz w:val="20"/>
        </w:rPr>
        <w:t xml:space="preserve">10. GEOGRAPHIC INFORMATION AND CONCENTRATIONS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headquarters and substantially all of its operations, including its long-lived assets, are located in the United States. Geographical sales information based on the location of the customer was as follows:</w:t>
      </w:r>
    </w:p>
    <w:p>
      <w:pPr>
        <w:pStyle w:val="TextBody"/>
        <w:bidi w:val="0"/>
        <w:spacing w:before="0" w:after="0"/>
        <w:jc w:val="left"/>
        <w:rPr/>
      </w:pPr>
      <w:r>
        <w:rPr/>
      </w:r>
    </w:p>
    <w:tbl>
      <w:tblPr>
        <w:tblW w:w="7336" w:type="dxa"/>
        <w:jc w:val="left"/>
        <w:tblInd w:w="0" w:type="dxa"/>
        <w:tblLayout w:type="fixed"/>
        <w:tblCellMar>
          <w:top w:w="28" w:type="dxa"/>
          <w:left w:w="28" w:type="dxa"/>
          <w:bottom w:w="28" w:type="dxa"/>
          <w:right w:w="28" w:type="dxa"/>
        </w:tblCellMar>
      </w:tblPr>
      <w:tblGrid>
        <w:gridCol w:w="625"/>
        <w:gridCol w:w="547"/>
        <w:gridCol w:w="553"/>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826"/>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region:</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3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principal direct customers as of June 30, 2023 consist primarily of leading international, foreign and domestic banks and other credit card issuers primarily within the U.S., Europe, Asia, Latin America, Canada, and the Middle East. The Company periodically assesses the financial strength of these customers and establishes allowances for anticipated losses, if necessary.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Three customers individually accounted for more than 10% of the Company’s revenue or 76% combined, of total revenue for the three months ended June 30, 2023. Three customers individually accounted for more than 10% of the Company’s revenue or 78%, combined, of total revenue for the three months ended June 30, 2022. Three customers individually accounted for more than 10% of the Company’s revenue or 76.0%, combined, of total revenue for the six months ended June 30, 2023. Three customers individually accounted for more than 10% of the Company’s revenue or 80.4%, combined, of total revenue for the six months ended June 30, 2022. Three customers individually accounted for more than 10% of the Company’s accounts receivable or approximately 73% and two customers individually accounted for more than 10% or approximately 63% of total accounts receivable as of June 30, 2023 and December 31, 2022, respectively.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One individual vendor accounted for more than 10% of purchases of supplies, or approximately 13% of total purchases, for the six months ended June 30, 2023. No individual vendor accounted for more than 10% of purchases of supplies for the six months ended June 30,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income tax provision of $970 and $2,802 for the three months ended June 30, 2023 and June 30, 2022, respectively. The Company recorded income tax benefit of $293 for the six months ended June 30, 2023 and income tax provision of $3,345 for the six months ended June 30, 2022.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state and local income tax returns for years prior to 2018 are no longer subject to examination by tax authorities. The Company is currently under audit by federal tax authorities for fiscal 2020. There have been no proposed adjustments at this stage of the examination. The examination is expected to be finalized in fiscal 2023. The Company does not expect any material impact to the financial statements due to settlement of this audit.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calculating the provision for income taxes on an interim basis, the Company uses an estimate of the annual effective tax rate based upon currently known facts and circumstances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 The Company's interim effective tax rate, inclusive of any discrete items, was 12.65% and 4.42% for the three months ended June 30, 2023 and June 30, 2022, respectively. The Company's interim effective tax rate, inclusive of any discrete items, was (0.68)% and 3.68% for the six months ended June 30, 2023 and June 30, 2022, respectively.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 differs from the U.S. statutory rate primarily due to the non-controlling interest adjustment as the income attributable to the non-controlling interest is pass-through income.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EARNINGS PER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net income used to compute basic and diluted net earnings per share of Class A common stock for the three months ended June 30, 2023 and June 30, 2022, respectively. Shares of Class B common stock do not participate in the Company's income or loss and are, therefore, not participating securities.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8"/>
        <w:gridCol w:w="1448"/>
        <w:gridCol w:w="1344"/>
        <w:gridCol w:w="109"/>
        <w:gridCol w:w="109"/>
        <w:gridCol w:w="109"/>
        <w:gridCol w:w="246"/>
        <w:gridCol w:w="735"/>
        <w:gridCol w:w="118"/>
        <w:gridCol w:w="118"/>
        <w:gridCol w:w="118"/>
        <w:gridCol w:w="118"/>
        <w:gridCol w:w="229"/>
        <w:gridCol w:w="744"/>
        <w:gridCol w:w="118"/>
        <w:gridCol w:w="109"/>
        <w:gridCol w:w="109"/>
        <w:gridCol w:w="109"/>
        <w:gridCol w:w="223"/>
        <w:gridCol w:w="738"/>
        <w:gridCol w:w="112"/>
        <w:gridCol w:w="112"/>
        <w:gridCol w:w="112"/>
        <w:gridCol w:w="112"/>
        <w:gridCol w:w="223"/>
        <w:gridCol w:w="738"/>
        <w:gridCol w:w="167"/>
      </w:tblGrid>
      <w:tr>
        <w:trPr/>
        <w:tc>
          <w:tcPr>
            <w:tcW w:w="167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Net income attributable to non-controlling interest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(35,347)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Class A Common Stockholders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Plus: adjustment to net income due to net effect of equity awards and exchangeable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Class A Common Stockholders after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24,205 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used in computing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18,537,268 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15,051,732 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18,087,260 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14,992,612 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net effect of dilutive equity awards and exchangeable notes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16,991,161 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17,311,560 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17,068,029 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17,348,682 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used in computing 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35,528,429 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32,363,292 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35,155,289 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32,341,294 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share—basic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0.31 </w:t>
            </w:r>
          </w:p>
        </w:tc>
        <w:tc>
          <w:tcPr>
            <w:tcW w:w="11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income per share—diluted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0.29 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for the three months ended June 30, 2023 was calculated by dividing net income attributable to Class A Common shareholders of $5,737 divided by 18,537,268 of weighted average Class A common shares outstanding at June 30,2023. Diluted earnings per share for the three months ended June 30, 2023 was calculated by dividing net income adjusted for the net effect of dilutive equity awards and exchangeable notes of $10,147 divided by 35,528,429 of weighted average common shares after adjusting for the net effect of dilutive equity awards and exchangeable notes outstanding at June 30, 2023.</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for the three months ended June 30, 2022 was calculated by dividing net income attributable to Class A Common shareholders of $8,474 divided by 15,051,732 of weighted average Class A common shares outstanding at June 30, 2022. Diluted earnings per share for the three months ended June 30, 2022 was calculated by dividing net income adjusted for the net effect of dilutive equity awards and exchangeable notes of $16,710, divided by 32,363,292 of weighted average common shares after adjusting for the net effect of dilutive equity awards and exchangeable notes outstanding at June 30,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for the six months ended June 30, 2023 was calculated by dividing net income attributable to Class A Common shareholders of $8,100 divided by 18,087,260 of weighted average Class A common shares outstanding at June 30,2023. Diluted earnings per share for the six months ended June 30, 2023 was calculated by dividing net income adjusted for the net effect of dilutive equity awards and exchangeable notes of $14,240, divided by 35,155,289 of weighted average common shares after adjusting for the net effect of dilutive equity awards and exchangeable notes outstanding at June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for the six months ended June 30, 2022 was calculated by dividing net income attributable to Class A Common shareholders of $11,938 divided by 14,992,612 of weighted average Class A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outstanding at June 30, 2022. Diluted earnings per share for the six months ended June 30, 2022 was calculated by dividing net income adjusted for the net effect of dilutive equity awards and exchangeable notes of $24,205, divided by 32,341,294 of weighted average common shares after adjusting for the net effect of dilutive equity awards and exchangeable notes outstanding at June 30,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that could potentially be dilutive are excluded from the computation of diluted earnings per share when the exercise price exceeds the average closing price of the Company’s common stock during the period, because their inclusion would result in an antidilutive effect on per share amounts. The Company applied the if-converted method for the Exchangeable Notes to calculate diluted earnings per share in accordance with ASU 2020-06.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amounts were not included in the calculation of net earnings per diluted share because their effects were anti-dilutive:</w:t>
      </w:r>
    </w:p>
    <w:tbl>
      <w:tblPr>
        <w:tblW w:w="10205" w:type="dxa"/>
        <w:jc w:val="left"/>
        <w:tblInd w:w="0" w:type="dxa"/>
        <w:tblLayout w:type="fixed"/>
        <w:tblCellMar>
          <w:top w:w="28" w:type="dxa"/>
          <w:left w:w="28" w:type="dxa"/>
          <w:bottom w:w="28" w:type="dxa"/>
          <w:right w:w="28" w:type="dxa"/>
        </w:tblCellMar>
      </w:tblPr>
      <w:tblGrid>
        <w:gridCol w:w="870"/>
        <w:gridCol w:w="729"/>
        <w:gridCol w:w="733"/>
        <w:gridCol w:w="109"/>
        <w:gridCol w:w="109"/>
        <w:gridCol w:w="109"/>
        <w:gridCol w:w="754"/>
        <w:gridCol w:w="327"/>
        <w:gridCol w:w="251"/>
        <w:gridCol w:w="251"/>
        <w:gridCol w:w="251"/>
        <w:gridCol w:w="251"/>
        <w:gridCol w:w="754"/>
        <w:gridCol w:w="327"/>
        <w:gridCol w:w="251"/>
        <w:gridCol w:w="109"/>
        <w:gridCol w:w="109"/>
        <w:gridCol w:w="109"/>
        <w:gridCol w:w="686"/>
        <w:gridCol w:w="395"/>
        <w:gridCol w:w="231"/>
        <w:gridCol w:w="231"/>
        <w:gridCol w:w="231"/>
        <w:gridCol w:w="231"/>
        <w:gridCol w:w="686"/>
        <w:gridCol w:w="395"/>
        <w:gridCol w:w="231"/>
        <w:gridCol w:w="109"/>
        <w:gridCol w:w="109"/>
        <w:gridCol w:w="109"/>
        <w:gridCol w:w="158"/>
      </w:tblGrid>
      <w:tr>
        <w:trPr/>
        <w:tc>
          <w:tcPr>
            <w:tcW w:w="87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Potentially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22,415,400 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22,415,400 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22,415,400 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22,415,400 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59,958,422 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60,986,800 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59,958,422 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60,986,800 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consideration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2,431,925 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3,897,048 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2,712,064 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3,597,048 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Change in Accounting Policy for net income per share: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Effective April 1, 2022, the Company had changed its methodology to apply its accounting policy to calculate the basic and diluted earnings per share as well as determined that it would push down the changes in fair value of the mark-to-market liabilities that related to the Company's warrants and earnout consideration liability to its operating subsidiary, Holdings, resulting in a change to the net income attributable to the controlling and non-controlling interest.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observed diversity in practice due to lack of specific guidance in ASC 810 related to earnings per share due to the Company's Up-C structure. The method adopted effective April 1, 2022 was voluntary and more appropriately represented the economics of the net income allocation upon the conversion of the potential dilutive instruments due to the fact that the issuance of Class A Common Stock would result with a corresponding issuance of a Class A Common Unit in Holdings. Further, for similar reasons, pushing down the changes in fair value of the mark-to-market liabilities to Holdings, and therefore allocating the changes between the controlling and non-controlling interest would provide more appropriate information to the users of the financial statements. The Company determined that, accordingly, this change would more appropriately reflect the allocation of the consolidated Company’s net assets between the controlling and non-controlling interest, and the respective basic and dilutive earnings per share presented in the Company’s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before="0" w:after="2"/>
        <w:ind w:left="0" w:right="0" w:hanging="4"/>
        <w:jc w:val="left"/>
        <w:rPr/>
      </w:pPr>
      <w:r>
        <w:rPr/>
      </w:r>
    </w:p>
    <w:p>
      <w:pPr>
        <w:pStyle w:val="TextBody"/>
        <w:bidi w:val="0"/>
        <w:spacing w:before="0" w:after="2"/>
        <w:ind w:left="0" w:right="0" w:hanging="4"/>
        <w:jc w:val="left"/>
        <w:rPr/>
      </w:pPr>
      <w:r>
        <w:rPr/>
      </w:r>
    </w:p>
    <w:p>
      <w:pPr>
        <w:pStyle w:val="TextBody"/>
        <w:bidi w:val="0"/>
        <w:spacing w:before="0" w:after="2"/>
        <w:ind w:left="0" w:right="0" w:hanging="4"/>
        <w:jc w:val="left"/>
        <w:rPr/>
      </w:pPr>
      <w:r>
        <w:rPr/>
      </w:r>
    </w:p>
    <w:p>
      <w:pPr>
        <w:pStyle w:val="TextBody"/>
        <w:bidi w:val="0"/>
        <w:spacing w:before="0" w:after="2"/>
        <w:ind w:left="0" w:right="0" w:hanging="4"/>
        <w:jc w:val="left"/>
        <w:rPr/>
      </w:pPr>
      <w:r>
        <w:rPr/>
      </w:r>
    </w:p>
    <w:p>
      <w:pPr>
        <w:pStyle w:val="TextBody"/>
        <w:bidi w:val="0"/>
        <w:spacing w:before="0" w:after="2"/>
        <w:ind w:left="0" w:right="0" w:hanging="4"/>
        <w:jc w:val="left"/>
        <w:rPr/>
      </w:pPr>
      <w:r>
        <w:rPr/>
      </w:r>
    </w:p>
    <w:p>
      <w:pPr>
        <w:pStyle w:val="TextBody"/>
        <w:bidi w:val="0"/>
        <w:spacing w:before="0" w:after="2"/>
        <w:ind w:left="0" w:right="0" w:hanging="4"/>
        <w:jc w:val="left"/>
        <w:rPr/>
      </w:pPr>
      <w:r>
        <w:rPr/>
      </w:r>
    </w:p>
    <w:p>
      <w:pPr>
        <w:pStyle w:val="TextBody"/>
        <w:bidi w:val="0"/>
        <w:spacing w:before="0" w:after="2"/>
        <w:ind w:left="0" w:right="0" w:hanging="4"/>
        <w:jc w:val="left"/>
        <w:rPr/>
      </w:pPr>
      <w:r>
        <w:rPr/>
      </w:r>
    </w:p>
    <w:p>
      <w:pPr>
        <w:pStyle w:val="TextBody"/>
        <w:bidi w:val="0"/>
        <w:spacing w:before="0" w:after="2"/>
        <w:ind w:left="0" w:right="0" w:hanging="4"/>
        <w:jc w:val="left"/>
        <w:rPr/>
      </w:pPr>
      <w:r>
        <w:rPr/>
      </w:r>
    </w:p>
    <w:p>
      <w:pPr>
        <w:pStyle w:val="TextBody"/>
        <w:bidi w:val="0"/>
        <w:spacing w:before="0" w:after="2"/>
        <w:ind w:left="0" w:right="0" w:hanging="4"/>
        <w:jc w:val="left"/>
        <w:rPr/>
      </w:pPr>
      <w:r>
        <w:rPr/>
      </w:r>
    </w:p>
    <w:p>
      <w:pPr>
        <w:pStyle w:val="TextBody"/>
        <w:bidi w:val="0"/>
        <w:spacing w:before="0" w:after="2"/>
        <w:ind w:left="0" w:right="0" w:hanging="4"/>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2"/>
        <w:ind w:left="0" w:right="0" w:hanging="4"/>
        <w:jc w:val="left"/>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Operating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commitments under all non-cancelable operating leases are as follows:</w:t>
      </w:r>
    </w:p>
    <w:tbl>
      <w:tblPr>
        <w:tblW w:w="5465" w:type="dxa"/>
        <w:jc w:val="left"/>
        <w:tblInd w:w="0" w:type="dxa"/>
        <w:tblLayout w:type="fixed"/>
        <w:tblCellMar>
          <w:top w:w="28" w:type="dxa"/>
          <w:left w:w="28" w:type="dxa"/>
          <w:bottom w:w="28" w:type="dxa"/>
          <w:right w:w="28" w:type="dxa"/>
        </w:tblCellMar>
      </w:tblPr>
      <w:tblGrid>
        <w:gridCol w:w="1623"/>
        <w:gridCol w:w="1426"/>
        <w:gridCol w:w="1435"/>
        <w:gridCol w:w="211"/>
        <w:gridCol w:w="616"/>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2023 (excluding the six months ended June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
        <w:ind w:left="0" w:right="0" w:firstLine="2"/>
        <w:jc w:val="both"/>
        <w:rPr>
          <w:rFonts w:ascii="Times New Roman;sans-serif" w:hAnsi="Times New Roman;sans-serif"/>
          <w:b/>
          <w:color w:val="000000"/>
          <w:sz w:val="20"/>
        </w:rPr>
      </w:pPr>
      <w:r>
        <w:rPr>
          <w:rFonts w:ascii="Times New Roman;sans-serif" w:hAnsi="Times New Roman;sans-serif"/>
          <w:b/>
          <w:color w:val="000000"/>
          <w:sz w:val="20"/>
        </w:rPr>
        <w:t>Tax Receivable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obligated to make certain payments under the tax receivable agreement to certain historical holders of units in Holdings. Although the actual timing and amount of any payments that may be made under the agreement will vary, the Company expects the cash obligation required will be significant. Any payments made under the tax receivable agreement will generally reduce the amount of overall cash flows that might have otherwise been available to the Company. To the extent that the Company is unable to make payments under the tax receivable agreement for any reason, the unpaid amounts generally will be deferred and will accrue interest until paid by the Company. The tax receivable agreement liability includes amounts to be paid assuming the Company will have sufficient taxable income over the term of the tax receivable agreement to utilize the related tax benefits. In determining the estimated timing of payments, the current year’s taxable income was used to extrapolate an estimate of future taxable income.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the following obligations expected to be paid pursuant to the tax receivable agreement:</w:t>
      </w:r>
    </w:p>
    <w:p>
      <w:pPr>
        <w:pStyle w:val="TextBody"/>
        <w:bidi w:val="0"/>
        <w:spacing w:before="0" w:after="0"/>
        <w:ind w:left="0" w:right="0" w:firstLine="720"/>
        <w:jc w:val="left"/>
        <w:rPr/>
      </w:pPr>
      <w:r>
        <w:rPr/>
      </w:r>
    </w:p>
    <w:tbl>
      <w:tblPr>
        <w:tblW w:w="5570" w:type="dxa"/>
        <w:jc w:val="left"/>
        <w:tblInd w:w="0" w:type="dxa"/>
        <w:tblLayout w:type="fixed"/>
        <w:tblCellMar>
          <w:top w:w="28" w:type="dxa"/>
          <w:left w:w="28" w:type="dxa"/>
          <w:bottom w:w="28" w:type="dxa"/>
          <w:right w:w="28" w:type="dxa"/>
        </w:tblCellMar>
      </w:tblPr>
      <w:tblGrid>
        <w:gridCol w:w="1623"/>
        <w:gridCol w:w="1426"/>
        <w:gridCol w:w="1435"/>
        <w:gridCol w:w="211"/>
        <w:gridCol w:w="721"/>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(excluding the six months ended June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the Company's tax receivable agreement liability and future payments thereunder are expected to increase as we realize (or are deemed to realize) an increase in tax basis of Holdings’ assets resulting from any future purchases, redemptions or exchanges of Holdings' interests by holders. The Company currently expect to fund these future tax receivable agreement liability payments from some of the realized cash tax savings as a result of this increase in tax basis.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be, from time to time, party to various disputes and claims arising from normal business activities. The Company accrues for amounts related to legal matters if it is probable that a liability has been incurred and the amount is reasonably estimable. Litigation costs are expensed as incurred.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240" w:after="2"/>
        <w:ind w:left="0" w:right="0" w:hanging="4"/>
        <w:jc w:val="left"/>
        <w:rPr>
          <w:rFonts w:ascii="Times New Roman;sans-serif" w:hAnsi="Times New Roman;sans-serif"/>
          <w:b/>
          <w:color w:val="000000"/>
          <w:sz w:val="20"/>
        </w:rPr>
      </w:pPr>
      <w:r>
        <w:rPr>
          <w:rFonts w:ascii="Times New Roman;sans-serif" w:hAnsi="Times New Roman;sans-serif"/>
          <w:b/>
          <w:color w:val="000000"/>
          <w:sz w:val="20"/>
        </w:rPr>
        <w:t>14. RELATED PARTY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2015, the Company entered into a sales representation agreement with a third party, partially owned by an individual who was then a member of Holdings' Board of Managers. The individual was a Class B stockholder of the Company at December 31, 2022 and during the six month period ended June 30, 2023, however, was no longer a stockholder at June 30, 2023. Expenses relating to this sales representation agreement for the three months ended June 30, 2023 and 2022 amounted to $3,395 and $3,277, respectively, and amounted to $7,462 and $6,079, for the six months ended June 30, 2023 and 2022, respectively. The expenses are recorded as a component of selling, general and administrative expenses. In October 2019, Holdings terminated the sales representation agreement. Customers in place prior to the termination of the agreement are subject to the arrangement and are eligible for future commissions, which are payable and are being accrued and paid in accordance with the terms of the sales representation agreement. Amounts accrued as a component of accrued expenses as of June 30, 2023 and December 31, 2022 related to this agreement were $5,361 and $3,317.</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the Company entered into a tax receivable agreement with Holdings and holders of interests in Holdings. See Note 13. The Company is obligated to make certain payments under the tax receivable agreement to certain historical holders of units in Holdings. The Company made a total payment of $2,193 related to the tax receivable agreement liability in the quarter ended June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Holdings LLC agreement, the Company makes pro rata tax distributions to the holders of Holdings' units (i.e., non-controlling interest) in an amount sufficient to fund all or part of their tax obligations with respect to the taxable income of Holdings that is allocated to them. For the quarter ended June 30, 2023, Holdings distributed a total of $25,241 of tax distributions to its members, of which $5,947 was paid to CompoSecure, Inc. (the parent company), resulting in a net tax distribution to all other members of $19,294. For the six month ended June 30, 2023, Holdings distributed a total of $37,600 of tax distributions to its members, of which $8,592 was paid to CompoSecure, Inc. (the parent company), resulting in a net tax distribution to all other members of $29,008.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our consolidated financial condition and results of operations should be read in conjunction with the Company's audited consolidated financial statements and related notes thereto included in the annual report on Form 10-K for the year ended December 31, 2022 filed with the SEC.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creates innovative, highly differentiated and customized financial payment card products or banks and other payment card issuers to support and increase their customer acquisition, customer retention and organic customer spend. The Company’s customers consist primarily of leading international and domestic banks and other payment card issuers primarily within the United States (“U.S.”),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through over 20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Economic Conditions - Globally and in the Digital Asset Marketplace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 and international markets and, in particular, the rapidly evolving digital assets industry, are experiencing uncertain and volatile economic conditions, including from the impacts of the COVID-19 pandemic, Russian aggression in Ukraine, sustained inflation,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If these uncertain business, macroeconomic or political conditions continue or further decline, our business, financial condition and results of operations could be materially adversely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Arculus platform offers a broad range of secure authentication and digital asset storage solutions and enables our consumer Arculus Cold Storage Wallet for digital assets. Recently, some digital asset exchanges have been freezing or limiting consumer withdrawals and some have filed for bankruptcy protection, driving consumer need for enhanced protection of their digital assets. We believe consumers can achieve enhanced protection by controlling their private keys with a cold storage wallet, such as the Arculus Cold Storage Wallet. At the same time, this market cycle has created uncertainty in timing for our anticipated Arculus ramp up, as some of our partners and targets have been impacted. Therefore, we are taking a measured approach to better target the timing of our investments to support near-term and long-term opportunities.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Key Components of Results of Operations</w:t>
      </w:r>
      <w:r>
        <w:rPr>
          <w:color w:val="000000"/>
        </w:rPr>
        <w:t xml:space="preserve"> </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Net Sales</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reflect the Company’s revenue generated primarily from the sale of its products. Product sales primarily include the design and manufacturing of metal cards, including contact and dual interface cards. The Company also generates revenue from the sale of Prelams (which refers to pre-laminated, sub-assemblies consisting of a composite of material layers which are partially laminated to be used as a component in the multiple layers of a final payment card or other card construction). Net sales include the effect of discounts and allowances which consist primarily of volume-based rebates.</w:t>
      </w:r>
    </w:p>
    <w:p>
      <w:pPr>
        <w:pStyle w:val="TextBody"/>
        <w:bidi w:val="0"/>
        <w:spacing w:before="240" w:after="283"/>
        <w:ind w:left="0" w:right="0" w:firstLine="7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Cost of Sales</w:t>
      </w:r>
      <w:r>
        <w:rPr>
          <w:color w:val="000000"/>
        </w:rPr>
        <w:t xml:space="preserve"> </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The Company’s cost of sales includes the direct and indirect costs related to manufacturing products and providing related services. Product costs include the cost of raw materials and supplies, including various metals, EMV</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chips, holograms, adhesives, magnetic stripes, and NFC assemblies; the cost of labor; equipment and facilities; operational overhead; depreciation and amortization; leases and rental charges; shipping and handling; and freight and insurance costs. Cost of sales can be impacted by many factors, including volume, operational efficiencies, procurement costs, and promotional activity. </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Gross Profit and Gross Margin</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gross profit represents its net sales less cost of sales, and its gross margin represents gross profit as a percentage of its net sales. </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operating expenses primarily comprised selling, general, and administrative expenses, which generally consist of personnel-related expenses for its corporate, executive, finance, information technology, and other administrative functions, and expenses for outside professional services, including legal, audit and accounting services, as well as expenses for facilities, depreciation, amortization, travel, sales and marketing.</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Income from Operations and Operating Margin</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operations consists of the Company’s gross profit less its operating expenses. Operating margin is income from the Company’s operations as a percentage of its net sales. </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Other Expense, net</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primarily consists of changes in fair value of warrant liability, earnout consideration liability and interest expense net of any interest income.</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Net Income</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consists of the Company’s income from operations, less other expenses and income tax provision or benefit.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Factors Affecting the Company’s Operating Results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performance and future success depend on a number of factors that present significant opportunities for us but also pose risks and challenges. Please see the factors discussed in this Quarterly Report on Form 10-Q, including those discussed in the sections entitled “Risk Factors” and “Cautionary Note Regarding Forward-Looking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pPr>
      <w:r>
        <w:rPr>
          <w:rFonts w:ascii="Times New Roman;sans-serif" w:hAnsi="Times New Roman;sans-serif"/>
          <w:b/>
          <w:color w:val="000000"/>
          <w:sz w:val="20"/>
        </w:rPr>
        <w:t>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June 30, 2023 vs three months ended June 30, 2022</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1859"/>
        <w:gridCol w:w="1618"/>
        <w:gridCol w:w="1620"/>
        <w:gridCol w:w="211"/>
        <w:gridCol w:w="721"/>
        <w:gridCol w:w="109"/>
        <w:gridCol w:w="109"/>
        <w:gridCol w:w="109"/>
        <w:gridCol w:w="109"/>
        <w:gridCol w:w="211"/>
        <w:gridCol w:w="721"/>
        <w:gridCol w:w="109"/>
        <w:gridCol w:w="109"/>
        <w:gridCol w:w="109"/>
        <w:gridCol w:w="109"/>
        <w:gridCol w:w="211"/>
        <w:gridCol w:w="688"/>
        <w:gridCol w:w="109"/>
        <w:gridCol w:w="109"/>
        <w:gridCol w:w="109"/>
        <w:gridCol w:w="109"/>
        <w:gridCol w:w="303"/>
        <w:gridCol w:w="303"/>
        <w:gridCol w:w="431"/>
      </w:tblGrid>
      <w:tr>
        <w:trPr/>
        <w:tc>
          <w:tcPr>
            <w:tcW w:w="185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5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5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5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0"/>
              </w:rPr>
              <w:t xml:space="preserve">Selling, general and administrative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0"/>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CompoSecure,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bl>
    <w:p>
      <w:pPr>
        <w:pStyle w:val="TextBody"/>
        <w:bidi w:val="0"/>
        <w:spacing w:before="120" w:after="240"/>
        <w:jc w:val="left"/>
        <w:rPr/>
      </w:pPr>
      <w:r>
        <w:rPr/>
      </w:r>
    </w:p>
    <w:tbl>
      <w:tblPr>
        <w:tblW w:w="4210" w:type="dxa"/>
        <w:jc w:val="left"/>
        <w:tblInd w:w="0" w:type="dxa"/>
        <w:tblLayout w:type="fixed"/>
        <w:tblCellMar>
          <w:top w:w="28" w:type="dxa"/>
          <w:left w:w="28" w:type="dxa"/>
          <w:bottom w:w="28" w:type="dxa"/>
          <w:right w:w="28" w:type="dxa"/>
        </w:tblCellMar>
      </w:tblPr>
      <w:tblGrid>
        <w:gridCol w:w="559"/>
        <w:gridCol w:w="491"/>
        <w:gridCol w:w="494"/>
        <w:gridCol w:w="215"/>
        <w:gridCol w:w="215"/>
        <w:gridCol w:w="536"/>
        <w:gridCol w:w="215"/>
        <w:gridCol w:w="215"/>
        <w:gridCol w:w="215"/>
        <w:gridCol w:w="215"/>
        <w:gridCol w:w="215"/>
        <w:gridCol w:w="625"/>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2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pPr>
      <w:r>
        <w:rPr>
          <w:rFonts w:ascii="Times New Roman;sans-serif" w:hAnsi="Times New Roman;sans-serif"/>
          <w:b/>
          <w:i/>
          <w:color w:val="000000"/>
          <w:sz w:val="20"/>
        </w:rPr>
        <w:t>Net Sales</w:t>
      </w:r>
      <w:r>
        <w:rPr>
          <w:color w:val="000000"/>
        </w:rPr>
        <w:t xml:space="preserve"> </w:t>
      </w:r>
    </w:p>
    <w:tbl>
      <w:tblPr>
        <w:tblW w:w="6713" w:type="dxa"/>
        <w:jc w:val="left"/>
        <w:tblInd w:w="0" w:type="dxa"/>
        <w:tblLayout w:type="fixed"/>
        <w:tblCellMar>
          <w:top w:w="28" w:type="dxa"/>
          <w:left w:w="28" w:type="dxa"/>
          <w:bottom w:w="28" w:type="dxa"/>
          <w:right w:w="28" w:type="dxa"/>
        </w:tblCellMar>
      </w:tblPr>
      <w:tblGrid>
        <w:gridCol w:w="603"/>
        <w:gridCol w:w="528"/>
        <w:gridCol w:w="53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8"/>
        <w:gridCol w:w="218"/>
        <w:gridCol w:w="614"/>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region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net sales for the quarter ended June 30, 2023 increased $1.3 million, or 1%, to $98.5 million compared to $97.2 million for the quarter ended June 30, 2022. The increase was primarily driven by continued domestic growth in the Company’s premium payment card business, which was up 11%. This was partially offset by lower international sales, which is a more variable market due to customer mix and a smaller sales base. International sales remained in-line with the Company’s targeted revenue mix of approximately 20%.</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Domestic</w:t>
      </w:r>
      <w:r>
        <w:rPr>
          <w:rFonts w:ascii="Times New Roman;sans-serif" w:hAnsi="Times New Roman;sans-serif"/>
          <w:b w:val="false"/>
          <w:color w:val="000000"/>
          <w:sz w:val="20"/>
        </w:rPr>
        <w:t>: The Company’s domestic net sales for the quarter ended June 30, 2023 increased $7.9 million, or 11%, to $78.0 million compared to $70.1 million for the quarter ended June 30, 2022. The increase was primarily due to higher customer acquisition by the Company’s clients as they continue to experience higher demand for their products.</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International</w:t>
      </w:r>
      <w:r>
        <w:rPr>
          <w:rFonts w:ascii="Times New Roman;sans-serif" w:hAnsi="Times New Roman;sans-serif"/>
          <w:b w:val="false"/>
          <w:color w:val="000000"/>
          <w:sz w:val="20"/>
        </w:rPr>
        <w:t xml:space="preserve">: The Company’s international net sales for the quarter ended June 30, 2023 decreased $6.5 million, or 24%, to $20.5 million compared to $27.1 million for the quarter ended June 30, 2022. International sales decreased primarily due to current global economic conditions and international markets being a more variable market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mix and a smaller sales base. International net sales were approximately 21% and 28% of the Company's total net sales for the quarter ended June 30, 2023 and 2022, respectively.</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Gross Profit and Gross Margin</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gross profit for the quarter ended June 30, 2023 decreased $5.0 million, or 8%, to $53.9 million compared to $58.9 million for the quarter ended June 30, 2022. The gross profit margin percentage decreased from 61% to 55%. The decrease in the gross margin percentage for the quarter ended June 30, 2023, as compared to the quarter ended June 30, 2022, was due to increased material costs resulting from inflationary pressures and product mix.</w:t>
      </w:r>
    </w:p>
    <w:p>
      <w:pPr>
        <w:pStyle w:val="TextBody"/>
        <w:bidi w:val="0"/>
        <w:spacing w:lineRule="auto" w:line="268" w:before="240" w:after="283"/>
        <w:ind w:left="0" w:right="0" w:firstLine="720"/>
        <w:jc w:val="left"/>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operating expenses for the quarter ended June 30, 2023 decreased $0.8 million compared to the quarter ended June 30, 2022. The decrease was driven primarily by reductions in marketing expenses of $2.2 million and insurance expenses of $1.0 million, as well as an overall decrease in utilities, supplies and various other costs of $0.8 million. This was partially offset by increase in salaries, commissions and employee benefits of $1.4 million, stock based compensation of $1.4 million, and professional fees of $0.4 million.</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Income from Operations and Operating Margin</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June 30, 2023, the Company had income from operations of $30.3 million compared to income from operations of $34.4 million for the quarter ended June 30, 2022. The operating margins for the quarter ended June 30, 2023 decreased to 31% compared to 35% for the quarter ended June 30, 2022, primarily due to the decrease in gross profit margin discussed earlier in this Form 10-Q.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Income (Expenses) (net)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quarter ended June 30, 2023 increased $0.3 million, or 5%, to $5.8 million compared to $5.5 million for the quarter ended June 30, 2022. The additional interest expense compared to the quarter ended June 30, 2022 was primarily due to the overall increase in variable interest rates in the 2021 Credit Facility which were partially offset by a gain in the Company's interest rate swap agreement entered into January 2022. There was an overall decrease in other expenses due to the favorable changes in the fair value of warrant liability and earnout consideration liability in the quarter ended June 30, 2023. The reduction in favorable changes to the fair value of financial instruments was primarily due to the increase in the price of the Company's Class A common stock compared to June 30, 2022.</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the quarter ended June 30, 2023 was $32.7 million compared to net income of $60.7 million for the quarter ended June 30, 2022. The decrease was driven primarily by reductions in favorable changes to the fair value of warrant liabilities, earnout consideration liability and derivative liability.</w:t>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Six months ended June 30, 2023 vs six months ended June 30, 2022</w:t>
      </w:r>
    </w:p>
    <w:p>
      <w:pPr>
        <w:pStyle w:val="TextBody"/>
        <w:bidi w:val="0"/>
        <w:spacing w:before="120" w:after="283"/>
        <w:ind w:left="0" w:right="0" w:firstLine="45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results of operations for the periods indicated:</w:t>
      </w:r>
    </w:p>
    <w:tbl>
      <w:tblPr>
        <w:tblW w:w="9909" w:type="dxa"/>
        <w:jc w:val="left"/>
        <w:tblInd w:w="0" w:type="dxa"/>
        <w:tblLayout w:type="fixed"/>
        <w:tblCellMar>
          <w:top w:w="28" w:type="dxa"/>
          <w:left w:w="28" w:type="dxa"/>
          <w:bottom w:w="28" w:type="dxa"/>
          <w:right w:w="28" w:type="dxa"/>
        </w:tblCellMar>
      </w:tblPr>
      <w:tblGrid>
        <w:gridCol w:w="1653"/>
        <w:gridCol w:w="1445"/>
        <w:gridCol w:w="1461"/>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3"/>
        <w:gridCol w:w="303"/>
        <w:gridCol w:w="430"/>
      </w:tblGrid>
      <w:tr>
        <w:trPr/>
        <w:tc>
          <w:tcPr>
            <w:tcW w:w="165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0"/>
              </w:rPr>
              <w:t xml:space="preserve">Selling, general and administrative expenses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0"/>
              </w:rPr>
              <w:t xml:space="preserve">Income tax benefit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w:t>
              <w:br/>
              <w:t>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CompoSecure,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3973" w:type="dxa"/>
        <w:jc w:val="left"/>
        <w:tblInd w:w="0" w:type="dxa"/>
        <w:tblLayout w:type="fixed"/>
        <w:tblCellMar>
          <w:top w:w="28" w:type="dxa"/>
          <w:left w:w="28" w:type="dxa"/>
          <w:bottom w:w="28" w:type="dxa"/>
          <w:right w:w="28" w:type="dxa"/>
        </w:tblCellMar>
      </w:tblPr>
      <w:tblGrid>
        <w:gridCol w:w="559"/>
        <w:gridCol w:w="491"/>
        <w:gridCol w:w="494"/>
        <w:gridCol w:w="196"/>
        <w:gridCol w:w="196"/>
        <w:gridCol w:w="488"/>
        <w:gridCol w:w="196"/>
        <w:gridCol w:w="196"/>
        <w:gridCol w:w="196"/>
        <w:gridCol w:w="196"/>
        <w:gridCol w:w="196"/>
        <w:gridCol w:w="569"/>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8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pPr>
      <w:r>
        <w:rPr>
          <w:rFonts w:ascii="Times New Roman;sans-serif" w:hAnsi="Times New Roman;sans-serif"/>
          <w:b/>
          <w:i/>
          <w:color w:val="000000"/>
          <w:sz w:val="20"/>
        </w:rPr>
        <w:t>Net Sales</w:t>
      </w:r>
      <w:r>
        <w:rPr>
          <w:color w:val="000000"/>
        </w:rPr>
        <w:t xml:space="preserve"> </w:t>
      </w:r>
    </w:p>
    <w:tbl>
      <w:tblPr>
        <w:tblW w:w="7028" w:type="dxa"/>
        <w:jc w:val="left"/>
        <w:tblInd w:w="0" w:type="dxa"/>
        <w:tblLayout w:type="fixed"/>
        <w:tblCellMar>
          <w:top w:w="28" w:type="dxa"/>
          <w:left w:w="28" w:type="dxa"/>
          <w:bottom w:w="28" w:type="dxa"/>
          <w:right w:w="28" w:type="dxa"/>
        </w:tblCellMar>
      </w:tblPr>
      <w:tblGrid>
        <w:gridCol w:w="603"/>
        <w:gridCol w:w="528"/>
        <w:gridCol w:w="53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8"/>
        <w:gridCol w:w="218"/>
        <w:gridCol w:w="614"/>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4"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region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net sales for the six months ended June 30, 2023 increased $12.5 million, or 7%, to $193.8 million compared to $181.4 million for the six months ended June 30, 2022. The increase was primarily driven by continued domestic growth in the Company’s premium payment card business, which was up 14%. This was partially offset by lower international sales, which is a more variable market due to customer mix and a smaller sales base. International sales remained in-line with the Company’s targeted revenue mix of approximately 20%.</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Domestic</w:t>
      </w:r>
      <w:r>
        <w:rPr>
          <w:rFonts w:ascii="Times New Roman;sans-serif" w:hAnsi="Times New Roman;sans-serif"/>
          <w:b w:val="false"/>
          <w:color w:val="000000"/>
          <w:sz w:val="20"/>
        </w:rPr>
        <w:t>: The Company’s domestic net sales for the six months ended June 30, 2023 increased $19.2 million, or 14%, to $151.7 million compared to $132.5 million for the six months ended June 30, 2022. The increase was primarily due to higher customer acquisition by the Company’s clients as they continue to experience higher demand for their products.</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International</w:t>
      </w:r>
      <w:r>
        <w:rPr>
          <w:rFonts w:ascii="Times New Roman;sans-serif" w:hAnsi="Times New Roman;sans-serif"/>
          <w:b w:val="false"/>
          <w:color w:val="000000"/>
          <w:sz w:val="20"/>
        </w:rPr>
        <w:t xml:space="preserve">: The Company’s international net sales for the six months ended June 30, 2023 decreased $6.7 million, or 14%, to $42.2 million compared to $48.9 million for the six months ended June 30, 2022. This decrease was primarily due to current global economic conditions and international markets being a more variable market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mix and a smaller sales base. International net sales were approximately 22% and 27% of the Company's total net sales for the six months ended June 30, 2023 and 2022, respectively.</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Gross Profit and Gross Margin</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gross profit for the six months ended June 30, 2023 decreased $0.3 million to $107.3 million compared to $107.6 million for the six months ended June 30, 2022. The gross profit margin percentage decreased from 59% to 55%. The decrease in the gross margin percentage for the six months ended June 30, 2023, as compared to the six months ended June 30, 2022, was due to increased material costs resulting from inflationary pressures and product mix.</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operating expenses for the six months ended June 30, 2023 increased $4.3 million compared to the six months ended June 30, 2022. This increase was driven primarily by salaries, commissions and employee benefits of $5.8 million and an increase in stock based compensation of $4.4 million. This increase was partially offset by a decrease in marketing expenses of $2.5 million, insurance expenses of $1.9 million, professional fees of $0.3 million, and an overall decrease in utilities, supplies and various other costs of $1.2 million.</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Income from Operations and Operating Margin</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had income from operations of $59.8 million compared to income from operations of $64.4 million for the six months ended June 30, 2022. The operating margins for the six months ended June 30, 2023 decreased to 31% compared to 36% for the six months ended June 30, 2022. The decrease in operating margin percentage was primarily due to the noted increases in operating expenses.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Income (Expenses) (net)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six months ended June 30, 2023 increased $1.8 million, or 17%, to $12.3 million compared to $10.5 million for the six months ended June 30, 2022. There was an overall increase in other expenses due to the reduction in favorable changes to the fair value of mark-to-market instruments compared to June 30, 2022. The decrease in favorable changes in the fair value of mark-to-market instruments were primarily due to the increase in the price of the Company's Class A common stock compared to June 30, 2022. See Liquidity and Capital Resources below for more detail on the existing credit facility.</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the six months ended June 30, 2023 was $43.4 million, compared to net income of $87.6 million for the six months ended June 30, 2022. The decrease was driven primarily by a reduction in favorable changes in the fair value of warrant liabilities, earnout consideration liability and derivative liability.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Use of Non-GAAP Financial Measures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Form 10-Q includes certain non-GAAP financial measures that are not prepared in accordance with accounting principles generally accepted in the United States (“GAAP”) and that may be different from non-GAAP financial measures used by other companies. The Company believes EBITDA, Adjusted EBITDA and non-GAAP earnings per share are useful to investors in evaluating the Company’s financial performance. The Company uses these measures internally to establish forecasts, budgets and operational goals to manage and monitor its business, as well as evaluate its underlying historical performance and to measure incentive compensation, as we believe that these non-GAAP financial measures depict the true performance of the business by encompassing only relevant and controllable events, enabling the Company to evaluate and plan more effectively for the future. In addition, the Company’s debt agreements contain covenants that use a variation of these measures for purposes of determining debt covenant compliance. The Company believes that investors should have access to the same set of tools that its management uses in analyzing operating results. EBITDA, Adjusted EBITDA and non-GAAP earnings per share should not be considered as measures of financial performance under U.S. GAAP, and the items excluded from EBITDA, Adjusted EBITDA and non-GAAP earnings per share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liquidity, and may be different from similarly titled non-GAAP measures used by other companies.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unaudited table presents the reconciliation of net income to EBITDA and Adjusted EBITDA for the periods indicated:</w:t>
      </w:r>
    </w:p>
    <w:tbl>
      <w:tblPr>
        <w:tblW w:w="8535" w:type="dxa"/>
        <w:jc w:val="left"/>
        <w:tblInd w:w="0" w:type="dxa"/>
        <w:tblLayout w:type="fixed"/>
        <w:tblCellMar>
          <w:top w:w="28" w:type="dxa"/>
          <w:left w:w="28" w:type="dxa"/>
          <w:bottom w:w="28" w:type="dxa"/>
          <w:right w:w="28" w:type="dxa"/>
        </w:tblCellMar>
      </w:tblPr>
      <w:tblGrid>
        <w:gridCol w:w="1095"/>
        <w:gridCol w:w="959"/>
        <w:gridCol w:w="975"/>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826"/>
        <w:gridCol w:w="154"/>
      </w:tblGrid>
      <w:tr>
        <w:trPr/>
        <w:tc>
          <w:tcPr>
            <w:tcW w:w="109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(less):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(1)</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adjustments, net (2)</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(1)Includes amortization of deferred financing cost for the three and six months ended June 30, 2023 and 2022, respectively.</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i/>
          <w:color w:val="000000"/>
          <w:sz w:val="20"/>
        </w:rPr>
        <w:t>Includes the changes in fair value of warrant liability, derivative liabilities and earnout consideration liability for the three and six months ended June 30, 2023 and 2022,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unaudited table presents the non-GAAP earnings per share and reconciliation of GAAP net income to non-GAAP adjusted net income for the periods indicated:</w:t>
      </w:r>
    </w:p>
    <w:p>
      <w:pPr>
        <w:pStyle w:val="TextBody"/>
        <w:bidi w:val="0"/>
        <w:spacing w:before="0" w:after="0"/>
        <w:jc w:val="left"/>
        <w:rPr/>
      </w:pPr>
      <w:r>
        <w:rPr/>
      </w:r>
    </w:p>
    <w:tbl>
      <w:tblPr>
        <w:tblW w:w="9391" w:type="dxa"/>
        <w:jc w:val="left"/>
        <w:tblInd w:w="0" w:type="dxa"/>
        <w:tblLayout w:type="fixed"/>
        <w:tblCellMar>
          <w:top w:w="28" w:type="dxa"/>
          <w:left w:w="28" w:type="dxa"/>
          <w:bottom w:w="28" w:type="dxa"/>
          <w:right w:w="28" w:type="dxa"/>
        </w:tblCellMar>
      </w:tblPr>
      <w:tblGrid>
        <w:gridCol w:w="1442"/>
        <w:gridCol w:w="1269"/>
        <w:gridCol w:w="1279"/>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0"/>
              </w:rPr>
              <w:t>Add (less): provision (benefit) for income taxes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(1)</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before adjustments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add: mark-to-market adjustments (2)</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stock-based compensation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used in</w:t>
              <w:br/>
              <w:t>   computing net income per share, basic:</w:t>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and Class B common shares (3)</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used in</w:t>
              <w:br/>
              <w:t>   computing net income per share, diluted:</w:t>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(Public and Private) (4)</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awards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outstanding used in</w:t>
              <w:br/>
              <w:t>   computing net income per share - diluted</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share -basic</w:t>
            </w:r>
          </w:p>
        </w:tc>
        <w:tc>
          <w:tcPr>
            <w:tcW w:w="23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share -diluted</w:t>
            </w:r>
          </w:p>
        </w:tc>
        <w:tc>
          <w:tcPr>
            <w:tcW w:w="23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1) Calculated using the Company's blended tax rate.</w:t>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2) Includes the changes in fair value of warrant liability and earnout consideration liability.</w:t>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 xml:space="preserve">3) Assumes both Class A shares and Class B shares participate in earnings and are outstanding at the end of the period. </w:t>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4) Assumes treasury stock method, valuation at assumed fair market value of $18.00.</w:t>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5) The Company did not include the effect of Exchangeable Notes to its total shares outstanding used in diluted adjusted net income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Critical accounting policies are detailed in the Company’s Annual Report on Form 10-K for the year ended December 31, 2022.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Reference is made to Note 2 of Notes to Financial Statements - unaudited in Item 1, “Financial Statements,” for information concerning recent accounting pronouncements since the filing of the Company’s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primary sources of liquidity are its existing cash and cash equivalents balances, cash flows from operations and borrowings on its term loan, revolving credit facility and Exchangeable Notes. The Company’s primary cash requirements include operating expenses, debt service payments (principal and interest), and capital expenditures (including property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cash and cash equivalents of $22.6 million and debt principal outstanding of $358.1 million. As of December 31, 2022, the Company had cash and cash equivalents of $13.6 million and total debt principal outstanding of $363.1 million.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cash flows from its operations and available cash and cash equivalents are sufficient to meet its liquidity needs, including the repayment of its outstanding debt, for at least the next 12 months from the date of filing of this Form 10-Q. The Company anticipates that to the extent that it requires additional liquidity, it will be funded through borrowings on its revolving credit facility, the incurrence of other indebtedness, or a combination thereof and offering of its shares in capital markets. The Company cannot be assured that it will be able to obtain this additional liquidity on reasonable terms, or at all. Additionally, the Company’s liquidity and its ability to meet its obligations and fund its capital requirements are also dependent on its future financial performance, which is subject to general economic, financial and other factors that are beyond its control. Accordingly, the Company cannot be assured that its business will generate sufficient cash flows from operations or that future borrowings will be available from additional indebtedness or otherwise to meet its liquidity needs. Although the Company has no specific current plans to do so, if the Company decides to pursue one or more significant acquisitions, the Company may incur additional debt to finance such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there was $228.1 million of total debt outstanding under the Company’s existing credit facilities (the “2021 Credit Facility”). The 2021 Credit Facility comprised a term loan of $250.0 million as well as a $60.0 million revolving loan facility, of which $60.0 million was available for borrowing as of June 30, 2023. Additional amounts may be available for borrowing during the term of the revolving loan, up to the remaining full $60.0 million, as long as the Company maintains a net leverage ratio as stipulated in the credit facility agreement. As of June 30, 2023, the Company’s net leverage ratio met the requirement for the available borrowing as defined in the terms of the credit facility agreement. The 2021 Credit Facility will mature on December 16, 2025.</w:t>
      </w:r>
    </w:p>
    <w:p>
      <w:pPr>
        <w:pStyle w:val="TextBody"/>
        <w:bidi w:val="0"/>
        <w:spacing w:lineRule="auto" w:line="288" w:before="12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2023, the Company amended the 2021 Credit Facility to, among other things, to transition from bearing interest based on LIBOR to SOFR or the Alternate Base Rate (as defined in the 2021 Credit Facility), at the election of the Company, plus an applicable margin, and to reflect the waiver of a technical default under the 2021 Credit Facility, related to the delayed delivery of a pledge of its interests in Holdings by the parent company (i.e., CompoSecure, Inc.). Holdings had already pledged all of its assets in favor of the lenders as per the terms of the debt agreement. After the amendment on February 28, 2023, the interest rate spreads and fees under the 2021 Credit Facility are based on a quoted SOFR plus a SOFR adjustment of 0.10% and an applicable margin ranging from 1.75% to 2.75% for the revolving and term loan Term Benchmark and RFR Spread debt (as each term is defined in the 2021 Credit Facility). The Company must also pay an annual commitment fee of 0.35% on the unused portion of the $60.0 million revolving loan commitment. As of June 30, 2023, the effective interest rate on the Company’s 2021 Credit Facility was 7.99%.</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further amended its 2021 Credit Facility in May 2023 and accounted for the amendment as a modification. Pursuant to the amendment, approximately $0.3 million of additional costs incurred in connection with the modification were capitalized as debt issuance costs. In connection with the amendment, two of the lenders in the original credit facility did not continue their participation in the credit facility. Accordingly, the debt issuance cost related to these two lenders were written off by the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2021 Credit Facility contains customary covenants, including among other things, certain restrictions or limitations on indebtedness, issuance of liens, investments, asset sales, certain mergers or consolidations, sales, transfers, leases or dispositions of substantially all of the Company’s assets, and affiliate transactions. The Company may also be required to make repayments on the 2021 Credit Facility in advance of the maturity date based on a calculation of excess cash flows, as defined in the agreement, with any required payments to be made after the issuance of the Company’s annual financial statements. The Company was in compliance with all covenants as of June 30, 2023. See Note 5 in Notes to Consolidated Financial Statements in this Form 10-Q.</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19, 2021, concurrently with the execution of the Merger Agreement, the Company and its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subsidiary, Holdings, in an aggregate principal amount of up to $130.0 million that are exchangeable into shares of Class A common stock at a conversion price of $11.50 per share, subject to the terms and conditions of an Indenture entered by the Company and its subsidiary, Holdings and the trustee under the Indenture. The Exchangeable Notes will bear interest at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rate of 7% per year, payable semiannually in arrears. The Exchangeable Notes will mature in five years on December 27, 2026, and be convertible into shares of Class A common stock at a conversion price of $11.50 per share. The Company will settle any exchange of the Exchangeable Notes in shares of Class A common stock, with cash payable in lieu of any fractional shares. Additional interest may be payable as set forth in the Indenture. See Note 5 in Notes to Consolidated Financial Statements in this Form 10-Q.</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Net Cash Provided by Operations</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the Company’s operating activities for the six months ended June 30, 2023 was $53.0 million compared to cash provided by operating activities of $51.4 million during the six months ended June 30, 2022. The increase in cash provided by operating activities of $1.6 million was primarily attributable to net income of $43.4 million, the unfavorable mark to market fair value net changes of $4.3 million, equity compensation expense of $8.4 million, depreciation and amortization expense of $4.2 million, and amortization of deferred financing costs of $0.7 million. This was partially offset by changes in working capital of $6.2 million and deferred tax benefit of $1.7 million.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Investing Activities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the Company’s investing activities for the six months ended June 30, 2023 was $5.7 million, primarily relating to capital expenditures, compared to cash used in investing activities for the six months ended June 30 , 2022 of $3.5 million.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Financing Activities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the Company’s financing activities for the six months ended June 30, 2023 was $38.3 million compared to cash used in the Company's financing activities for the six months ended June 30, 2022 of $56.4 million. Cash used in financing activities for the six months ended June 30, 2023 primarily related to distributions to non-controlling interest holders of $29.0 million, repayment of scheduled principal payments of term loan of $5.0 million, payment of $2.2 million related to the tax receivable liability and payments for taxes related to net share settlement of equity awards of $2.5 million. This was partially offset by proceeds of $0.4 million pursuant to the exercise of equity awards and issuance of shares for ESPP transactions. Cash used in financing activities for the six months ended June 30, 2022, primarily related to payment of issuance costs related to the Business Combination, repayment of scheduled term loan principal payments and distributions to non-controlling interest, partially offset by cash drawn under the 2021 Credit Facility of $10.0 million.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minimum contractual obligations related to our material outstanding contractual commitments is included in Notes 7, 8 and 16 of our Annual report on Form 10-K for the year ended December 31, 2022 as filed with the SEC. Our long-term contractual obligations include commitments and estimated purchase obligations entered into in the normal course of business. As of June 30, 2023, the Company had inventory-related purchase commitments totaling approximately $41.1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Financing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the 2021 Credit Facility with various banks and has issued Exchangeable Notes to certain holders. For a more complete description of the Company's debt obligations, see Note 5 of Notes to Consolidated Financial Statements in the Consolidated Financial Statements of the Company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Disclosures About Market Risk</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existing cash balances and cash provided by operating activities, the Company uses variable rate debt to finance its operations. The Company is exposed to interest rate risk on these debt obligations and a related interest rate swap agreement. As of June 30, 2023, CompoSecure had $228.1 million in debt outstanding under the 2021 Credit Facility, all of which was variable rate debt, and $130.0 million in long-term debt principal outstanding from the issuance of Exchangeable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a sensitivity analysis based on the principal amount of debt outstanding as of June 30, 2023, as well as the effect of its interest rate swap agreement. In this sensitivity analysis, the change in interest rates is assumed to be applicable for an entire year. An increase or decrease of 100 basis points in the applicable interest rate would cause an increase or decrease in interest expense of approximately $4.0 million on an annual basis.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11, 2022, CompoSecure entered into an interest rate swap agreement to hedge forecasted interest rate payments on its variable rate debt. As of June 30, 2023, the Company had the following interest rate swap agreements (in thousands):</w:t>
      </w:r>
    </w:p>
    <w:tbl>
      <w:tblPr>
        <w:tblW w:w="7257" w:type="dxa"/>
        <w:jc w:val="left"/>
        <w:tblInd w:w="0" w:type="dxa"/>
        <w:tblLayout w:type="fixed"/>
        <w:tblCellMar>
          <w:top w:w="28" w:type="dxa"/>
          <w:left w:w="28" w:type="dxa"/>
          <w:bottom w:w="28" w:type="dxa"/>
          <w:right w:w="28" w:type="dxa"/>
        </w:tblCellMar>
      </w:tblPr>
      <w:tblGrid>
        <w:gridCol w:w="1410"/>
        <w:gridCol w:w="1240"/>
        <w:gridCol w:w="1249"/>
        <w:gridCol w:w="109"/>
        <w:gridCol w:w="109"/>
        <w:gridCol w:w="109"/>
        <w:gridCol w:w="287"/>
        <w:gridCol w:w="1125"/>
        <w:gridCol w:w="148"/>
        <w:gridCol w:w="109"/>
        <w:gridCol w:w="109"/>
        <w:gridCol w:w="109"/>
        <w:gridCol w:w="255"/>
        <w:gridCol w:w="256"/>
        <w:gridCol w:w="633"/>
      </w:tblGrid>
      <w:tr>
        <w:trPr/>
        <w:tc>
          <w:tcPr>
            <w:tcW w:w="14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Effective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Fixed Rate</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5, 2022 through December 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6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5, 2023 through December 22,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633"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interest rate swap agreement, the Company receives payments based on the greater of 1-month SOFR rate, as amended in February 2023, or a minimum of 1.00%. On February 28, 2023, the Company amended the 2021 Credit Facility to, among other things, transition from bearing interest based on LIBOR to SOFR or the Alternate Base Rate (as defined in the 2021 Credit Facility), at the election of the Company, plus an applicable margin. The existing swap converted to SOFR from LIBOR at the same time as the 2021 Credit Facility.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designated the interest rate swap as a cash flow hedge for accounting purposes that was determined to be effective. The Company determined the fair value of the interest rate swap to be zero at the inception of the agreement and $8.3 million at June 30, 2023. The Company reflects the realized gains and losses of the actual monthly settlement activity of the interest rate swap in its consolidated statements of operations. The Company reflects the unrealized changes in fair value of the interest rate swap at each reporting period in other comprehensive income and a derivative asset or liability is recognized at each reporting period in the Company’s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designed our disclosure controls and procedures, as such term is defined in Rules 13a-15(e) and 15d-15(e) under the Exchange Act to provide reasonable assurance that information required to be disclosed by us in reports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of and with the participation of our management, including our principal executive officer and principal financial officer, we conducted an evaluation of our disclosure controls and procedures as of June 30, 2023. Based on this evaluation, our principal executive officer and our principal financial officer concluded that our disclosure controls and procedures as of June 30, 2023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quarter ended June 30, 2023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August 14, 2023, the Company was not a party to, nor were any of its properties the subject of, any material pending legal proceedings, other than ordinary routine claims incidental to the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Summary of Risk Factors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securities involves substantial risk. The occurrence of one or more of the events or circumstances described in the section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COVID-19 pandemic and the measures implemented to contain the spread of the virus have had a negative impact on our business and result of operations and, if continued, could be amplified and have a material adverse effect on our business, financial condition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sustain our revenue growth rate in the future.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retain existing customers or identify and attract new customers could adversely affect our business, financial condition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Data and security breaches could compromise our systems and confidential information, cause reputational and financial damage, and increase risks of litigation, which could adversely affect our business, financial condition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System outages, data loss or other interruptions affecting our operations could adversely affect our business and reputation.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at our primary production facility may adversely affect our business, results of operations and/or financial condition.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recruit, retain and develop qualified personnel, including for areas of newer specialized technology which could adversely affect our ability to grow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growth may depend upon our ability to develop, introduce and commercialize new products, which can be a lengthy and complex process. If we are unable to introduce new products and services in a timely manner, our business could be materially adversely affected.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disruption in our operations or supply chain or the performance of our suppliers and/or development partners could adversely affect our business and financial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limited experience in the digital assets industry and may not succeed in fully commercializing the products and solutions derived from the Arculus Platform.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Digital asset wallet storage systems, such as the Arculus Cold Storage Wallet, are subject to risks related to a loss of funds due to theft of digital assets, security and cybersecurity risks, system failures and other operational issues, which could cause damage to our reputation and brand.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changes or actions may restrict the use of the Arculus Cold Storage Wallet or digital assets in a manner that adversely affects our business, prospects or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Production quality and manufacturing process disruptions could adversely affect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dependent on certain distribution partners for distribution of our products and services. A loss of distribution partners could adversely affect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face competition that may result in a loss of our market share and/or a decline in profitability.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our Indebtedness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a substantial amount of indebtedness, which may limit our operating flexibility and could adversely affect our business, financial condition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Upon the occurrence of an event of default relating to the Company's credit facility, the lenders could elect to accelerate payments due and terminate all commitments to extend further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debt outstanding under the Company's existing credit facility has a variable rate of interest that is currently based on LIBOR and will be converting to the Secured Overnight Financing Rate (“SOFR”) prior to the sunset deadline of June 30, 2023. These rates may have consequences that cannot be reasonably predicted and may increase the Company's cost of borrowing in the future.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the ownership of our Securities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only significant asset is our ownership of CompoSecure Holdings, L.L.C. ("Holdings"). If the business of Holdings is not profitably operated, we may be unable to pay us dividends or make distributions to enable us to pay any dividends on our common stock or satisfy our other financial obligations.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Provisions in our charter and Delaware law may inhibit a takeover of us, which could limit the price investors might be willing to pay in the future for our common stock and could entrench management.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As an “emerging growth company,” we cannot be certain if the reduced disclosure requirements applicable to “emerging growth companies” will make our common stock less attractive to investors.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our performance does not meet market expectations, the price of our securities may decline.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Warrants may never be in the money, and they may expire worthless. 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report, 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report,</w:t>
      </w:r>
      <w:r>
        <w:rPr>
          <w:color w:val="000000"/>
        </w:rPr>
        <w:t xml:space="preserve"> </w:t>
      </w:r>
      <w:r>
        <w:rPr>
          <w:rFonts w:ascii="Times New Roman;sans-serif" w:hAnsi="Times New Roman;sans-serif"/>
          <w:b w:val="false"/>
          <w:i/>
          <w:color w:val="000000"/>
          <w:sz w:val="20"/>
        </w:rPr>
        <w:t>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Rapidly evolving domestic and global economic conditions are beyond our control and could materially adversely affect our business, operations, and results of operations.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 and international markets and, in particular, the rapidly evolving digital assets industry, are experiencing uncertain and volatile economic conditions, including from the impacts of the COVID-19 pandemic, Russian aggression in Ukraine, sustained inflation, threats or concerns of recession, and supply chain disruptions. These conditions make it extremely difficult for us and our suppliers to accurately forecast and plan future business activities. Further, recent bank liquidity and financial stability concerns could adversely affect the banks in which we hold our cash and cash equivalents, which may subject our working capital to a risk of loss or to a delay in accessibility, or could result in broader bank regulatory changes that may cause financial institutions to change their lending behavior in a manner that could be adverse to us.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particularly for our new Arculus business. If these uncertain business, macroeconomic or political conditions continue or further decline, our business, financial condition and results of operations could be materially adversely affected.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The COVID-19 pandemic and the measures implemented to contain the spread of the virus have had a negative impact on our business and result of operations and, if continued, could be amplified and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Global health concerns relating to the COVID-19 pandemic and related government actions taken to reduce the spread of the virus have affected the macroeconomic environment, significantly increased economic uncertainty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reduced economic activity. The pandemic has also led to governmental authorities implementing numerous measures to try to contain the virus, including travel bans and restrictions, quarantines, shelter-in-place orders, and business limitations and shutdowns. These measures and the COVID-19 pandemic have caused economic and financial disruptions that have negatively impacted, and may continue to negatively impact, our business, results of operations and financial condition. The extent to which the pandemic will continue to negatively impact our business and results of operations will depend on numerous evolving factors and future developments that we are not able to predict, including the duration and severity of the pandemic; the nature, extent and effectiveness of containment measures; the extent and duration of the effect on our customers and suppliers, the economy, unemployment, consumer confidence and consumer and business spending; and how quickly and to what extent normal economic and operating conditions resume.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pandemic and containment measures have caused us to modify its operations, and we may take further actions that we determine to be in the best interests of its employees, customers and business partners. If we do not respond appropriately to the pandemic, or if customers or other stakeholders do not perceive our response to be adequate, we could suffer damage to our reputation and brand, which could materially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 COVID-19 pandemic is prolonged, it could amplify the negative impacts on our business and results of operations, and may also heighten many of the other risks described in this “Risk Factors” section. It is also possible that any adverse effects of the pandemic and containment measures may continue once the pandemic is controlled and the containment measures are lifted. We do not yet know, nor can we predict, the full extent of how COVID-19 and the containment measures will affect our business, results of operations and financial condition, or the global economy as a whole. However, the continuing effects could have a material adverse impact on our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sustain our revenue growth rate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continue to achieve sales growth in the future and you should not consider our recent sales growth as indicative of future performance. It is also possible that our growth rate may slow in future periods due to a number of factors, which may include slowing demand for our products, increased competition, decreasing growth of its overall market, or inability to engage and retain customers. If we are unable to maintain consistent sales or continue our sales growth, it may be difficult for us to maintain profitability.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Failure to retain existing customers or identify and attract new customers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two largest customers are American Express and JPMorgan Chase. Together, these customers represented approximately 67% and 72% of our net sales for the years ended December 31, 2022 and 2021. Our ability to meet our customers’ high-quality standards in a timely manner is critical to our business success. If we are unable to provide our products and services at high quality and in a timely manner, our customer relationships may be adversely affected, which could result in the loss of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maintain relationships with our customers or attract new customers may be impacted by several factors beyond our control, including more attractive product offerings from our competitors, widespread industry disruptions such as recent disruptions in the digital assets industry, pricing pressures or the financial health of these customers, many of whom operate in competitive businesses and depend on favorable macroeconomic conditions. In addition, we may also be limited in the products we can offer and the pricing we can receive for such products due to restrictions present in certain of our customer contracts, which may negatively impact our ability to retain existing customers or attract new customers. If we experience difficulty retaining customers and attracting new customers, our business, financial condition and results of operations may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Data and security breaches could compromise our systems and confidential information, cause reputational and financial damage, and increase risks of litigation, which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technology (“IT”) infrastructure’s ability to reliably and securely protect the sensitive confidential information of our customers, which include large financial institutions, is critical to our business. Security breaches have become more common across many industries. Cyber incidents have been increasing in sophistication and can include third parties gaining access to employee or customer data using stolen or inferred credentials, computer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malware, viruses, spamming, phishing attacks, ransomware, card skimming code, and other deliberate attacks and attempts to gain unauthorized access. The occurrence of these types of incidents in our computer networks, databases or facilities could lead to the inappropriate use or disclosure of personal information, including sensitive personal information of customers and employees, which could harm our business and reputation, adversely affect consumers’ confidence in our business and products, result in inquiries and fines or penalties from regulatory or governmental authorities, cause a loss of customers, pose increased risks of lawsuits and subject us to potential financial losses.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it is possible that unauthorized access to sensitive customer and business data may be obtained through inadequate use of security controls by our customers, suppliers or other vendors.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administrative, technical, and physical security measures in place, and we have policies and procedures in place to both evaluate the security protocols and practices of our vendors and to contractually require service providers to whom we disclose data to implement and maintain reasonable privacy and security measures. However, although cybersecurity remains a high priority, our activities and investment may not sufficiently protect our system or network against cyber threats, nor sufficiently prevent or limit the damage from any future security breaches. As these threats continue to evolve, we may be required to expend significant capital and other resources to protect against these security breaches or to alleviate problems caused by these breaches, including costs to deploy additional personnel and protection technologies, train employees, and engage third-party experts and consultants, which could materially and adversely affect our business, financial condition and results of operations. Although we maintain cyber liability insurance, we cannot be certain that our coverage will be adequate for liabilities actually incurred or that insurance will continue to be available to us on economically reasonable terms, or at all. Furthermore, any material breach of our security systems could harm our competitive position, result in a loss of customer trust and confidence, and cause us to incur significant costs to mitigate or remedy any damage resulting from system or network disruptions, whether caused by cyberattacks, security breaches or otherwise, which could ultimately adversely affect our business, financial condition and results of operations.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System outages, data loss or other interruptions affecting our operations could adversely affect our business and reputation.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to efficiently execute and operate business functions and systems without interruption is critical to our business. A significant portion of the communication between our employees, customers, and suppliers rely upon our integrated and complex IT systems. We depend on the reliability of our IT infrastructure and software, and our ability to expand and innovate our technologies and technological processes in response to changing needs. A system outage or data loss or interruption could cause damage to our brand and reputation. Such operational interruptions could also cause us to become liable to third parties, including our customers. We must be able to protect our processing and other systems from interruption to successfully operate our business. In an effort to do so, we have taken preventative actions and adopted protective procedures to ensure the continuation of core business operations in the event that normal operations could not be performed because of events outside of our control. These actions and procedures taken and adopted by us may, however, insufficiently prevent or limit the damage from future disruptions, if any, and any such disruptions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Disruptions at our primary production facility may adversely affect our business, results of operations and/or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manufacturing capacity is located at our primary production facility. Any serious disruption at such facility could impair our ability to manufacture enough products to meet customer demand, and could increase our costs and expenses and adversely affect our revenues. Our other facilities may not have the requisite equipment or sufficient capacity, may have higher costs and expenses, or may experience significant delays to adequately increase production to satisfactorily meet our customers’ expectations or requirements. Long-term production disruptions may cause our customers to modify their payment card programs to use plastic cards or to seek alternative supply of metal cards. Any such production interruptions or disruptions could adversely impact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government-imposed measures in response to the COVID-19 pandemic led us to temporarily limit operations at some of our facilities. As a result, our credit card production rate was negatively affected. The continuation of the COVID-19 pandemic and the containment measures instituted as a result thereof could amplify the negative impact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credit card production and, as a result,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growth may depend upon our ability to develop, introduce and commercialize new products, which can be a lengthy and complex process. If we are unable to introduce new products and services in a timely manner, our business could be materially adversely affected.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and services are subject to technological changes, frequent introductions of new products and services and evolving industry standards. The process for developing innovative or technologically enhanced products can deplete time, money and resources, and requires the ability to accurately forecast technological, market and industry trends. In order to achieve successful technical execution of new products, we may need to undertake time-consuming and expensive research and development activities, which could negatively impact the servicing of our existing customers. We may also experience difficult market conditions, such as the recent widespread disruptions in the digital asset industry, that could delay or prevent the successful research and development, marketing launches and consumer deployment of such newly designed products, whereby we could incur significant additional cost and expense. In addition, competitors may develop and commercialize competing products faster and more efficiently than we are able to do so, which could further negatively impact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and service offerings could be rendered obsolete if we are unable to develop and introduce innovative products in a cost-effective and timely manner. In particular, the rise in the adoption of wireless or mobile payment systems may make physical metal cards less attractive as a method of payment, which could result in less demand for these products. Although to date we have not witnessed a material reduction in card-based payments in the United States resulting from the emergence of wireless or mobile payment systems, such payment systems offer consumers an alternative method to make purchases without the need to carry a physical card by relaying on cellular telephones or other technological products to make payments. If these wireless or mobile payment systems are widely adopted, it could result in a reduction of the number of physical payment cards issued to consumers. Moreover, other developing or unforeseen technology solutions and products could render our existing products unpopular, irrelevant or obsolete altogether.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develop and deliver new products and services successfully will depend on various factors, including our ability to: effectively identify and capitalize upon opportunities in new and emerging product markets; invest resources in innovation and research and development; complete and introduce new products and integrated services solutions in a timely manner; license any required third-party technology or intellectual property rights; qualify for and obtain required industry certification for our products; and retain and hire talent experienced in developing new products and services. Our business and growth also depend in part on the success of our strategic relationships with third parties, including technology partners or other technology companies whose products are integrated with our products. Failure of any of these technology companies to maintain, support or secure their technology platforms in general, and our integrations in particular, or errors or defects in their technologies or products, could adversely affect our relationships with customers, damage our brand and reputation, and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enhance our existing products and to develop and introduce innovative new products that continue to meet the needs of our customers may affect our future success. We may experience difficulties that could delay or prevent the successful development, marketing or deployment of these products, or our newly enhanced services may not meet market demands or achieve market traction. Our potential failure to complete or gain market acceptance of new products, services and technologies could adversely affect our ability to retain existing customers or attract new ones.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A disruption in our operations or supply chain or the performance of our suppliers, liquidity partners and/or development partners could adversely affect our business and financial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company engaged in manufacturing and distribution, we are subject to the risks inherent in such activities, including disruptions or delays in supply chain or information technology, product quality control, as well as other external factors over which we have no control. Some of the key components used in the manufacture of our products are metals, NFC-enabled and EMV chips, which we source from several key suppliers. We obtain our components from multiple suppliers located in the United States and abroad, on a purchase order basis. Changes in the financial or business condition of our suppliers and/or development partners could subject us to losses or adversely affect our ability to bring products to market. Additionally, the failure of our suppliers and/or development partners to comply with applicable standards, perform as expected, and deliver goods and services in a timely manner in sufficient quantities could adversely affect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 levels and overall business. Any increases in the costs of goods and services for our business may also adversely affect our profit margins particularly if we are unable to achieve higher price increases or otherwise increase cost or operational efficiencies to offset the higher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partner with third-party partners to offer Arculus Cold Storage Wallet users the option to use fiat currency to purchase digital assets, and/or to swap one digital asset type for another type. If these third parties experience operational interference or disruptions, fail to perform their obligations and meet our expectations, experience a cybersecurity incident, fail to comply with applicable regulatory and/or licensing requirements which may evolve over time, or are subject to regulatory enforcement proceedings concerning their operations, the operations of the Arculus Cold Storage Wallet could be disrupted or otherwise adversely affected.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and related government measures in response to the pandemic negatively affected our suppliers, which in turn negatively affected our production and business. In addition, there is an increased demand for microchips worldwide in various industries and manufacturers of chips are experiencing shortages in supply, which could adversely effect our ability to obtain sufficient chips for our manufacturing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limited experience in the digital assets industry and we may not succeed in commercializing the Arculus Platform.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our business operations historically focused on the payment card industry, we are a new entrant into the digital assets industry. The Arculus Platform was commercially launched in the third quarter of 2021. It is possible that consumers of digital asset products and solutions may not be willing to purchase or use Arculus products, and we may not be able to establish partnerships with our existing and/or new customers to drive partner-branded versions of the Arculus Business Solutions. If we are unable to successfully establish sufficient consumer sales, commercial partnerships and/or business-to- business sales channels, that would likely have a material adverse effect on our business, financial condition and results of operations. If the products and solutions derived from the Arculus Platform fail to gain market acceptance, or otherwise fail to be as successful as we expect, our ability to achieve currently-forecasted performance could be significantly impaired.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Digital asset storage systems, such as the Arculus Cold Storage Wallet, are subject to potential illegal misuse, risks related to a loss of funds due to theft of digital assets, security and cybersecurity risks, system failures and other operational issues, which could cause damage to our reputation and brand.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Digital assets have the potential to be used for financial crimes or other illegal activities. Even if we comply with all laws and regulations, we have no ability to ensure that our customers, partners or others to whom we license or sell our products and services comply with all laws and regulations applicable to them and their transactions. Any negative publicity we receive regarding any allegations of unlawful uses of the Arculus Cold Storage Wallet could damage our reputation and such damage could be material and adverse, including to aspects of our business that are unrelated to the Arculus Platform. More generally, any negative publicity regarding unlawful uses of digital assets in the marketplace could materially reduce the demand for our products and solutions derived from the Arculus Platform.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Arculus Cold Storage Wallet uses an architecture where the private keys needed to access digital assets are stored outside of the Internet. Through the use of the Arculus Cold Storage Wallet, our three-factor authentication technology may be able to increase the safety of users’ assets during storage, as compared to storing such digital assets in a hot storage wallet, which is constantly connected to the internet. Further, digital assets are controllable only by the possessor of both the unique public and private keys relating to the local or online digital wallet in which they are held, which wallet’s public key or address is reflected in the public network. There is no guarantee that these security measures or any that we may develop in the future will be effective. Notwithstanding the increased security of the Arculus Cold Storage Wallet as compared to a hot storage wallet system, any loss of private keys, or hack or other compromise or failure of, the Arculus Cold Storage Wallet and its security features could materially and adversely affect our customers’ ability to access or sell their digital assets and could cause significant reputational harm to our Arculus Cold Storage Wallet business, which could have a material adverse effect on our business, financial condition and results of operations.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Regulatory changes or actions may restrict the use of the Arculus Cold Storage Wallet or digital assets in a manner that adversely affects our business, prospects or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Regulatory uncertainty surrounding the digital asset environment, and the regulatory classification of such digital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digital assets have grown in both popularity and market size, governments around the world have reacted differently to digital assets, with certain governments deeming them illegal and others allowing their use and trade under certain circumstances. Currently, there is no uniformly applicable legal or regulatory regime governing digital assets in most jurisdictions. Regulatory authorities, including the U.S. government may impose new or additional licensing, registration or other compliance requirements on participants in the digital asset industry. Ongoing and future regulatory actions may impact our ability to develop and offer products involving the use of digital assets, including the Arculus Cold Storage Wallet, or may impose additional costs, which may be material, on us in connection with such products, and such impact may be material and adverse. For example, the Commodities Futures Trading Commission (“CFTC”), in a 2019 letter, made clear its view that digital assets generally are commodities, and as such, even spot trades in digital assets generally are subject to the CFTC’s antifraud authority. Nevertheless, digital assets that are commodities also may be deemed by the Securities and Exchange Commission (“SEC”) to constitute securities, or may have been offered or sold in transactions that the SEC deems to be investment contracts and, therefore, securities. In the U.S., regulators, courts and lawmakers alike are grappling with these questions, and the legal landscape remains uncertain.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key members of the SEC staff have stated that the digital asset with the largest market capitalization, bitcoin (“BTC”), the native digital asset of the bitcoin blockchain, is not a security, there has been no definitive determination by the SEC or a court concerning whether the digital asset with the second largest market capitalization, ether (“ETH”), the native digital asset of the ethereum blockchain, constitutes a security or was offered or sold pursuant to investment contracts. Notably, however, in March 2023, the New York State Attorney General’s Office (“NYAG”) filed a lawsuit against crypto trading platform KuCoin for “failing to register as a securities and commodities broker-dealer and falsely representing itself as an exchange. In its complaint, the NYAG alleged that the ETH traded on the KuCoin platform constituted a security. Additionally, derivatives relating to these digital assets, digital assets that represent certain derivatives, and certain leveraged, financed and margined transactions in digital assets, may be subject to substantive regulation by the CFTC and/or SEC, in addition to certain state and non-U.S. regulators.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The SEC staff have asserted, however, that certain other digital assets, such as XRP, are securities and, therefore, subject to the SEC’s jurisdiction. While a court (in the case of SEC v. Ripple involving the XRP digital asset) recently made certain rulings as a matter of law, it did not resolve the legal uncertainty concerning the U.S. securities law treatment of digital assets. Among other things, the ruling was limited to questions involving primary sales, and not secondary sales, of XRP.</w:t>
      </w:r>
      <w:r>
        <w:rPr>
          <w:color w:val="000000"/>
        </w:rPr>
        <w:t xml:space="preserve"> </w:t>
      </w:r>
      <w:r>
        <w:rPr>
          <w:rFonts w:ascii="Times New Roman;sans-serif" w:hAnsi="Times New Roman;sans-serif"/>
          <w:b w:val="false"/>
          <w:color w:val="000000"/>
          <w:sz w:val="20"/>
        </w:rPr>
        <w:t xml:space="preserve">In addition, the ruling was the decision of a single U.S. federal district court and other courts, whether in the same district or in another jurisdiction, are not required to follow such decision. In addition, the court's ruling in the Ripple care was limited to questions involving primary sales, and not secondary sales, of XRP. The SEC still may appeal the ruling in the Ripple case, in which case a final determination could take years. </w:t>
      </w:r>
    </w:p>
    <w:p>
      <w:pPr>
        <w:pStyle w:val="TextBody"/>
        <w:bidi w:val="0"/>
        <w:spacing w:before="0" w:after="0"/>
        <w:ind w:left="0" w:right="0" w:firstLine="792"/>
        <w:jc w:val="left"/>
        <w:rPr/>
      </w:pPr>
      <w:r>
        <w:rPr/>
      </w:r>
    </w:p>
    <w:p>
      <w:pPr>
        <w:pStyle w:val="TextBody"/>
        <w:bidi w:val="0"/>
        <w:spacing w:lineRule="auto" w:line="247" w:before="0" w:after="0"/>
        <w:ind w:left="0" w:right="0" w:firstLine="792"/>
        <w:jc w:val="left"/>
        <w:rPr/>
      </w:pPr>
      <w:r>
        <w:rPr>
          <w:rFonts w:ascii="Times New Roman;sans-serif" w:hAnsi="Times New Roman;sans-serif"/>
          <w:b w:val="false"/>
          <w:color w:val="000000"/>
          <w:sz w:val="20"/>
        </w:rPr>
        <w:t>In addition to enforcement actions against digital asset issuers, the SEC recently also has initiated lawsuits against multiple digital asset trading platforms (including Coinbase and Binance), alleging, among other things, that such platforms operate as unregistered exchanges with respect to alleged digital asset securities. It is unclear how the courts in these cases will rule, and the related litigation could be ongoing for years.</w:t>
      </w:r>
      <w:r>
        <w:rPr>
          <w:color w:val="000000"/>
        </w:rPr>
        <w:t xml:space="preserve"> </w:t>
      </w:r>
      <w:r>
        <w:rPr>
          <w:rFonts w:ascii="Times New Roman;sans-serif" w:hAnsi="Times New Roman;sans-serif"/>
          <w:b w:val="false"/>
          <w:color w:val="000000"/>
          <w:sz w:val="20"/>
        </w:rPr>
        <w:t>In addition, other high-profile regulatory enforcement actions, including against FTX and certain of its principals, remain ongoing.</w:t>
      </w:r>
    </w:p>
    <w:p>
      <w:pPr>
        <w:pStyle w:val="TextBody"/>
        <w:bidi w:val="0"/>
        <w:spacing w:before="0" w:after="0"/>
        <w:ind w:left="0" w:right="0" w:firstLine="792"/>
        <w:jc w:val="left"/>
        <w:rPr/>
      </w:pPr>
      <w:r>
        <w:rPr/>
      </w:r>
    </w:p>
    <w:p>
      <w:pPr>
        <w:pStyle w:val="TextBody"/>
        <w:bidi w:val="0"/>
        <w:spacing w:lineRule="auto" w:line="247" w:before="0" w:after="0"/>
        <w:ind w:left="0" w:right="0" w:firstLine="792"/>
        <w:jc w:val="left"/>
        <w:rPr/>
      </w:pPr>
      <w:r>
        <w:rPr>
          <w:rFonts w:ascii="Times New Roman;sans-serif" w:hAnsi="Times New Roman;sans-serif"/>
          <w:b w:val="false"/>
          <w:color w:val="000000"/>
          <w:sz w:val="20"/>
        </w:rPr>
        <w:t>In addition to the U.S. regulatory questions before the courts, multiple Congressional digital asset-related bills have been published, including two which focus on digital asset market structure. Both bills describe joint oversight by the SEC and CFTC over the digital assets markets and focus on market structure.</w:t>
      </w:r>
      <w:r>
        <w:rPr>
          <w:color w:val="000000"/>
        </w:rPr>
        <w:t xml:space="preserve"> </w:t>
      </w:r>
      <w:r>
        <w:rPr>
          <w:rFonts w:ascii="Times New Roman;sans-serif" w:hAnsi="Times New Roman;sans-serif"/>
          <w:b w:val="false"/>
          <w:color w:val="000000"/>
          <w:sz w:val="20"/>
        </w:rPr>
        <w:t>At this time, it is unclear whether either bill ultimately will become law. More broadly, it is unclear whether any other digital asset-related bill that has been introduced will become law this term or in the future.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sum, these U.S. regulators, and various U.S. state and non-U.S. regulators, are still developing their frameworks for regulating digital assets. We support purchase and swap transactions in the Arculus Cold Storage Wallet for certain digital assets. If any such digital assets are subsequently determined to be securities or transactions in such digital securities are found to be constitute offers or sales of securities, it is possible that we could be viewed as inadvertently acting without required registration or licensing, whether as an unlicensed broker-dealer or otherwise, which could subject us to, among other things, regulatory enforcement actions, censure, monetary fines, restrictions on the conduct of the Arculus business operations and/or rescission or other 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determination of whether a particular digital asset is a “security” or whether a transaction in such digital asset is an offer or sale of a security, as well as other regulatory or tax treatment of digital assets, in any relevant jurisdiction is subject to a high degree of uncertainty and potential inconsistency across regulatory regimes. If we are unable to properly characterize a digital asset or a transaction in such digital asset or assess our tax or other regulatory treatment, we may be subject to regulatory scrutiny, investigations, fines, and other penalties, which may adversely affect our business, operating results, and financial condition.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determine whether a particular digital asset is a security, or whether transactions in that particular digital asset is an offer or sale of a security, prior to supporting purchase and swap transactions on the Arculus Cold Storage Wallet in such digital asset, we rely upon legal and regulatory analysis of legal counsel with expertise in the digital asset industry. While the methodology we have used, and expect to continue to use, to determine if purchase and swap transactions in a digital asset will be supported in the Arculus Cold Storage Wallet is ultimately a risk-based assessment, it does not preclude legal or regulatory action based on the presence, or offer or sale, of a security.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Because the Arculus Cold Storage Wallet may facilitate purchase and swap transactions in digital assets, (whether or not such digital assets may be classified as securities, or transactions in such digital assets may be classified as offers or sales of securities)</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our business may be subject to additional risk because digital assets generally are subject to heightened regulatory scrutiny including under customer protection, anti-money laundering, counter terrorism financing and sanctions regulations. To the extent the Arculus Cold Storage Wallet supports purchase and swap transactions in any digital assets that are determined to be securities, or transactions that are determined to be offers or sales of securities, or we are deemed to have violated other regulatory requirements, whether under any of the laws of the U.S. or another jurisdiction and whether such determinations are made in a proceeding in a court of law or otherwise, it may have adverse consequences. To counter such risks, we may remove Arculus Cold Storage Wallet support for purchase and swap transactions in certain digital assets if and when such digital assets are determined to be securities or transactions in those digital assets are determined to be offers or sales of securities, or we otherwise determine that there is a material risk that such digital assets are likely to be deemed securities, all of which could hurt our business. Alternatively, we may be required to partner with third-party registered securities broker/dealers to facilitate trading by Arculus customers in certain digital assets, where such digital assets are determined to be securities or transactions in those digital assets are determined to be offers or sales of securities, and we may be unsuccessful in efforts to establish such a third-party partnership.</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do not currently intend to effect or otherwise facilitate trading in digital assets which are securities, or any transactions that are offers or sales of securities, by our Arculus customers through the use of our Arculus Cold Storage Wallet if such activities would require the use of a registered broker-dealer, investment adviser, or other similar registered or licensed party. Although we are establishing policies and procedures to ensure that our Arculus business activities do not result in us inadvertently transacting in or facilitating transactions in digital asset securities, to avoid acting as an unregistered broker-dealer, investment adviser, or another role which would require similar registration or licensing, there can be no assurance that such policies and procedures will be effective. If, for example, we were to be accused by a relevant regulatory agency as having inadvertently acted as an unregistered broker-dealer with respect to purchase and swap transactions in particular digital assets which are securities or transactions that constitute the offer or sale of securities, we would expect to immediately cease supporting purchase and swap transactions in those digital assets unless and until either (i) the digital asset at issue is determined by the SEC or a judicial ruling to not be a security or transactions in such digital asset are determined by the SEC or a judicial ruling not to constitute an offer or sale of a security, or (ii) our activities otherwise are determined by the SEC or a judicial ruling not to require registration as a broker-dealer, or (iii) we partner with a third-party registered broker-dealer or investment adviser, or (iv) we acquire a registered broker-dealer or investment adviser or register the Company as a securities broker-dealer or investment adviser, any or all of the foregoing we may elect not to do or may not be successful in doing. For any period of time during which we are found to have inadvertently acted as an unregistered broker-dealer, investment adviser, or another role that would require similar licensing or registration, we could be subject to, among other things, regulatory enforcement actions, monetary fines, censure, restrictions on the conduct of our Arculus business operations and/or rescission or other 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do not believe the storage and peer-to-peer/send &amp; receive functionality provided by the Arculus Cold Storage Wallet</w:t>
      </w:r>
      <w:r>
        <w:rPr>
          <w:color w:val="000000"/>
        </w:rPr>
        <w:t xml:space="preserve"> </w:t>
      </w:r>
      <w:r>
        <w:rPr>
          <w:rFonts w:ascii="Times New Roman;sans-serif" w:hAnsi="Times New Roman;sans-serif"/>
          <w:b w:val="false"/>
          <w:color w:val="000000"/>
          <w:sz w:val="20"/>
        </w:rPr>
        <w:t>involves purchases, sales or other transactions effected by us (or any party other than the sender and the recipient). Further, we are not compensated for such user-directed activities. However, it is possible that regulators may determine that user-directed peer-to-peer transfers using the Arculus Cold Storage Wallet would require registration and compliance with broker-dealer and/or securities exchange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Regulatory Risks of Operating as an Unregistered Exchange or as Part of an Unregistered Exchange Mechanism</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Any venue that brings together purchasers and sellers of digital assets in the United States ,where such digital assets are securities or transactions in those digital assets constitute offers or sales of securities, generally is subject to registration as a national securities exchange, or must qualify for an exemption, such as by being operated by a registered broker-dealer as an alternative trading system (or ATS). To the extent that any venue accessed via the Arculus Cold Storage Wallet is not so registered (or appropriately exempt), we may be unable to permit continued support for purchase and swap transactions for certain digital assets if such digital assets are securities or transactions in such digital assets constitute offers or sales of securities.</w:t>
      </w:r>
      <w:r>
        <w:rPr>
          <w:color w:val="000000"/>
        </w:rPr>
        <w:t xml:space="preserve"> </w:t>
      </w:r>
      <w:r>
        <w:rPr>
          <w:rFonts w:ascii="Times New Roman;sans-serif" w:hAnsi="Times New Roman;sans-serif"/>
          <w:b w:val="false"/>
          <w:color w:val="000000"/>
          <w:sz w:val="20"/>
        </w:rPr>
        <w:t>In addition, if we are found to be operating an unregistered exchange or as part of an unregistered exchange mechanism, we could be subject to significant monetary penalties, censure or other actions that may have a material and adverse effect on us. While we do not believe that the Arculus Cold Storage Wallet, which facilitates purchase and swap transactions in certain digital assets, is itself a securities exchange or ATS or is part of an unregistered exchange mechanism, regulators may determine that this is the case, and we would then be required to register as a securities exchange or qualify and register as an ATS, either of which could cause us to discontinue our purchase and swap support for such digital assets or otherwise limit or modify Arculus Cold Storage Wallet functionality or access. Notably, in September 2022, the SEC proposed a rule change that would expand the definition of “exchange” and, in April, 2023, following the submission of numerous comment letters concerning the proposed rule change, the SEC reopened the release and comment period for such proposed amendment. In the reopening release, unlike the initial proposal, which did not discuss applicability to digital assets, the SEC expressly confirmed that such proposed rule was intended, among other things, to address transactions in digital assets, including so-called “DeFi” systems. While it is not yet clear whether or in what form such proposed rule change may be adopted, it is possible that a change to the definition of “exchange” could result in regulators determining that the Arculus Cold Storage Wallet is functioning as a securities exchange or ATS or is part of an unregistered exchange mechanism, in which case, the potential registration requirements, or cessation, limitation or other modifications contemplated above could become necessary or advisable. Any such discontinuation, limitation or other modification could negatively impact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inability to safeguard against misappropriation or infringement of our intellectual property may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patents, trade secrets and other intellectual property rights are critical to our business. Our ability to safeguard our proprietary product designs and production processes against misappropriation by third parties is necessary to maintain our competitive position within our industry. Therefore, we routinely enter into confidentiality agreements with our employees, consultants and strategic partners to limit access to, and distribution of, our proprietary information in an effort to safeguard our proprietary rights and trade secrets. However, such efforts may not adequately protect our intellectual property against infringement and misappropriation by unauthorized third parties. Such third parties could interfere with our relationships with customers if successful in attempts to misappropriate our proprietary information or copy our products designs, or portions thereof. Additionally, because some of our customers purchase products on a purchase order basis and not pursuant to a detailed written contract, where we do not have the benefit of written protections with respect to certain intellectual property terms beyond standard terms and conditions, we may be exposed to potential infringement of our intellectual property rights. Enforcing our intellectual property rights against unauthorized use may be expensive and cause us to incur significant costs, all of which could adversely affect our business, financial condition and results of operations. There is no assurance that our existing or future patents will not be challenged, invalidated or otherwise circumvented. The patents and intellectual property rights we obtain, including our intellectual property rights which are formally registered in the United States and abroad, may be insufficient to provide meaningful protection or commercial advantage. Moreover, we may have difficulty obtaining additional patents and other intellectual property protections in the future. Effective patent, trademark, service mark, copyright and trade secret protection may not be available in every country in which we provide our products or services. Any of the foregoing factors may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incur substantial costs because of litigation or other proceedings relating to patents and other intellectual property rights.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in our industry have commenced litigation to properly protect their intellectual property rights. Any proceedings or litigation that we initiate to enforce our intellectual property rights, or any intellectual property litigation asserted against us, could be costly and divert the attention of managerial and other personnel and further, could result in an adverse judgement or other determination that could preclude us from enforcing our intellectual property rights or offering some of our products to our customers. Royalty or other payments arising in settlements could negatively impact our profit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margins and financial results. If we are unable to successfully defend against claims that we have infringed the intellectual property rights of others, we may need to indemnify some customers and strategic partners related to allegations that our products infringe the intellectual property rights of others. Additionally, some of our customers, suppliers and licensors may not be obligated to indemnify us for the full costs and expenses of defending against infringement claims. We may also be required to defend against alleged infringement of the intellectual property rights of third parties because our products contain technologies properly sourced from suppliers or customers. We may be unable to determine in a timely manner or at all whether such intellectual property use infringes the rights of third parties. Any such litigation or other proceedings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Production quality and manufacturing process disruptions could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and our technological processes are highly complex, require specialized equipment to manufacture and are subject to strict tolerances and requirements. We could experience production disruptions due to machinery or technology failures, or as a result of external factors such as delays or quality control issues regarding materials provided by our suppliers. Utilities interruption or other factors beyond our control like natural disasters may also cause production disruptions. Such disruptions can reduce product yields and product quality, or interrupt or halt production altogether. As a result, we may be required to deliver products at a lower quality level in a less timely or cost-effective manner, rework or replace products, or may not be able to deliver products at all. Any such event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dependent on certain distribution partners for distribution of our products and services. A loss of distribution partners could adversely affect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small number of distribution partners currently deliver a significant percentage of our products and services to customers. We intend to continue devoting resources in support of our distribution partners, but there are no guarantees that these relationships will remain in place over the short-or long-term. In addition, we cannot be assured that any of these distribution partners will continue to generate current levels of customer demand. A loss of any of these distribution partners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face competition that may result in a loss of our market share and/or a decline in profitability.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industry is highly competitive and we expect it to remain highly competitive as competitors cut production costs, new product markets develop, and other competitors attempt to enter the markets in which we operate or new markets in which we may enter. Some of our existing competitors have more sales, greater marketing, more specialized manufacturing, and highly efficient distribution processes. We may also face competition from new competitors that may enter our industry or specific product market. Such current or new competitors may develop technologies, processes or products that are better suited to succeed in the marketplace as a result of enhanced features and functionality at lower costs, particularly as technological sophistication of such competitors and the size of the market increase. These factors could lower our average selling prices and reduce gross margins. If we cannot sufficiently reduce our production costs or develop innovative technologies or products, we may not be able to compete effective in our product markets and maintain market share, which could adversely affect our business, financial condition and results of operations.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long-lived assets represent a significant portion of our total assets, and their full value may never be realized.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long-lived assets recorded as of June 30, 2023 were $32.6 million, representing approximately 17% of our total assets, of which we have recorded plant, equipment and leasehold improvements of $24.2 million, as our operations require significant investments in machinery and equipment.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review other long-lived assets for impairment on an as-needed basis and when circumstances, alterations, or other events indicate that an asset group or carrying amount of an asset may not be recoverable. Examples of these other long-lived assets include intangible but identifiable assets and plant, equipment, and leasehold improvements. Such write-downs of long-lived assets may result from a drop in future expected cash flows and worsening performance, among other factors. If we must write-down long-lived assets, we record the appropriate charge, which may adversely affect our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failure to operate our business in compliance with the security standards of the payment card industry or other industry standards applicable to our customers, such as payment networks certification standards, could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customers issue their cards on the payment networks that are subject to the security standards of the payment card industry or other standards and criteria relating to product specifications and supplier facility physical and logical security that we must satisfy in order to be eligible to supply products and services to such customers. Our contractual arrangements with our customers may be terminated if we fail to comply with these standards and criteria.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make significant investments to our facilities in order to meet these industry standards, including investments required to satisfy changes adopted from time to time in industry standards. We may become ineligible to provide products and services to our customers if we are unable to continue to meet these standards. Many of the products we produce and services we provide are subject to certification with one or more of the payment networks. We may lose the ability to produce cards for or provide services to banks issuing credit or debit cards on the payment networks if we were to lose our certification from one or more of the payment networks or payment card industry certification for one or more of our facilities. If we are not able to produce cards for or provide services to any or all of the issuers issuing debit or credit cards on such payment networks, we could lose a substantial number of our customers, which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 consumers and businesses spend less, our business, operation outcomes, and financial state may be adversely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Companies that rely heavily on consumer and business spending are exposed to changing economic conditions and are impacted by changes in consumer confidence, consumer spending, discretionary income levels or consumer purchasing habits. A continuous decline in general economic conditions, particularly in the United States, or increases in interest rates, may reduce demand for our products, which could negatively impact our sales. An economic downturn could cause credit card issuers to switch card programs to plastic cards, seek lower-priced metal hybrid card suppliers, reduce credit limits, close accounts, and become more selective with respect to whom they issue credit cards. Such conditions and potential outcomes could adversely affect our financial performance, business,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Product liability and warranty claims and their associated costs may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nature of our products is highly complex. As a result, we cannot guarantee that defects will not occur from time to time. We may incur extensive costs as a result of these defects and any resulting claims. For example, product recalls, writing down defective inventory, replacing defective items, lost sales or profits, and third-party claims can all give rise to costs incurred by us. We may also face liability for judgments and/or damages in connection with product liability and warranty claims. Damage to our reputation could occur if defective products are sold into the marketplace, which could result in further lost sales and profits. To the extent that we rely on purchase orders to govern our commercial relationships with our customers, we may not have specifically negotiated the allocation of risk for product liability obligations. Instead, we typically rely on warranties and limitations of liability included in our standard forms of order acceptance, invoice and other contract documents with our customers. Similarly, we obtain products and services from suppliers, some of which also use purchase order documents which may include limitations on product liability obligations with respect to their products and services. As a result, we may bear all or a significant portion of any product liability obligations rather than transferring this risk to our customers. Our reputation would be harmed and there could be a material adverse effect on our business, financial condition and results of operations if any of these risks materialize.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tariffs and other restrictions on imported goods are imposed by the U.S. government, our revenue and operations may be materially and adversely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the raw materials used by us to manufacture our products are obtained, directly or indirectly, from companies located outside of the United States. Recently, tariffs have been imposed on imports from certain countries outside of the United States. As a result, further trade restrictions and/or tariffs may be forthcoming. Certain international trade agreements may also be at risk, as the current U.S. administration has voiced some opposition in respect thereof. These factors may stagnate the economy, impact relationships with and access to suppliers, and/or materially and adversely affect our business, financial condition and results of operations. These and future tariffs, as well as any other global trade developments, bring with them uncertainty. We cannot predict future changes to imports covered by tariffs or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countries will be included or excluded from such tariffs. The reactions of other countries and resulting actions on the United States and similarly situated companies could negatively impact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international sales subject us to additional risks that can adversely affect our business, operating results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each of 2022 and 2021, we derived 22% and 18% of our revenue from sales to customers located outside the U.S. Our ability to convince customers to expand their use of our products or renew their agreements with us are directly correlated to our direct engagement with such customers. To the extent that we are unable to engage with non-U.S. customers effectively, we may be unable to grow sales to international customers to the same degree we have experienced in the past.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international operations subject it to a variety of risks and challenges, including: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fluctuations in currency exchange rates and related effect on our operating results;</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general economic and geopolitical conditions in each country or region;</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the impact of Brexit; reduction in billings, foreign currency exchange rates, and trade with the EU;</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the effects of a widespread outbreak of an illness or disease, or any other public health crisis,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including the COVID-19 pandemic, in each country or region;</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economic uncertainty around the world; and</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 xml:space="preserve">compliance with U.S. laws and regulations imposed by other countries on foreign operations,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including the Foreign Corrupt Practices Act, the U.K. Bribery Act, import and export control laws,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tariffs, trade barriers, economic sanctions and other regulatory or contractual limitations on our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ability to sell our products in certain foreign markets, and the risks and costs of non-compliance.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in response to the rapidly developing conflict between Russia and Ukraine, the United States has imposed and may further impose, and other countries may additionally impose, broad sanctions or other restrictive actions against governmental and other entities in Russia. We presently produce metal credit cards for a distributor that distributes such cards for resale by a Russian-based bank. While the existing sanctions do not currently prohibit the production and sale of our metal credit cards to this customer, additional sanctions may be imposed in the future that could prevent us from selling to this customer or other customers in the affected regions. Additionally, further escalation of geopolitical tensions could have a broader impact that extends into other markets where we do business. Any of these risks could adversely affect our international sales, reduce our international revenues or increase our operating costs, adversely affecting our business, financial condition and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rely on licensing arrangements in production and other fields, and actions taken by any of our licensing partners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products integrate third-party technologies that we license or otherwise obtain the right to use. We have entered into licensing agreements that provide access to technology owned by third parties. The terms of our licensing arrangements vary. These different terms could have a negative impact on our performance to the extent new or existing licensees demand a greater proportion of royalty revenues under our licensing arrangements. Additionally, such third parties may not continue to renew their licenses with us on similar terms or at all, which could negatively impact our net sales. If we are unable to continue to successfully renew these agreements, we may lose our access to certain technologies relied upon to develop certain of our products. The loss of access to those technologies, if not replaced with internally-developed or other licensed technology, could have a material adverse effect on our business and result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adoption of new tax legislation could affect our financial performance.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and other taxes in the United States. Our effective tax rate in the future could be adversely affected by changes in tax laws. More generally, it is possible that U.S. federal income or other tax laws or the interpretation of tax laws will change. For example, the Biden Administration has proposed an increase in the U.S. corporate income tax rate and a minimum corporate tax based on book income. It is difficult to predict whether and when there will be tax law changes having a material adverse effect on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the Tax Receivable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only significant asset is our ownership interest in Holdings and such ownership may not be sufficient to pay dividends or make distributions or loans to enable us to pay any dividends on our Common Stock or satisfy our other financial obligations, including our obligations under the Tax Receivable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direct operations and no significant assets other than our ownership interest in Holdings. We will depend on Holdings for distributions, loans and other payments to generate the funds necessary to meet our financial obligations, including our expenses as a publicly traded company, to pay any dividends with respect to our Common Stock, and to satisfy our obligations under the Tax Receivable Agreement. The financial condition and operating requirements of Holdings may limit our ability to obtain cash from Holdings. The earnings from, or other available assets of, Holdings may not be sufficient to pay dividends or make distributions or loans to enable us to pay any dividends on our Common Stock or satisfy our other financial obligations, including our obligations under the Tax Receivable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required to pay certain Holders for most of the benefits relating to any additional tax depreciation or amortization deductions that we may claim.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with Roman DBDR Tech Acquisition Corp. ("Roman") completed in December 2021 (the "Business Combination"), we entered into the Tax Receivable Agreement with Holdings and the TRA Parties (as defined therein). The Tax Receivable Agreement will provide for the payment by us to certain Holders of 90% of the benefits, if any, that we are deemed to realize (calculated using certain assumptions) as a result of (i) our allocable share of existing tax basis in the assets of Holdings and its subsidiaries acquired (A) in the Business Combination and (B) upon sales or exchanges of Holdings Units pursuant to the Exchange Agreement after the Business Combination, (ii) certain increases in tax basis that occur as a result of (A) the Business Combination and (B) sales or exchanges of Holdings Units pursuant to the Exchange Agreement after the Business Combination, and (iii) certain other tax benefits, including tax benefits attributable to payments under the Tax Receivable Agreement. These tax attributes may increase (for tax purposes) our depreciation and amortization deductions and, therefore, may reduce the amount of tax that we would otherwise be required to pay in the future, although the IRS may challenge all or part of the validity of such tax attributes, and a court could sustain such a challenge. Such tax basis may also decrease gains (or increase losses) on future dispositions of certain capital assets to the extent tax basis is allocated to those capital assets. Actual tax benefits realized by us may differ from tax benefits calculated under the Tax Receivable Agreement as a result of the use of certain assumptions in the Tax Receivable Agreement, including the use of an assumed weighted- average state and local income tax rate to calculate tax benefits. The payment obligations under the Tax Receivable Agreement are an obligation of ours, but not of Holdings. We expect to benefit from the remaining 10% of realized cash tax benefits. While the amount of existing tax basis, the anticipated tax basis adjustments, and the actual amount and utilization of tax attributes, as well as the amount and timing of any payments under the Tax Receivable Agreement, will vary depending upon a number of factors, including the timing of exchanges, the price of shares of our Class A Common Stock at the time of exchanges, and the amount and timing of our income, we expect that as a result of the size of the transfers and increases in the tax basis of the tangible and intangible assets of Holdings and our possible utilization of tax attributes, the payments that Holdings, Inc. may make under the Tax Receivable Agreement will be substantial. The payments under the Tax Receivable Agreement are not conditioned upon continued ownership of us by the exchanging holders of Class B Units. See “Certain Relationships and Related Person Transactions of the Company — Tax Receivable Agreement.”</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 certain cases, payments under the Tax Receivable Agreement may be accelerated and/or significantly exceed the actual benefits we realize in respect of the tax attributes subject to the Tax Receivable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payment obligations under the Tax Receivable Agreement may be accelerated in the event of certain changes of control and will be accelerated in the event it elects to terminate the Tax Receivable Agreement early. The accelerated payments will relate to all relevant tax attributes that would subsequently be available to us. The accelerated payments required in such circumstances will be calculated by reference to the present value (at a discount rate equal to the lesser of (i) 6.5% per annum and (ii) one year LIBOR, or its successor rate, plus 100 basis points) of all future payments that holders of Holdings Class B Units or other recipients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deductions arising from the increased tax deductions and tax basis and other benefits related to entering into the Tax Receivable Agreement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sufficient taxable income to fully utilize any remaining net operating losses subject to the Tax Receivable Agreement on a straight line basis over the shorter of the statutory expiration period for such net operating losses and the five-year period after the early termination or change of control. In addition, recipients of payments under the Tax Receivable Agreement will not reimburse us for any payments previously made under the Tax Receivable Agreement if such tax basis and our utilization of certain tax attributes is successfully challenged by the IRS (although any such detriment would be taken into account in future payments under the Tax Receivable Agreement). Our ability to achieve benefits from any existing tax basis, tax basis adjustments or other tax attributes, and the payments to be made under the Tax Receivable Agreement, will depend upon a number of factors, including the timing and amount of our future income. As a result, even in the absence of a change of control or an election to terminate the Tax Receivable Agreement, payments under the Tax Receivable Agreement could be in excess of 90% of our actual cash tax benefits.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it is possible that the actual cash tax benefits realized by us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we realize in respect of the tax attributes subject to the Tax Receivable Agreement and/or payments to us by Holdings are not sufficient to permit us to make payments under the Tax Receivable Agreement after it has paid taxes and other expenses.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acceleration of payments under the Tax Receivable Agreement in the case of certain changes of control may impair our ability to consummate change of control transactions or negatively impact the value received by owners of our Class A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case of certain changes of control, payments under the Tax Receivable Agreement may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 certain circumstances, Holdings will be required to make pro rata distributions to both the Class A and Class B unit holders with respect to the taxes of its holders, and the distributions that Holdings will be required to make may be substantial and in excess of our tax liabilities and obligations under the Tax Receivable Agreement. To the extent we do not distribute such excess cash to the holders of our Class A Common Stock or contribute such excess cash to Holdings in exchange for the issuance of additional Class A Units and a corresponding stock dividend of Class A Common Stock to the holders of our Class A Common Stock, the holders of Class B Units of Holdings would benefit from any value attributable to such cash balances as a result of their ownership of Class A Common Stock following an exchange of their Class B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Holdings is treated as a partnership for U.S. federal income tax purposes and, as such, is not subject to any entity-level U.S. federal income tax. Instead, taxable income is allocated to holders of Holdings’ equity interests, including us. Accordingly, we incur income taxes on our allocable share of any net taxable income of Holdings. Under the Holdings Second Amended and Restated LLC Agreement, Holdings is generally required from time to time to make pro rata distributions in cash to us and the holders of Class B Units of Holdings in amounts that are intended to be sufficient to cover the taxes on our and the other holders of Class B Units of Holdings respective allocable shares of the taxable income of Holdings, based on certain assumptions contained in the Holdings Second Amended and Restated LLC Agreement. As a result of (i) potential differences in the amount of net taxable income allocable to us and the holders of Class B Units of Holdings, (ii) the lower tax rate applicable to corporations as compared to individuals and (iii) the favorable tax benefits that we anticipate receiving from acquisitions of Class B Units in connection with taxable exchanges of Class B Units for shares of our Class A Common Stock, we expect that these tax distributions will be in amounts that exceed our tax liabilities and obligations to make payments under the Tax Receivable Agreement. Our Board will determine the appropriate uses for any excess cash so accumulated, which may include, among other uses, any potential dividends,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obligations under the Tax Receivable Agreement and the payment of other expenses. We have no obligation to distribute such cash (or other available cash other than any declared dividend) to our stockholders. No adjustments to the exchange ratio of Class B Units for shares of Class A Common Stock will be made as a result of either (i) any cash distribution by Holdings or (ii) any cash that we retain and do not distribute to our stockholders. To the extent that we do not distribute such excess cash as dividends on our Class A Common Stock or contribute such excess cash to Holdings in exchange for the issuance of additional Class A Units and a corresponding stock dividend of Class A Common Stock to the holders of our Class A Common Stock, and instead, for example, hold such cash balances or lend them to Holdings, the holders of Class B Units of Holdings would benefit from any value attributable to such cash balances as a result of their ownership of Class A Common Stock following an exchange of their Class B Units.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 substantial amount of indebtedness, which may limit our operating flexibility and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had approximately $363.1 million of indebtedness as of December 31, 2022, consisting of amounts outstanding under our senior secured credit facility and senior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indebtedness could have important consequences to our investors,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increasing our vulnerability to, and reducing our flexibility to respond to, general adverse economic and industry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requiring the dedication of a substantial portion of our cash flow from operations to servicing debt, including interest payments and annual excess cash flow prepayment obligations;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limiting our flexibility in planning for, or reacting to, changes in our business and the competitive environment;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limiting our ability to borrow additional funds and increasing the cost of any such borrowing.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rates in our credit facility are set based upon stated margins above lender’s base rate and the SOFR, an interest rate at which banks can borrow funds, which is subject to fluctuation. In addition, the interest rate margin applicable to our term loans and revolving loans can vary by one hundred (100) basis points depending on our total leverage ratio. An increase in interest rates would adversely affect our profitability.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Upon the occurrence of an event of default relating to our credit facility, the lenders could elect to accelerate payments due and terminate all commitments to extend further credit.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our credit facility, upon the occurrence of an event of default, the lenders will be able to elect to declare all amounts outstanding under the credit agreement to be immediately due and payable and terminate all commitments to lend additional funds. If we are unable to repay those amounts, the lenders under the credit agreement could proceed to foreclose against our collateral that secures that indebtedness. We have granted the lenders a security interest in substantially all of our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debt outstanding under our existing credit facility has a variable rate of interest that is based on the SOFR which may have consequences for us that cannot be reasonably predicted and may increase our cost of borrowing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U.K.’s Financial Conduct Authority, a regulator of financial services firms and financial markets in the U.K., stated that it will plan for a phase out of regulatory oversight of London Interbank Offered Rate (“LIBOR”) interest as of December 31, 2021. In the U.S., the Alternative Reference Rates Committee, a committee convened by the Federal Reserve Board and the Federal Reserve Bank of New York, recommended SOFR plus a recommended spread adjustment as LIBOR's replacement. LIBOR and SOFR have significant differences. For example, LIBOR is an unsecured lending rate and SOFR is a secured lending rate, and SOFR is an overnight rate while LIBOR reflects term rates at different maturities. SOFR interest rates may introduce additional basis risk for market participants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alternative index is utilized along with LIBOR. On February 28, 2023, we amended our credit facility to transition from bearing interest based on LIBOR to SOFR. The future performance of SOFR cannot be predicted based on historical performance and the future level of SOFR may have little or no relation to historical levels of SOFR. Any patterns in market variable behaviors, such as correlations, may change in the future. Hypothetical or historical performance data are not indicative of, and have no bearing on, the potential performance of SOFR. The Company is not able to predict whether SOFR what the impact the transition to SOFR may be on the Company's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credit facility contains restrictive covenants that may impair our ability to conduct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credit facility contains operating covenants and financial covenants that may in each case limit management’s discretion with respect to certain business matters. We must comply with a maximum senior secured leverage ratio and a minimum debt service coverage ratio. Among other things, these covenants restrict our and our subsidiaries’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As a result of these covenants and restrictions, we will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facility and may impair our ability to conduct business. We may not be able to maintain compliance with these covenants in the future and, if we fail to do so, that we will be able to obtain waivers from the lenders and/or amend the covenants, which may result in foreclosure of our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5 of Notes to Consolidated Financial Statements in the Unaudited Consolidated Financial Statements of the Company in this report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guarantees of indebtedness and liabilities could limit the cash flow available for our operations, expose us to risks that could adversely affect our business, financial condition and results of operations and impair our ability to satisfy our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Holdings issued the Exchangeable Notes that are exchangeable into shares of our Class A Common Stock at a conversion price of $11.50 per share. The Exchangeable Notes are guaranteed by CompoSecure, L.L.C. Our guarantees of indebtedness could have significant negative consequences for our security holders, equity holders and our business, results of operations and financial condition by, among other things: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increasing our vulnerability to adverse economic and industry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limiting our ability to obtain additional financing;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requiring the dedication of a substantial portion of our cash flow from operations to service our guarantees of indebtedness, which reduces the amount of cash available for other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limiting our flexibility to plan for, or react to, changes in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diluting the interests of our stockholders as a result of the issuance shares of our Class A Common Stock upon conversion of the Exchangeable Notes;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placing us at a possible competitive disadvantage with competitors that are less leveraged than us or have better access to capital.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may not generate sufficient funds, and we may otherwise be unable to maintain sufficient cash reserves, to pay amounts that may become due under our guarantees of indebtedness, including in connection with the Exchangeable Notes, and our cash needs may increase in the future. In addition, any future indebtedness or guarantees of indebtedness that we may incur may contain financial and other restrictive covenants that limit our ability to operate our business, raise capital or make payments under our other indebtedness. If we fail to comply with these covenants or to make payments under our guarantees of indebtedness if and when due, then we could be in default under those guarantees of indebtedness, which could, in turn, result in that and our other indebtedness becoming immediately payable in full.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Risks Related to Ownership of our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only significant asset will be our ownership of our subsidiaries’ business. If the business of our subsidiaries is not profitably operated, we may be unable to pay us dividends or make distributions to enable us to pay any dividends on our common stock or satisfy our other financial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CompoSecure, Inc. has no direct operations and no significant assets other than the ownership of its subsidiaries, which operate the Company’s business. CompoSecure, Inc. will depend on profits generated by its subsidiaries’ business for debt repayment and other payments to generate the funds necessary to meet its financial obligations, including its expenses as a publicly traded company, to pay any dividends with respect to its capital stock and to make distributions. Legal and contractual restrictions in agreements governing the indebtedness of the Company or its subsidiaries, as well as their financial condition and operating requirements, may limit the ability of our subsidiaries to make distributions to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Provisions in our Charter and Delaware law may inhibit a takeover of us, which could limit the price investors might be willing to pay in the future for our Class A Common Stock and could entrench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Charter contains provisions that may discourage unsolicited takeover proposals that stockholders may consider to be in their best interests. These provisions include the classification of our Board, the ability of our Board to designate the terms of and issue new series of preferred shares, which may make more difficult the removal of management and may discourage transactions that otherwise could involve payment of a premium over prevailing market prices for our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prior to such time, our Board approved either the business combination or the transaction that resulted in the stockholder becoming an interested stockholder;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upon consummation of the transaction that resulted in the stockholder becoming an interested stockholder, the interested stockholder owned at least 85% of our voting stock outstanding at the time the transaction commenced, excluding certain shares;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at or subsequent to that time, the business combination is approved by our Board and by the affirmative vote of holders of at least two-thirds of our outstanding voting stock that is not owned by the interested stockholder.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a change in control of the Company. These provisions could also discourage proxy contests and make it more difficult for you and other stockholders to elect directors of your choosing and cause us to take corporate actions other than those you desire.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unable to satisfy the Nasdaq listing requirements in the future, which could limit investors’ ability to effect transactions in our securities and subject us to additional trading restrictions.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maintain the listing of our securities on Nasdaq in the future. If our securities are delisted from Nasdaq, there could be significant material adverse consequences,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limited availability of market quotations for our securities;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limited amount of news and analyst coverage about the Company;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decreased ability to obtain capital or pursue acquisitions by issuing additional equity or convertible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will incur significant costs and obligations as a result of being a public company.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new public company, we will incur significant legal, accounting, insurance and other expenses. These expenses will increase once we are no longer an “emerging growth company” as defined under the Jumpstart Our Business Startups Act of 2012, or the JOBS Act. In addition, new and changing laws, regulations and standards relating to corporate governance and public disclosure for public companies, including Dodd Frank, the Sarbanes-Oxley Act, regulations related 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for up to five years from the consummation of our initial public offering or until such earlier time that we have $1.23 billion or more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 an “emerging growth company,” we cannot be certain if the reduced disclosure requirements applicable to “emerging growth companies” will make our common stock less attractive to investors.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if investors will find our securities less attractive because we will rely on these exemptions. If some investors find our securities less attractive as a result, there may be a less active market for our securities, our share price may be more volatile and the price at which our securities trade could be less than if we did not use these exemptions.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do not properly maintain and implement all required accounting practices and policies, including new accounting practices and policies, as applicable, we may be unable to provide the financial information required of a United States publicly traded company in a timely and reliable manner.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implement and maintain the financial reporting and disclosure procedures and controls required of a United States publicly traded company. If we fail to properly maintain and implement all required accounting practices and policies, including new accounting practices and policies, as applicable, or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or by damaging our reputation, which in either case, could impede our ability to implement our growth strategy. In addition, any such delays or deficiencies could result in our failure to meet the requirements for continued listing of our securities on Nasdaq.</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our operating performance does not meet market expectations, the price of our securities may decline.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the price of our securities could contribute to the loss of all or part of your investment. Prior to the Business Combination, there was no public market for Holdings’ equity. Accordingly, the valuation that was ascribed to Holdings’ equity in the Business Combination may not be indicative of the price that will prevail in the trading market following the Business Combination. If an active market for our securities develops and continues, the trading price of our securities following the Business Combination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Factors affecting the trading price of our securities may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anticipated fluctuations in our quarterly financial results or the quarterly financial results of companies perceived to be similar to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the market’s expectations about our operating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success of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operating results failing to meet market expectations in a particular period;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financial estimates and recommendations by securities analysts concerning us or the financial payment card and digital asset industries and markets in general;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operating and stock price performance of other companies that investors deem comparable to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market new and enhanced products on a timely basis;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laws and regulations affecting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commencement of, or involvement in, litigation involving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volume of shares of our securities available for public sale;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significant change in our board or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of substantial amounts of our securities by our directors, executive officers or significant stockholders or the perception that such sales could occur;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economic and political conditions such as recessions, interest rates, fuel prices, international currency fluctuations and acts of war or terrorism.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financial technology stocks or the stocks of other companies which investors perceive to be similar to us could depress our securities prices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Public Warrants and the Resale Warrants may never be in the money, and they may expire worthless.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exercise price for our Public Warrants and Resale Warrants is $11.50 per share, which exceeds the market price of our Class A Common Stock, which was $7.07 per share based on the closing price on August 8, 2023. There can be no assurance that the Public Warrants and Resale Warrants will ever be in the money prior to their expiration and, as such, the Public Warrants and Resale Warrants may expire worthless.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Accordingly, we may amend the terms of the Warrants in a manner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adverse to a holder if holders of at least a majority of the then outstanding Public Warrants approve of such amendment. Our ability to amend the terms of the Warrants with the consent of at least a majority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redeem your unexpired Warrants prior to their exercise at a time that is disadvantageous to you, thereby making your Warrants worthless.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the ability to redeem outstanding Warrants (excluding any Resale Warrants held by Roman DBDR Tech Sponsor, LLC ("Roman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such holder's Warrants and pay the exercise price therefore at a time when it may be disadvantageous for the holder to do so, (ii) to sell the holder's Warrants at the then-current market price when such holder might otherwise wish to hold the Warrants or (iii) to accept the nominal redemption price which, at the time the outstanding Warrants are called for redemption, could be substantially less than the market value of the Warrants.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Warrants to purchase our Class A Common Stock are presently exercisable, which could increase the number of shares of Class A Common Stock eligible for future resale in the public market and result in dilution to our stockholders.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Warrants to purchase an aggregate of 22,415,400 shares of our common stock are exercisable in accordance with the terms of the warrant agreement governing those securities. These Warrants consist of 11,578,000 Public Warrants and 10,837,400 Resale Warrants originally included in the units issued in our IPO. Each Warrant entitles its holder to purchase one share of our common stock at an exercise price of $11.50 per share and will expire at 5:00 p.m., New York time, on December 27, 2026 or earlier upon redemption of our Class A Common Stock or our liquidation. To the extent Warrants are exercised, additional shares of our Class A Common Stock will be issued, which will result in dilution to our then existing stockholders and increase the number of shares of Class A Common Stock eligible for resale in the public market. Sales of substantial numbers of such shares in the public market could depress the market price of our securities.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timely and effectively implement controls and procedures required by Section 404 of the Sarbanes-Oxley Act of 2002, which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provide management’s attestation on internal controls. The standards required for a public company under Section 404 of the Sarbanes-Oxley Act are significantly more stringent than those previously required of Holdings as a privately-held company. Management may not be able to effectively and timely implement controls and procedures that adequately respond to the increased regulatory compliance and reporting requirements that are applicable to us as a public company.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404 of the Sarbanes-Oxley Act requires annual management assessments of the effectiveness of our internal control over financial reporting, and generally requires in the same report a report by our independent registered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November 10, 2025, the fifth anniversary of the consummation of our initial public offering, (b) in which we have total annual gross revenue of at least $1.23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successfully operate our business largely depends upon the efforts of certain key personnel. The loss of such key personnel could adversely affect our operations and profitability.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operate our business depends upon the efforts of certain key personnel. The unexpected loss of key personnel may adversely affect our operations and profitability. In addition, our future success depends in part on our ability to identify and retain key personnel to expand and/or succeed senior management. Furthermore, while we have closely scrutinized the skills, abilities and qualifications of our key personnel, our assessment may not prove to be correct. If such personnel do not possess the skills, qualifications or abilities we expect or those necessary to manage a public company, the operations and profitability of our business may be adversely impacted.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securities will be influenced by the research and reports that industry or securities analysts may publish about us, our business, our market, or our competitors. If no securities or industry analysts commence coverage of us, prices for our securities would likely be less than that which would obtain if we had such coverage and the liquidity, or trading volume of our securities may be limited, making it more difficult for a holder to sell securities at an acceptable price or amount. If any analysts do cover us, their projections may vary widely and may not accurately predict the results we actually achieve. Prices for our securities may decline if our actual results do not match the projections of research analysts covering us. Similarly, if one or more of the analysts who write reports on us downgrades our securities or publishes inaccurate or unfavorable research about our business, prices for our securities could decline. If one or more of these analysts ceases coverage of us or fails to publish reports on us regularly, prices for our securities or trading volume could decline.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Future sales of our securities, including resale of securities issued to the certain stockholders, may reduce the market price of our securities that you might otherwise obtain.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stockholders may sell large amounts of our securities in the open market or in privately negotiated transactions. The registration and availability of such a significant number of securities for trading in the public market may increase the volatility in the price of our securities or put significant downward pressure on the price of our securities. In addition, we may use shares of our common stock as consideration for future acquisitions, which could further dilute our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Because certain significant shareholders control a significant percentage of our common stock, such shareholders may influence major corporate decisions of the Company and our interests may conflict with the interests of other holders of our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August 8, 2023, LLR Equity Partners IV, L.P. and LLR Equity Partners Parallel IV, L.P. (the “LLR Parties”) and Michele D. Logan and any trust, entity or other similar vehicle or account affiliated with Michele D. Logan (the “Logan Parties”) beneficially own approximately 44% and 27%, respectively of the voting power of our outstanding common stock. As a result of this control, the LLR Parties and the Logan Parties will be able to influence matters requiring approval by our stockholders and/or our Board, including the election of directors and the approval of business combinations or dispositions and other extraordinary transactions. The LLR Parties and the Logan Parties may also have interests that differ from the interests of other holders of our securities and may vote in a way with which you disagree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which may be adverse to your interests. The concentration of ownership may have the effect of delaying, preventing or deterring a change of control of the Company and may materially and adversely affect the market price of our securities. In addition, the LLR Parties or the Logan Parties may in the future own businesses that directly compete with the business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Charter renounces any expectancy in or right to be offered an opportunity to participate in certain transactions or matters that may be investment, corporate or business opportunities and that are presented to the Company or our officers, directors or stockholders.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Charter provides that, to the fullest extent permitted by Delaware law, each member of Holdings, their respective affiliates (other than the Company and our subsidiaries) and, to the extent any member is a series limited liability company, any series thereof and all of their respective partners, principals, directors, officers, members, managers, equity holders and/or employees, including any of the foregoing who serve as officers or directors of the Company (each, an “Excluded Party”), shall not have any fiduciary duty to refrain from (a) directly or indirectly engaging in any opportunity in which we, directly or indirectly, could have an interest or expectancy or (b) otherwise competing with us. Our Charter also renounces, to the fullest extent permitted by Delaware law, any interest or expectancy that we have in any opportunity in which any Excluded Party engages, even if the opportunity is one in which we, directly or indirectly, could have had an interest or expectancy. To the fullest extent permitted by Delaware law, in the event that any Excluded Party acquires knowledge of an opportunity that may be an opportunity for itself, himself or herself and for us, such party shall have no duty to communicate or present such opportunity to us and shall not be liable to us or any of our stockholders for breach of any fiduciary duty as our stockholder, director or officer solely for having pursued or acquired such opportunity or for offering or directing such opportunity to another person. To the fullest extent permitted by Delaware law, no business opportunity will be deemed to be a potential corporate opportunity for us unless we would be permitted to undertake the opportunity under our Charter, we have sufficient financial resources to undertake the opportunity and the opportunity would be in line with our business.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Bylaws designate the courts of the Court of Chancery in the State of Delaware as the sole and exclusive forum for certain types of actions and proceedings that may be initiated by stockholders, which could limit the ability of stockholders to obtain a favorable judicial forum for disputes.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unless we consent in writing to the selection of an alternative forum, (a) any derivative action or proceeding brought on behalf of us, (b) any action asserting a claim of breach of fiduciary duty owed by any of our directors, officers or employees to us or our stockholders, (c) any action asserting a claim against us, our directors, officers or employees arising pursuant to any provision of the DGCL or our Charter or Bylaws or (d) any action asserting a claim against us, our directors, officers or employees governed by the internal affairs doctrine.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these provisions of the Bylaws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(including suits brought to enforce any liability or duty created by the Exchange Act or any other claim for which the federal district courts of the United States of America are the sole and exclusive forum), or for which the Court of Chancery does not have subject matter jurisdiction. While this exclusive provision applies to claims under the Securities Act, we note, however, that there is uncertainty as to whether a court would enforce this provision and that stockholders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choice-of-forum provision may limit a stockholder’s ability to bring a claim in a judicial forum that it finds favorable for disputes with the Company, which may discourage such lawsuits. Alternatively, if a court were to find this provision of our Bylaws inapplicable or unenforceable with respect to one or more of the specified types of actions or proceedings, the Company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required to take write-downs or write-offs, restructuring and impairment or other charges that could have a significant negative effect on our financial condition, results of operations and securities prices, which could cause you to lose some or all of your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there are material issues in the business of our subsidiaries, or factors outside of our and our subsidiaries control later arise, we may be forced to later write down or write off assets, restructure our operations, or incur impairment or other charges that could result in losses. Additionally,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Company or our securities. In addition, charges of this nature may cause us to be unable to obtain future financing on favorable terms or at all.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subject to securities litigation, which is expensive and could divert management attention.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securities prices may be volatile and, in the past, companies that have experienced volatility in the market price of their securities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future exercise of registration rights may adversely affect the market price of our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common stock in the public market could occur at any time. In addition, certain registration rights holders can request underwritten offerings to sell their securities. These sales, or the perception in the market that the holders of a large number of securities intend to sell securities, could reduce the market price of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Holdings Second Amended and Restated LLC Agreement and the terms of the Exchange Agreement entered into in connection with the Business Combination, the Class B Units of Holdings may each be exchanged at the option of the holder, together with a corresponding cancellation of the corresponding number of shares of Class B Common Stock of the Company, on a one-for-one basis for shares of Class A Common Stock of the Company. There is no cash or other consideration paid by the holder in these transactions and, therefore, there is no cash or other consideration received by the Company. The shares of Class A Common Stock issued by the Company in such exchanges are exempt from registration pursuant to Section 4(a)(2) of the Securities Act. During the quarter ended June 30, 2023, no Class B Units were tendered to the Company for exchange into shares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Exhibit Index immediately following the signature page of this Quarterly Report on Form 10-Q.</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requirements of the Exchange Act, the registrant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CompoSecure,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Date: August 14, 2023                        By: </w:t>
      </w:r>
      <w:r>
        <w:rPr>
          <w:rFonts w:ascii="Times New Roman;sans-serif" w:hAnsi="Times New Roman;sans-serif"/>
          <w:b w:val="false"/>
          <w:color w:val="000000"/>
          <w:sz w:val="20"/>
          <w:u w:val="single"/>
        </w:rPr>
        <w:t>/s/ Jonathan C. Wilk</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C. Wilk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Date: August 14, 2023                        By: </w:t>
      </w:r>
      <w:r>
        <w:rPr>
          <w:rFonts w:ascii="Times New Roman;sans-serif" w:hAnsi="Times New Roman;sans-serif"/>
          <w:b w:val="false"/>
          <w:color w:val="000000"/>
          <w:sz w:val="20"/>
          <w:u w:val="single"/>
        </w:rPr>
        <w:t>/s/ Timothy Fitzsimmons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Timothy Fitzsimmons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INDEX</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5"/>
        <w:gridCol w:w="250"/>
        <w:gridCol w:w="251"/>
        <w:gridCol w:w="109"/>
        <w:gridCol w:w="109"/>
        <w:gridCol w:w="109"/>
        <w:gridCol w:w="2658"/>
        <w:gridCol w:w="2658"/>
        <w:gridCol w:w="3776"/>
      </w:tblGrid>
      <w:tr>
        <w:trPr/>
        <w:tc>
          <w:tcPr>
            <w:tcW w:w="2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68" w:before="0" w:after="2"/>
              <w:jc w:val="center"/>
              <w:rPr/>
            </w:pPr>
            <w:hyperlink w:anchor="exhibit311q22023.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hibit311q22023.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68" w:before="0" w:after="2"/>
              <w:jc w:val="center"/>
              <w:rPr/>
            </w:pPr>
            <w:hyperlink w:anchor="exhibit312q22023.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hibit312q22023.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68" w:before="0" w:after="2"/>
              <w:jc w:val="center"/>
              <w:rPr/>
            </w:pPr>
            <w:hyperlink w:anchor="exhibit321q22023.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hibit321q22023.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68" w:before="0" w:after="2"/>
              <w:jc w:val="center"/>
              <w:rPr/>
            </w:pPr>
            <w:hyperlink w:anchor="exhibit322q22023.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hibit322q22023.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CompoSecure, Inc.'s Form 10-Q for the quarter ended June 30, 2023, formatted in Extensible Business Reporting Language (XBRL): (i) Consolidated Balance Sheets as of June 30, 2023 (Unaudited) and December 31, 2022, (ii) Consolidated Statements of Operations (Unaudited) for the three and six months ended June 30, 2023 and June 30, 2022, (iii) Consolidated Statements of Comprehensive Income (Unaudited) for the three and six months ended June 30, 2023 and June 30, 2022 (iv) Consolidated Statements of Stockholders’ Equity (Unaudited) for the three and six months ended June 30, 2023 and June 30, 2022, as well as the year ended December 31, 2022, (v) Consolidated Statements of Cash Flows (Unaudited) for the six months ended June 30, 2023 and June 30, 2022, and (vi) Notes to Consolidated Financial Statements - Unaudited.</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tc>
      </w:tr>
      <w:tr>
        <w:trPr/>
        <w:tc>
          <w:tcPr>
            <w:tcW w:w="1020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accordance with SEC Release 33-8238, Exhibits 32.1 and 32.2 are being furnished and not filed.</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Jonathan C. Wilk, certify that: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CompoSecure,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pPr>
      <w:r>
        <w:rPr>
          <w:rFonts w:ascii="Times New Roman;sans-serif" w:hAnsi="Times New Roman;sans-serif"/>
          <w:b w:val="false"/>
          <w:color w:val="000000"/>
          <w:sz w:val="20"/>
        </w:rPr>
        <w:t xml:space="preserve">Date: August 14, 2023                        By: </w:t>
      </w:r>
      <w:r>
        <w:rPr>
          <w:rFonts w:ascii="Times New Roman;sans-serif" w:hAnsi="Times New Roman;sans-serif"/>
          <w:b w:val="false"/>
          <w:color w:val="000000"/>
          <w:sz w:val="20"/>
          <w:u w:val="single"/>
        </w:rPr>
        <w:t>/s/ Jonathan C. Wilk</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C. Wilk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Timothy Fitzsimmons, certify that: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CompoSecure,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pPr>
      <w:r>
        <w:rPr>
          <w:rFonts w:ascii="Times New Roman;sans-serif" w:hAnsi="Times New Roman;sans-serif"/>
          <w:b w:val="false"/>
          <w:color w:val="000000"/>
          <w:sz w:val="20"/>
        </w:rPr>
        <w:t xml:space="preserve">Date: August 14, 2023                        By: </w:t>
      </w:r>
      <w:r>
        <w:rPr>
          <w:rFonts w:ascii="Times New Roman;sans-serif" w:hAnsi="Times New Roman;sans-serif"/>
          <w:b w:val="false"/>
          <w:color w:val="000000"/>
          <w:sz w:val="20"/>
          <w:u w:val="single"/>
        </w:rPr>
        <w:t>/s/ Timothy Fitzsimmons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Timothy Fitzsimmons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lineRule="auto" w:line="288"/>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CompoSecure, Inc., a Delaware corporation (the “Company”), on Form 10-Q for the quarter ended June 30, 2023, as filed with the Securities and Exchange Commission on the date hereof (the “Report”), I, Jonathan C. Wilk, President and Chief Executive Officer of the Company, hereby certify, pursuant to 18 U.S.C. §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Date: August 14, 2023                        By: </w:t>
      </w:r>
      <w:r>
        <w:rPr>
          <w:rFonts w:ascii="Times New Roman;sans-serif" w:hAnsi="Times New Roman;sans-serif"/>
          <w:b w:val="false"/>
          <w:color w:val="000000"/>
          <w:sz w:val="20"/>
          <w:u w:val="single"/>
        </w:rPr>
        <w:t>/s/ Jonathan C. Wilk</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C. Wilk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CompoSecure, Inc., a Delaware corporation (the “Company”), on Form 10-Q for the quarter ended June 30, 2023, as filed with the Securities and Exchange Commission on the date hereof (the “Report”), I, Timothy Fitzsimmons, Chief Financial Officer of the Company, hereby certify, pursuant to 18 U.S.C. §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Date: August 14, 2023                        By: </w:t>
      </w:r>
      <w:r>
        <w:rPr>
          <w:rFonts w:ascii="Times New Roman;sans-serif" w:hAnsi="Times New Roman;sans-serif"/>
          <w:b w:val="false"/>
          <w:color w:val="000000"/>
          <w:sz w:val="20"/>
          <w:u w:val="single"/>
        </w:rPr>
        <w:t>/s/ Timothy Fitzsimmons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Timothy Fitzsimmons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lineRule="auto" w:line="288"/>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38446</Words>
  <Characters>209404</Characters>
  <CharactersWithSpaces>246750</CharactersWithSpaces>
  <Paragraphs>2646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