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149225</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169545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3860" w:type="dxa"/>
        <w:tblCellMar>
          <w:top w:w="0" w:type="dxa"/>
          <w:left w:w="0" w:type="dxa"/>
          <w:bottom w:w="0" w:type="dxa"/>
          <w:right w:w="0" w:type="dxa"/>
        </w:tblCellMar>
      </w:tblPr>
      <w:tr>
        <w:trPr>
          <w:trHeight w:val="210"/>
        </w:trPr>
        <w:tc>
          <w:tcPr>
            <w:tcW w:w="2620" w:type="dxa"/>
            <w:vAlign w:val="bottom"/>
          </w:tcPr>
          <w:p>
            <w:pPr>
              <w:ind w:left="600"/>
              <w:spacing w:after="0"/>
              <w:rPr>
                <w:sz w:val="20"/>
                <w:szCs w:val="20"/>
                <w:color w:val="auto"/>
              </w:rPr>
            </w:pPr>
            <w:r>
              <w:rPr>
                <w:rFonts w:ascii="Arial" w:cs="Arial" w:eastAsia="Arial" w:hAnsi="Arial"/>
                <w:sz w:val="16"/>
                <w:szCs w:val="16"/>
                <w:b w:val="1"/>
                <w:bCs w:val="1"/>
                <w:color w:val="auto"/>
              </w:rPr>
              <w:t>For transition period from</w:t>
            </w:r>
          </w:p>
        </w:tc>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to</w:t>
            </w:r>
          </w:p>
        </w:tc>
      </w:tr>
      <w:tr>
        <w:trPr>
          <w:trHeight w:val="270"/>
        </w:trPr>
        <w:tc>
          <w:tcPr>
            <w:tcW w:w="3520" w:type="dxa"/>
            <w:vAlign w:val="bottom"/>
            <w:gridSpan w:val="2"/>
          </w:tcPr>
          <w:p>
            <w:pPr>
              <w:ind w:left="500"/>
              <w:spacing w:after="0"/>
              <w:rPr>
                <w:sz w:val="20"/>
                <w:szCs w:val="20"/>
                <w:color w:val="auto"/>
              </w:rPr>
            </w:pPr>
            <w:r>
              <w:rPr>
                <w:rFonts w:ascii="Arial" w:cs="Arial" w:eastAsia="Arial" w:hAnsi="Arial"/>
                <w:sz w:val="16"/>
                <w:szCs w:val="16"/>
                <w:b w:val="1"/>
                <w:bCs w:val="1"/>
                <w:color w:val="auto"/>
              </w:rPr>
              <w:t>Commission File Number 001-39687</w:t>
            </w:r>
          </w:p>
        </w:tc>
      </w:tr>
      <w:tr>
        <w:trPr>
          <w:trHeight w:val="195"/>
        </w:trPr>
        <w:tc>
          <w:tcPr>
            <w:tcW w:w="2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bl>
    <w:p>
      <w:pPr>
        <w:spacing w:after="0" w:line="296" w:lineRule="exact"/>
        <w:rPr>
          <w:sz w:val="24"/>
          <w:szCs w:val="24"/>
          <w:color w:val="auto"/>
        </w:rPr>
      </w:pPr>
    </w:p>
    <w:tbl>
      <w:tblPr>
        <w:tblLayout w:type="fixed"/>
        <w:tblInd w:w="1700" w:type="dxa"/>
        <w:tblCellMar>
          <w:top w:w="0" w:type="dxa"/>
          <w:left w:w="0" w:type="dxa"/>
          <w:bottom w:w="0" w:type="dxa"/>
          <w:right w:w="0" w:type="dxa"/>
        </w:tblCellMar>
      </w:tblPr>
      <w:tr>
        <w:trPr>
          <w:trHeight w:val="421"/>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Arial" w:cs="Arial" w:eastAsia="Arial" w:hAnsi="Arial"/>
                <w:sz w:val="32"/>
                <w:szCs w:val="32"/>
                <w:b w:val="1"/>
                <w:bCs w:val="1"/>
                <w:color w:val="auto"/>
                <w:w w:val="91"/>
              </w:rPr>
              <w:t>CompoSecure, Inc.</w:t>
            </w:r>
          </w:p>
        </w:tc>
      </w:tr>
      <w:tr>
        <w:trPr>
          <w:trHeight w:val="203"/>
        </w:trPr>
        <w:tc>
          <w:tcPr>
            <w:tcW w:w="2160" w:type="dxa"/>
            <w:vAlign w:val="bottom"/>
          </w:tcPr>
          <w:p>
            <w:pPr>
              <w:spacing w:after="0"/>
              <w:rPr>
                <w:sz w:val="17"/>
                <w:szCs w:val="17"/>
                <w:color w:val="auto"/>
              </w:rPr>
            </w:pPr>
          </w:p>
        </w:tc>
        <w:tc>
          <w:tcPr>
            <w:tcW w:w="5440" w:type="dxa"/>
            <w:vAlign w:val="bottom"/>
            <w:gridSpan w:val="2"/>
          </w:tcPr>
          <w:p>
            <w:pPr>
              <w:jc w:val="center"/>
              <w:ind w:right="181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55"/>
        </w:trPr>
        <w:tc>
          <w:tcPr>
            <w:tcW w:w="2160" w:type="dxa"/>
            <w:vAlign w:val="bottom"/>
          </w:tcPr>
          <w:p>
            <w:pPr>
              <w:spacing w:after="0"/>
              <w:rPr>
                <w:sz w:val="22"/>
                <w:szCs w:val="22"/>
                <w:color w:val="auto"/>
              </w:rPr>
            </w:pPr>
          </w:p>
        </w:tc>
        <w:tc>
          <w:tcPr>
            <w:tcW w:w="3520" w:type="dxa"/>
            <w:vAlign w:val="bottom"/>
            <w:tcBorders>
              <w:bottom w:val="single" w:sz="8" w:color="auto"/>
            </w:tcBorders>
          </w:tcPr>
          <w:p>
            <w:pPr>
              <w:spacing w:after="0"/>
              <w:rPr>
                <w:sz w:val="22"/>
                <w:szCs w:val="22"/>
                <w:color w:val="auto"/>
              </w:rPr>
            </w:pPr>
          </w:p>
        </w:tc>
        <w:tc>
          <w:tcPr>
            <w:tcW w:w="1920" w:type="dxa"/>
            <w:vAlign w:val="bottom"/>
          </w:tcPr>
          <w:p>
            <w:pPr>
              <w:spacing w:after="0"/>
              <w:rPr>
                <w:sz w:val="22"/>
                <w:szCs w:val="22"/>
                <w:color w:val="auto"/>
              </w:rPr>
            </w:pPr>
          </w:p>
        </w:tc>
      </w:tr>
      <w:tr>
        <w:trPr>
          <w:trHeight w:val="507"/>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gridSpan w:val="2"/>
          </w:tcPr>
          <w:p>
            <w:pPr>
              <w:jc w:val="center"/>
              <w:ind w:left="3661"/>
              <w:spacing w:after="0"/>
              <w:rPr>
                <w:sz w:val="20"/>
                <w:szCs w:val="20"/>
                <w:color w:val="auto"/>
              </w:rPr>
            </w:pPr>
            <w:r>
              <w:rPr>
                <w:rFonts w:ascii="Arial" w:cs="Arial" w:eastAsia="Arial" w:hAnsi="Arial"/>
                <w:sz w:val="18"/>
                <w:szCs w:val="18"/>
                <w:b w:val="1"/>
                <w:bCs w:val="1"/>
                <w:color w:val="auto"/>
                <w:w w:val="91"/>
              </w:rPr>
              <w:t>85-2749902</w:t>
            </w:r>
          </w:p>
        </w:tc>
      </w:tr>
      <w:tr>
        <w:trPr>
          <w:trHeight w:val="296"/>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spacing w:after="0"/>
              <w:rPr>
                <w:sz w:val="24"/>
                <w:szCs w:val="24"/>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spacing w:after="0"/>
              <w:rPr>
                <w:sz w:val="20"/>
                <w:szCs w:val="20"/>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Number)</w:t>
            </w:r>
          </w:p>
        </w:tc>
      </w:tr>
      <w:tr>
        <w:trPr>
          <w:trHeight w:val="454"/>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Arial" w:cs="Arial" w:eastAsia="Arial" w:hAnsi="Arial"/>
                <w:sz w:val="18"/>
                <w:szCs w:val="18"/>
                <w:b w:val="1"/>
                <w:bCs w:val="1"/>
                <w:color w:val="auto"/>
                <w:w w:val="88"/>
              </w:rPr>
              <w:t>309 Pierce St.</w:t>
            </w:r>
          </w:p>
        </w:tc>
      </w:tr>
      <w:tr>
        <w:trPr>
          <w:trHeight w:val="230"/>
        </w:trPr>
        <w:tc>
          <w:tcPr>
            <w:tcW w:w="2160" w:type="dxa"/>
            <w:vAlign w:val="bottom"/>
          </w:tcPr>
          <w:p>
            <w:pPr>
              <w:spacing w:after="0"/>
              <w:rPr>
                <w:sz w:val="19"/>
                <w:szCs w:val="19"/>
                <w:color w:val="auto"/>
              </w:rPr>
            </w:pPr>
          </w:p>
        </w:tc>
        <w:tc>
          <w:tcPr>
            <w:tcW w:w="5440" w:type="dxa"/>
            <w:vAlign w:val="bottom"/>
            <w:gridSpan w:val="2"/>
          </w:tcPr>
          <w:p>
            <w:pPr>
              <w:jc w:val="center"/>
              <w:ind w:right="1830"/>
              <w:spacing w:after="0"/>
              <w:rPr>
                <w:sz w:val="20"/>
                <w:szCs w:val="20"/>
                <w:color w:val="auto"/>
              </w:rPr>
            </w:pPr>
            <w:r>
              <w:rPr>
                <w:rFonts w:ascii="Arial" w:cs="Arial" w:eastAsia="Arial" w:hAnsi="Arial"/>
                <w:sz w:val="18"/>
                <w:szCs w:val="18"/>
                <w:b w:val="1"/>
                <w:bCs w:val="1"/>
                <w:color w:val="auto"/>
                <w:w w:val="89"/>
              </w:rPr>
              <w:t>Somerset, NJ 08873</w:t>
            </w:r>
          </w:p>
        </w:tc>
      </w:tr>
      <w:tr>
        <w:trPr>
          <w:trHeight w:val="234"/>
        </w:trPr>
        <w:tc>
          <w:tcPr>
            <w:tcW w:w="2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(908) 518-0500</w:t>
            </w:r>
          </w:p>
        </w:tc>
        <w:tc>
          <w:tcPr>
            <w:tcW w:w="1920" w:type="dxa"/>
            <w:vAlign w:val="bottom"/>
          </w:tcPr>
          <w:p>
            <w:pPr>
              <w:spacing w:after="0"/>
              <w:rPr>
                <w:sz w:val="20"/>
                <w:szCs w:val="20"/>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194945</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900" w:type="dxa"/>
            <w:vAlign w:val="bottom"/>
            <w:gridSpan w:val="2"/>
          </w:tcPr>
          <w:p>
            <w:pPr>
              <w:jc w:val="center"/>
              <w:ind w:right="2820"/>
              <w:spacing w:after="0"/>
              <w:rPr>
                <w:sz w:val="20"/>
                <w:szCs w:val="20"/>
                <w:color w:val="auto"/>
              </w:rPr>
            </w:pPr>
            <w:r>
              <w:rPr>
                <w:rFonts w:ascii="Arial" w:cs="Arial" w:eastAsia="Arial" w:hAnsi="Arial"/>
                <w:sz w:val="14"/>
                <w:szCs w:val="14"/>
                <w:b w:val="1"/>
                <w:bCs w:val="1"/>
                <w:color w:val="auto"/>
                <w:w w:val="89"/>
              </w:rPr>
              <w:t>Title of each class</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Trading Symbol</w:t>
            </w:r>
          </w:p>
        </w:tc>
        <w:tc>
          <w:tcPr>
            <w:tcW w:w="3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2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8"/>
        </w:trPr>
        <w:tc>
          <w:tcPr>
            <w:tcW w:w="6300" w:type="dxa"/>
            <w:vAlign w:val="bottom"/>
            <w:gridSpan w:val="3"/>
          </w:tcPr>
          <w:p>
            <w:pPr>
              <w:jc w:val="center"/>
              <w:ind w:right="400"/>
              <w:spacing w:after="0"/>
              <w:rPr>
                <w:sz w:val="20"/>
                <w:szCs w:val="20"/>
                <w:color w:val="auto"/>
              </w:rPr>
            </w:pPr>
            <w:r>
              <w:rPr>
                <w:rFonts w:ascii="Arial" w:cs="Arial" w:eastAsia="Arial" w:hAnsi="Arial"/>
                <w:sz w:val="14"/>
                <w:szCs w:val="14"/>
                <w:color w:val="auto"/>
                <w:w w:val="92"/>
              </w:rPr>
              <w:t>Class A Common Stock, $0.0001 par value per share</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color w:val="auto"/>
                <w:w w:val="95"/>
              </w:rPr>
              <w:t>CMPO</w:t>
            </w:r>
          </w:p>
        </w:tc>
        <w:tc>
          <w:tcPr>
            <w:tcW w:w="30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The Nasdaq Global Market</w:t>
            </w:r>
          </w:p>
        </w:tc>
      </w:tr>
      <w:tr>
        <w:trPr>
          <w:trHeight w:val="229"/>
        </w:trPr>
        <w:tc>
          <w:tcPr>
            <w:tcW w:w="6300" w:type="dxa"/>
            <w:vAlign w:val="bottom"/>
            <w:gridSpan w:val="3"/>
          </w:tcPr>
          <w:p>
            <w:pPr>
              <w:jc w:val="center"/>
              <w:ind w:right="420"/>
              <w:spacing w:after="0"/>
              <w:rPr>
                <w:sz w:val="20"/>
                <w:szCs w:val="20"/>
                <w:color w:val="auto"/>
              </w:rPr>
            </w:pPr>
            <w:r>
              <w:rPr>
                <w:rFonts w:ascii="Arial" w:cs="Arial" w:eastAsia="Arial" w:hAnsi="Arial"/>
                <w:sz w:val="14"/>
                <w:szCs w:val="14"/>
                <w:color w:val="auto"/>
                <w:w w:val="92"/>
              </w:rPr>
              <w:t>Redeemable Warrants, each whole warrant exercisable for one share of Class A Common Stock</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color w:val="auto"/>
              </w:rPr>
              <w:t>CMPOW</w:t>
            </w:r>
          </w:p>
        </w:tc>
        <w:tc>
          <w:tcPr>
            <w:tcW w:w="30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The Nasdaq Global Market</w:t>
            </w:r>
          </w:p>
        </w:tc>
      </w:tr>
      <w:tr>
        <w:trPr>
          <w:trHeight w:val="1639"/>
        </w:trPr>
        <w:tc>
          <w:tcPr>
            <w:tcW w:w="2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71" w:lineRule="exact"/>
        <w:rPr>
          <w:sz w:val="20"/>
          <w:szCs w:val="20"/>
          <w:color w:val="auto"/>
        </w:rPr>
      </w:pPr>
    </w:p>
    <w:p>
      <w:pPr>
        <w:jc w:val="both"/>
        <w:ind w:firstLine="364"/>
        <w:spacing w:after="0" w:line="25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jc w:val="both"/>
        <w:ind w:firstLine="364"/>
        <w:spacing w:after="0" w:line="25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5" w:lineRule="exact"/>
        <w:rPr>
          <w:sz w:val="20"/>
          <w:szCs w:val="20"/>
          <w:color w:val="auto"/>
        </w:rPr>
      </w:pPr>
    </w:p>
    <w:p>
      <w:pPr>
        <w:jc w:val="both"/>
        <w:ind w:firstLine="364"/>
        <w:spacing w:after="0" w:line="29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4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6" w:lineRule="exact"/>
        <w:rPr>
          <w:sz w:val="20"/>
          <w:szCs w:val="20"/>
          <w:color w:val="auto"/>
        </w:rPr>
      </w:pPr>
    </w:p>
    <w:p>
      <w:pPr>
        <w:ind w:firstLine="364"/>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5" w:lineRule="exact"/>
        <w:rPr>
          <w:sz w:val="20"/>
          <w:szCs w:val="20"/>
          <w:color w:val="auto"/>
        </w:rPr>
      </w:pPr>
    </w:p>
    <w:p>
      <w:pPr>
        <w:ind w:left="38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253" w:lineRule="exact"/>
        <w:rPr>
          <w:sz w:val="20"/>
          <w:szCs w:val="20"/>
          <w:color w:val="auto"/>
        </w:rPr>
      </w:pPr>
    </w:p>
    <w:p>
      <w:pPr>
        <w:ind w:right="20" w:firstLine="364"/>
        <w:spacing w:after="0" w:line="308" w:lineRule="auto"/>
        <w:rPr>
          <w:sz w:val="20"/>
          <w:szCs w:val="20"/>
          <w:color w:val="auto"/>
        </w:rPr>
      </w:pPr>
      <w:r>
        <w:rPr>
          <w:rFonts w:ascii="Arial" w:cs="Arial" w:eastAsia="Arial" w:hAnsi="Arial"/>
          <w:sz w:val="18"/>
          <w:szCs w:val="18"/>
          <w:color w:val="auto"/>
        </w:rPr>
        <w:t>As of May 2, 2022, there were approximately 14,997,107 shares of the shares of the registrant's Class A common stock outstanding and 61,086,800 shares of the registrant's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1313815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COMPOSECURE HOLDINGS,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gridSpan w:val="6"/>
            <w:vMerge w:val="restart"/>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w:t>
              </w:r>
            </w:hyperlink>
          </w:p>
        </w:tc>
        <w:tc>
          <w:tcPr>
            <w:tcW w:w="9460" w:type="dxa"/>
            <w:vAlign w:val="bottom"/>
            <w:gridSpan w:val="19"/>
            <w:vMerge w:val="restart"/>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Financial Information</w:t>
              </w:r>
            </w:hyperlink>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gridSpan w:val="6"/>
            <w:vMerge w:val="continue"/>
          </w:tcPr>
          <w:p>
            <w:pPr>
              <w:spacing w:after="0"/>
              <w:rPr>
                <w:sz w:val="17"/>
                <w:szCs w:val="17"/>
                <w:color w:val="auto"/>
              </w:rPr>
            </w:pPr>
          </w:p>
        </w:tc>
        <w:tc>
          <w:tcPr>
            <w:tcW w:w="9460" w:type="dxa"/>
            <w:vAlign w:val="bottom"/>
            <w:gridSpan w:val="19"/>
            <w:vMerge w:val="continue"/>
          </w:tcPr>
          <w:p>
            <w:pPr>
              <w:spacing w:after="0"/>
              <w:rPr>
                <w:sz w:val="17"/>
                <w:szCs w:val="17"/>
                <w:color w:val="auto"/>
              </w:rPr>
            </w:pPr>
          </w:p>
        </w:tc>
        <w:tc>
          <w:tcPr>
            <w:tcW w:w="680" w:type="dxa"/>
            <w:vAlign w:val="bottom"/>
          </w:tcPr>
          <w:p>
            <w:pPr>
              <w:jc w:val="center"/>
              <w:spacing w:after="0" w:line="196" w:lineRule="exact"/>
              <w:rPr>
                <w:rFonts w:ascii="Arial" w:cs="Arial" w:eastAsia="Arial" w:hAnsi="Arial"/>
                <w:sz w:val="18"/>
                <w:szCs w:val="18"/>
                <w:color w:val="auto"/>
                <w:w w:val="79"/>
              </w:rPr>
            </w:pPr>
            <w:hyperlink w:anchor="page6">
              <w:r>
                <w:rPr>
                  <w:rFonts w:ascii="Arial" w:cs="Arial" w:eastAsia="Arial" w:hAnsi="Arial"/>
                  <w:sz w:val="18"/>
                  <w:szCs w:val="18"/>
                  <w:color w:val="auto"/>
                  <w:w w:val="79"/>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rFonts w:ascii="Arial" w:cs="Arial" w:eastAsia="Arial" w:hAnsi="Arial"/>
                <w:sz w:val="18"/>
                <w:szCs w:val="18"/>
                <w:color w:val="0000FF"/>
                <w:w w:val="83"/>
              </w:rPr>
            </w:pPr>
            <w:hyperlink w:anchor="page7">
              <w:r>
                <w:rPr>
                  <w:rFonts w:ascii="Arial" w:cs="Arial" w:eastAsia="Arial" w:hAnsi="Arial"/>
                  <w:sz w:val="18"/>
                  <w:szCs w:val="18"/>
                  <w:color w:val="0000FF"/>
                  <w:w w:val="83"/>
                </w:rPr>
                <w:t>Item 1.</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18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Financial Statements</w:t>
              </w:r>
            </w:hyperlink>
          </w:p>
        </w:tc>
        <w:tc>
          <w:tcPr>
            <w:tcW w:w="68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Consolidated Balance Sheets (Unaudited)</w:t>
              </w:r>
            </w:hyperlink>
          </w:p>
        </w:tc>
        <w:tc>
          <w:tcPr>
            <w:tcW w:w="6180" w:type="dxa"/>
            <w:vAlign w:val="bottom"/>
            <w:gridSpan w:val="9"/>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Statements of Operations (Unaudited)</w:t>
              </w:r>
            </w:hyperlink>
          </w:p>
        </w:tc>
        <w:tc>
          <w:tcPr>
            <w:tcW w:w="5460" w:type="dxa"/>
            <w:vAlign w:val="bottom"/>
            <w:gridSpan w:val="8"/>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18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Consolidated Statements of Comprehensive Income (Unaudited)</w:t>
              </w:r>
            </w:hyperlink>
          </w:p>
        </w:tc>
        <w:tc>
          <w:tcPr>
            <w:tcW w:w="680" w:type="dxa"/>
            <w:vAlign w:val="bottom"/>
          </w:tcPr>
          <w:p>
            <w:pPr>
              <w:jc w:val="center"/>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40" w:type="dxa"/>
            <w:vAlign w:val="bottom"/>
            <w:tcBorders>
              <w:top w:val="single" w:sz="8" w:color="0000FF"/>
            </w:tcBorders>
            <w:gridSpan w:val="16"/>
          </w:tcPr>
          <w:p>
            <w:pPr>
              <w:spacing w:after="0"/>
              <w:rPr>
                <w:rFonts w:ascii="Arial" w:cs="Arial" w:eastAsia="Arial" w:hAnsi="Arial"/>
                <w:sz w:val="18"/>
                <w:szCs w:val="18"/>
                <w:color w:val="0000FF"/>
                <w:w w:val="95"/>
              </w:rPr>
            </w:pPr>
            <w:hyperlink w:anchor="page10">
              <w:r>
                <w:rPr>
                  <w:rFonts w:ascii="Arial" w:cs="Arial" w:eastAsia="Arial" w:hAnsi="Arial"/>
                  <w:sz w:val="18"/>
                  <w:szCs w:val="18"/>
                  <w:color w:val="0000FF"/>
                  <w:w w:val="95"/>
                </w:rPr>
                <w:t xml:space="preserve">Consolidated Statements of </w:t>
              </w:r>
            </w:hyperlink>
            <w:r>
              <w:rPr>
                <w:rFonts w:ascii="Arial" w:cs="Arial" w:eastAsia="Arial" w:hAnsi="Arial"/>
                <w:sz w:val="18"/>
                <w:szCs w:val="18"/>
                <w:color w:val="0000FF"/>
                <w:w w:val="95"/>
              </w:rPr>
              <w:t xml:space="preserve">Stockholders’Deficit </w:t>
            </w:r>
            <w:hyperlink w:anchor="page10">
              <w:r>
                <w:rPr>
                  <w:rFonts w:ascii="Arial" w:cs="Arial" w:eastAsia="Arial" w:hAnsi="Arial"/>
                  <w:sz w:val="18"/>
                  <w:szCs w:val="18"/>
                  <w:color w:val="0000FF"/>
                  <w:w w:val="95"/>
                </w:rPr>
                <w:t>(Unaudited)</w:t>
              </w:r>
            </w:hyperlink>
          </w:p>
        </w:tc>
        <w:tc>
          <w:tcPr>
            <w:tcW w:w="4540" w:type="dxa"/>
            <w:vAlign w:val="bottom"/>
            <w:gridSpan w:val="2"/>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10">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 xml:space="preserve">Consolidated Statements of Cash Flows </w:t>
              </w:r>
            </w:hyperlink>
            <w:r>
              <w:rPr>
                <w:rFonts w:ascii="Arial" w:cs="Arial" w:eastAsia="Arial" w:hAnsi="Arial"/>
                <w:sz w:val="18"/>
                <w:szCs w:val="18"/>
                <w:color w:val="0000FF"/>
                <w:w w:val="89"/>
              </w:rPr>
              <w:t>(Unaudited)</w:t>
            </w:r>
          </w:p>
        </w:tc>
        <w:tc>
          <w:tcPr>
            <w:tcW w:w="640" w:type="dxa"/>
            <w:vAlign w:val="bottom"/>
            <w:tcBorders>
              <w:top w:val="single" w:sz="8" w:color="0000FF"/>
            </w:tcBorders>
            <w:gridSpan w:val="4"/>
          </w:tcPr>
          <w:p>
            <w:pPr>
              <w:spacing w:after="0"/>
              <w:rPr>
                <w:sz w:val="21"/>
                <w:szCs w:val="21"/>
                <w:color w:val="auto"/>
              </w:rPr>
            </w:pPr>
          </w:p>
        </w:tc>
        <w:tc>
          <w:tcPr>
            <w:tcW w:w="4760" w:type="dxa"/>
            <w:vAlign w:val="bottom"/>
            <w:gridSpan w:val="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11">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 xml:space="preserve">Notes to Consolidated Financial Statements </w:t>
              </w:r>
            </w:hyperlink>
            <w:r>
              <w:rPr>
                <w:rFonts w:ascii="Arial" w:cs="Arial" w:eastAsia="Arial" w:hAnsi="Arial"/>
                <w:sz w:val="18"/>
                <w:szCs w:val="18"/>
                <w:color w:val="0000FF"/>
                <w:w w:val="89"/>
              </w:rPr>
              <w:t>(Unaudited)</w:t>
            </w:r>
          </w:p>
        </w:tc>
        <w:tc>
          <w:tcPr>
            <w:tcW w:w="5120" w:type="dxa"/>
            <w:vAlign w:val="bottom"/>
            <w:gridSpan w:val="6"/>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12">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0000FF"/>
            </w:tcBorders>
            <w:gridSpan w:val="2"/>
          </w:tcPr>
          <w:p>
            <w:pPr>
              <w:jc w:val="right"/>
              <w:ind w:right="20"/>
              <w:spacing w:after="0"/>
              <w:rPr>
                <w:rFonts w:ascii="Arial" w:cs="Arial" w:eastAsia="Arial" w:hAnsi="Arial"/>
                <w:sz w:val="18"/>
                <w:szCs w:val="18"/>
                <w:color w:val="0000FF"/>
                <w:w w:val="83"/>
              </w:rPr>
            </w:pPr>
            <w:hyperlink w:anchor="page30">
              <w:r>
                <w:rPr>
                  <w:rFonts w:ascii="Arial" w:cs="Arial" w:eastAsia="Arial" w:hAnsi="Arial"/>
                  <w:sz w:val="18"/>
                  <w:szCs w:val="18"/>
                  <w:color w:val="0000FF"/>
                  <w:w w:val="83"/>
                </w:rPr>
                <w:t>Item 2.</w:t>
              </w:r>
            </w:hyperlink>
          </w:p>
        </w:tc>
        <w:tc>
          <w:tcPr>
            <w:tcW w:w="280" w:type="dxa"/>
            <w:vAlign w:val="bottom"/>
          </w:tcPr>
          <w:p>
            <w:pPr>
              <w:spacing w:after="0"/>
              <w:rPr>
                <w:sz w:val="21"/>
                <w:szCs w:val="21"/>
                <w:color w:val="auto"/>
              </w:rPr>
            </w:pPr>
          </w:p>
        </w:tc>
        <w:tc>
          <w:tcPr>
            <w:tcW w:w="632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Management's Discussion and Analysis of Financial Condition and Results of Operation</w:t>
              </w:r>
            </w:hyperlink>
          </w:p>
        </w:tc>
        <w:tc>
          <w:tcPr>
            <w:tcW w:w="2860" w:type="dxa"/>
            <w:vAlign w:val="bottom"/>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26</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0000FF"/>
            </w:tcBorders>
            <w:gridSpan w:val="2"/>
          </w:tcPr>
          <w:p>
            <w:pPr>
              <w:jc w:val="right"/>
              <w:ind w:right="20"/>
              <w:spacing w:after="0"/>
              <w:rPr>
                <w:rFonts w:ascii="Arial" w:cs="Arial" w:eastAsia="Arial" w:hAnsi="Arial"/>
                <w:sz w:val="18"/>
                <w:szCs w:val="18"/>
                <w:color w:val="0000FF"/>
                <w:w w:val="83"/>
              </w:rPr>
            </w:pPr>
            <w:hyperlink w:anchor="page37">
              <w:r>
                <w:rPr>
                  <w:rFonts w:ascii="Arial" w:cs="Arial" w:eastAsia="Arial" w:hAnsi="Arial"/>
                  <w:sz w:val="18"/>
                  <w:szCs w:val="18"/>
                  <w:color w:val="0000FF"/>
                  <w:w w:val="83"/>
                </w:rPr>
                <w:t>Item 3.</w:t>
              </w:r>
            </w:hyperlink>
          </w:p>
        </w:tc>
        <w:tc>
          <w:tcPr>
            <w:tcW w:w="280" w:type="dxa"/>
            <w:vAlign w:val="bottom"/>
          </w:tcPr>
          <w:p>
            <w:pPr>
              <w:spacing w:after="0"/>
              <w:rPr>
                <w:sz w:val="21"/>
                <w:szCs w:val="21"/>
                <w:color w:val="auto"/>
              </w:rPr>
            </w:pPr>
          </w:p>
        </w:tc>
        <w:tc>
          <w:tcPr>
            <w:tcW w:w="43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Quantitative and Qualitative Disclosures About Market Risk</w:t>
              </w:r>
            </w:hyperlink>
          </w:p>
        </w:tc>
        <w:tc>
          <w:tcPr>
            <w:tcW w:w="4880" w:type="dxa"/>
            <w:vAlign w:val="bottom"/>
            <w:gridSpan w:val="4"/>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0000FF"/>
            </w:tcBorders>
          </w:tcPr>
          <w:p>
            <w:pPr>
              <w:jc w:val="right"/>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4.</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Borders>
              <w:bottom w:val="single" w:sz="8" w:color="0000FF"/>
            </w:tcBorders>
            <w:gridSpan w:val="7"/>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Controls and Procedures</w:t>
              </w:r>
            </w:hyperlink>
          </w:p>
        </w:tc>
        <w:tc>
          <w:tcPr>
            <w:tcW w:w="7460" w:type="dxa"/>
            <w:vAlign w:val="bottom"/>
            <w:gridSpan w:val="11"/>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33</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Borders>
              <w:bottom w:val="single" w:sz="8" w:color="0000FF"/>
            </w:tcBorders>
            <w:gridSpan w:val="4"/>
          </w:tcPr>
          <w:p>
            <w:pPr>
              <w:spacing w:after="0"/>
              <w:rPr>
                <w:rFonts w:ascii="Arial" w:cs="Arial" w:eastAsia="Arial" w:hAnsi="Arial"/>
                <w:sz w:val="18"/>
                <w:szCs w:val="18"/>
                <w:b w:val="1"/>
                <w:bCs w:val="1"/>
                <w:color w:val="0000FF"/>
                <w:w w:val="98"/>
              </w:rPr>
            </w:pPr>
            <w:hyperlink w:anchor="page38">
              <w:r>
                <w:rPr>
                  <w:rFonts w:ascii="Arial" w:cs="Arial" w:eastAsia="Arial" w:hAnsi="Arial"/>
                  <w:sz w:val="18"/>
                  <w:szCs w:val="18"/>
                  <w:b w:val="1"/>
                  <w:bCs w:val="1"/>
                  <w:color w:val="0000FF"/>
                  <w:w w:val="98"/>
                </w:rPr>
                <w:t>Part II.</w:t>
              </w:r>
            </w:hyperlink>
          </w:p>
        </w:tc>
        <w:tc>
          <w:tcPr>
            <w:tcW w:w="500" w:type="dxa"/>
            <w:vAlign w:val="bottom"/>
            <w:gridSpan w:val="2"/>
          </w:tcPr>
          <w:p>
            <w:pPr>
              <w:spacing w:after="0"/>
              <w:rPr>
                <w:sz w:val="21"/>
                <w:szCs w:val="21"/>
                <w:color w:val="auto"/>
              </w:rPr>
            </w:pPr>
          </w:p>
        </w:tc>
        <w:tc>
          <w:tcPr>
            <w:tcW w:w="1460" w:type="dxa"/>
            <w:vAlign w:val="bottom"/>
            <w:tcBorders>
              <w:bottom w:val="single" w:sz="8" w:color="0000FF"/>
            </w:tcBorders>
            <w:gridSpan w:val="4"/>
          </w:tcPr>
          <w:p>
            <w:pPr>
              <w:spacing w:after="0"/>
              <w:rPr>
                <w:rFonts w:ascii="Arial" w:cs="Arial" w:eastAsia="Arial" w:hAnsi="Arial"/>
                <w:sz w:val="18"/>
                <w:szCs w:val="18"/>
                <w:b w:val="1"/>
                <w:bCs w:val="1"/>
                <w:color w:val="0000FF"/>
                <w:w w:val="94"/>
              </w:rPr>
            </w:pPr>
            <w:hyperlink w:anchor="page38">
              <w:r>
                <w:rPr>
                  <w:rFonts w:ascii="Arial" w:cs="Arial" w:eastAsia="Arial" w:hAnsi="Arial"/>
                  <w:sz w:val="18"/>
                  <w:szCs w:val="18"/>
                  <w:b w:val="1"/>
                  <w:bCs w:val="1"/>
                  <w:color w:val="0000FF"/>
                  <w:w w:val="94"/>
                </w:rPr>
                <w:t>Other Information</w:t>
              </w:r>
            </w:hyperlink>
          </w:p>
        </w:tc>
        <w:tc>
          <w:tcPr>
            <w:tcW w:w="8000" w:type="dxa"/>
            <w:vAlign w:val="bottom"/>
            <w:gridSpan w:val="15"/>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20"/>
              <w:spacing w:after="0"/>
              <w:rPr>
                <w:rFonts w:ascii="Arial" w:cs="Arial" w:eastAsia="Arial" w:hAnsi="Arial"/>
                <w:sz w:val="18"/>
                <w:szCs w:val="18"/>
                <w:color w:val="0000FF"/>
                <w:w w:val="83"/>
              </w:rPr>
            </w:pPr>
            <w:hyperlink w:anchor="page39">
              <w:r>
                <w:rPr>
                  <w:rFonts w:ascii="Arial" w:cs="Arial" w:eastAsia="Arial" w:hAnsi="Arial"/>
                  <w:sz w:val="18"/>
                  <w:szCs w:val="18"/>
                  <w:color w:val="0000FF"/>
                  <w:w w:val="83"/>
                </w:rPr>
                <w:t>Item 1.</w:t>
              </w:r>
            </w:hyperlink>
          </w:p>
        </w:tc>
        <w:tc>
          <w:tcPr>
            <w:tcW w:w="280" w:type="dxa"/>
            <w:vAlign w:val="bottom"/>
          </w:tcPr>
          <w:p>
            <w:pPr>
              <w:spacing w:after="0"/>
              <w:rPr>
                <w:sz w:val="21"/>
                <w:szCs w:val="21"/>
                <w:color w:val="auto"/>
              </w:rPr>
            </w:pPr>
          </w:p>
        </w:tc>
        <w:tc>
          <w:tcPr>
            <w:tcW w:w="1280" w:type="dxa"/>
            <w:vAlign w:val="bottom"/>
            <w:tcBorders>
              <w:bottom w:val="single" w:sz="8" w:color="0000FF"/>
            </w:tcBorders>
            <w:gridSpan w:val="5"/>
          </w:tcPr>
          <w:p>
            <w:pPr>
              <w:spacing w:after="0"/>
              <w:rPr>
                <w:rFonts w:ascii="Arial" w:cs="Arial" w:eastAsia="Arial" w:hAnsi="Arial"/>
                <w:sz w:val="18"/>
                <w:szCs w:val="18"/>
                <w:color w:val="0000FF"/>
                <w:w w:val="84"/>
              </w:rPr>
            </w:pPr>
            <w:hyperlink w:anchor="page39">
              <w:r>
                <w:rPr>
                  <w:rFonts w:ascii="Arial" w:cs="Arial" w:eastAsia="Arial" w:hAnsi="Arial"/>
                  <w:sz w:val="18"/>
                  <w:szCs w:val="18"/>
                  <w:color w:val="0000FF"/>
                  <w:w w:val="84"/>
                </w:rPr>
                <w:t>Legal Proceedings</w:t>
              </w:r>
            </w:hyperlink>
          </w:p>
        </w:tc>
        <w:tc>
          <w:tcPr>
            <w:tcW w:w="7900" w:type="dxa"/>
            <w:vAlign w:val="bottom"/>
            <w:gridSpan w:val="1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4"/>
          </w:tcPr>
          <w:p>
            <w:pPr>
              <w:jc w:val="right"/>
              <w:ind w:right="20"/>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Item 1A.</w:t>
              </w:r>
            </w:hyperlink>
          </w:p>
        </w:tc>
        <w:tc>
          <w:tcPr>
            <w:tcW w:w="280" w:type="dxa"/>
            <w:vAlign w:val="bottom"/>
          </w:tcPr>
          <w:p>
            <w:pPr>
              <w:spacing w:after="0"/>
              <w:rPr>
                <w:sz w:val="21"/>
                <w:szCs w:val="21"/>
                <w:color w:val="auto"/>
              </w:rPr>
            </w:pPr>
          </w:p>
        </w:tc>
        <w:tc>
          <w:tcPr>
            <w:tcW w:w="918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680" w:type="dxa"/>
            <w:vAlign w:val="bottom"/>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20"/>
              <w:spacing w:after="0"/>
              <w:rPr>
                <w:rFonts w:ascii="Arial" w:cs="Arial" w:eastAsia="Arial" w:hAnsi="Arial"/>
                <w:sz w:val="18"/>
                <w:szCs w:val="18"/>
                <w:color w:val="0000FF"/>
                <w:w w:val="83"/>
              </w:rPr>
            </w:pPr>
            <w:hyperlink w:anchor="page61">
              <w:r>
                <w:rPr>
                  <w:rFonts w:ascii="Arial" w:cs="Arial" w:eastAsia="Arial" w:hAnsi="Arial"/>
                  <w:sz w:val="18"/>
                  <w:szCs w:val="18"/>
                  <w:color w:val="0000FF"/>
                  <w:w w:val="83"/>
                </w:rPr>
                <w:t>Item 2.</w:t>
              </w:r>
            </w:hyperlink>
          </w:p>
        </w:tc>
        <w:tc>
          <w:tcPr>
            <w:tcW w:w="280" w:type="dxa"/>
            <w:vAlign w:val="bottom"/>
          </w:tcPr>
          <w:p>
            <w:pPr>
              <w:spacing w:after="0"/>
              <w:rPr>
                <w:sz w:val="21"/>
                <w:szCs w:val="21"/>
                <w:color w:val="auto"/>
              </w:rPr>
            </w:pPr>
          </w:p>
        </w:tc>
        <w:tc>
          <w:tcPr>
            <w:tcW w:w="9180" w:type="dxa"/>
            <w:vAlign w:val="bottom"/>
            <w:gridSpan w:val="1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Unregistered Sales of Equity Securities and Use of Proceeds</w:t>
              </w:r>
            </w:hyperlink>
          </w:p>
        </w:tc>
        <w:tc>
          <w:tcPr>
            <w:tcW w:w="680" w:type="dxa"/>
            <w:vAlign w:val="bottom"/>
          </w:tcPr>
          <w:p>
            <w:pPr>
              <w:jc w:val="center"/>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top w:val="single" w:sz="8" w:color="0000FF"/>
            </w:tcBorders>
            <w:gridSpan w:val="2"/>
          </w:tcPr>
          <w:p>
            <w:pPr>
              <w:jc w:val="right"/>
              <w:ind w:right="20"/>
              <w:spacing w:after="0"/>
              <w:rPr>
                <w:rFonts w:ascii="Arial" w:cs="Arial" w:eastAsia="Arial" w:hAnsi="Arial"/>
                <w:sz w:val="18"/>
                <w:szCs w:val="18"/>
                <w:color w:val="0000FF"/>
                <w:w w:val="83"/>
              </w:rPr>
            </w:pPr>
            <w:hyperlink w:anchor="page62">
              <w:r>
                <w:rPr>
                  <w:rFonts w:ascii="Arial" w:cs="Arial" w:eastAsia="Arial" w:hAnsi="Arial"/>
                  <w:sz w:val="18"/>
                  <w:szCs w:val="18"/>
                  <w:color w:val="0000FF"/>
                  <w:w w:val="83"/>
                </w:rPr>
                <w:t>Item 3.</w:t>
              </w:r>
            </w:hyperlink>
          </w:p>
        </w:tc>
        <w:tc>
          <w:tcPr>
            <w:tcW w:w="280" w:type="dxa"/>
            <w:vAlign w:val="bottom"/>
          </w:tcPr>
          <w:p>
            <w:pPr>
              <w:spacing w:after="0"/>
              <w:rPr>
                <w:sz w:val="21"/>
                <w:szCs w:val="21"/>
                <w:color w:val="auto"/>
              </w:rPr>
            </w:pPr>
          </w:p>
        </w:tc>
        <w:tc>
          <w:tcPr>
            <w:tcW w:w="4280" w:type="dxa"/>
            <w:vAlign w:val="bottom"/>
            <w:tcBorders>
              <w:top w:val="single" w:sz="8" w:color="0000FF"/>
            </w:tcBorders>
            <w:gridSpan w:val="13"/>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Defaults Upon Senior Securities</w:t>
              </w:r>
            </w:hyperlink>
          </w:p>
        </w:tc>
        <w:tc>
          <w:tcPr>
            <w:tcW w:w="4900" w:type="dxa"/>
            <w:vAlign w:val="bottom"/>
            <w:gridSpan w:val="5"/>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top w:val="single" w:sz="8" w:color="0000FF"/>
              <w:bottom w:val="single" w:sz="8" w:color="0000FF"/>
            </w:tcBorders>
            <w:gridSpan w:val="2"/>
          </w:tcPr>
          <w:p>
            <w:pPr>
              <w:jc w:val="right"/>
              <w:ind w:right="20"/>
              <w:spacing w:after="0"/>
              <w:rPr>
                <w:rFonts w:ascii="Arial" w:cs="Arial" w:eastAsia="Arial" w:hAnsi="Arial"/>
                <w:sz w:val="18"/>
                <w:szCs w:val="18"/>
                <w:color w:val="0000FF"/>
                <w:w w:val="83"/>
              </w:rPr>
            </w:pPr>
            <w:hyperlink w:anchor="page62">
              <w:r>
                <w:rPr>
                  <w:rFonts w:ascii="Arial" w:cs="Arial" w:eastAsia="Arial" w:hAnsi="Arial"/>
                  <w:sz w:val="18"/>
                  <w:szCs w:val="18"/>
                  <w:color w:val="0000FF"/>
                  <w:w w:val="83"/>
                </w:rPr>
                <w:t>Item 4.</w:t>
              </w:r>
            </w:hyperlink>
          </w:p>
        </w:tc>
        <w:tc>
          <w:tcPr>
            <w:tcW w:w="280" w:type="dxa"/>
            <w:vAlign w:val="bottom"/>
          </w:tcPr>
          <w:p>
            <w:pPr>
              <w:spacing w:after="0"/>
              <w:rPr>
                <w:sz w:val="21"/>
                <w:szCs w:val="21"/>
                <w:color w:val="auto"/>
              </w:rPr>
            </w:pPr>
          </w:p>
        </w:tc>
        <w:tc>
          <w:tcPr>
            <w:tcW w:w="17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62">
              <w:r>
                <w:rPr>
                  <w:rFonts w:ascii="Arial" w:cs="Arial" w:eastAsia="Arial" w:hAnsi="Arial"/>
                  <w:sz w:val="18"/>
                  <w:szCs w:val="18"/>
                  <w:color w:val="0000FF"/>
                  <w:w w:val="88"/>
                </w:rPr>
                <w:t>Mine Safety Disclosures</w:t>
              </w:r>
            </w:hyperlink>
          </w:p>
        </w:tc>
        <w:tc>
          <w:tcPr>
            <w:tcW w:w="540" w:type="dxa"/>
            <w:vAlign w:val="bottom"/>
            <w:tcBorders>
              <w:top w:val="single" w:sz="8" w:color="0000FF"/>
            </w:tcBorders>
          </w:tcPr>
          <w:p>
            <w:pPr>
              <w:spacing w:after="0"/>
              <w:rPr>
                <w:sz w:val="21"/>
                <w:szCs w:val="21"/>
                <w:color w:val="auto"/>
              </w:rPr>
            </w:pPr>
          </w:p>
        </w:tc>
        <w:tc>
          <w:tcPr>
            <w:tcW w:w="6920" w:type="dxa"/>
            <w:vAlign w:val="bottom"/>
            <w:gridSpan w:val="10"/>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0000FF"/>
            </w:tcBorders>
            <w:gridSpan w:val="2"/>
          </w:tcPr>
          <w:p>
            <w:pPr>
              <w:jc w:val="right"/>
              <w:ind w:right="20"/>
              <w:spacing w:after="0"/>
              <w:rPr>
                <w:rFonts w:ascii="Arial" w:cs="Arial" w:eastAsia="Arial" w:hAnsi="Arial"/>
                <w:sz w:val="18"/>
                <w:szCs w:val="18"/>
                <w:color w:val="0000FF"/>
                <w:w w:val="83"/>
              </w:rPr>
            </w:pPr>
            <w:hyperlink w:anchor="page62">
              <w:r>
                <w:rPr>
                  <w:rFonts w:ascii="Arial" w:cs="Arial" w:eastAsia="Arial" w:hAnsi="Arial"/>
                  <w:sz w:val="18"/>
                  <w:szCs w:val="18"/>
                  <w:color w:val="0000FF"/>
                  <w:w w:val="83"/>
                </w:rPr>
                <w:t>Item 5.</w:t>
              </w:r>
            </w:hyperlink>
          </w:p>
        </w:tc>
        <w:tc>
          <w:tcPr>
            <w:tcW w:w="280" w:type="dxa"/>
            <w:vAlign w:val="bottom"/>
          </w:tcPr>
          <w:p>
            <w:pPr>
              <w:spacing w:after="0"/>
              <w:rPr>
                <w:sz w:val="21"/>
                <w:szCs w:val="21"/>
                <w:color w:val="auto"/>
              </w:rPr>
            </w:pPr>
          </w:p>
        </w:tc>
        <w:tc>
          <w:tcPr>
            <w:tcW w:w="12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62">
              <w:r>
                <w:rPr>
                  <w:rFonts w:ascii="Arial" w:cs="Arial" w:eastAsia="Arial" w:hAnsi="Arial"/>
                  <w:sz w:val="18"/>
                  <w:szCs w:val="18"/>
                  <w:color w:val="0000FF"/>
                  <w:w w:val="88"/>
                </w:rPr>
                <w:t>Other Information</w:t>
              </w:r>
            </w:hyperlink>
          </w:p>
        </w:tc>
        <w:tc>
          <w:tcPr>
            <w:tcW w:w="7920" w:type="dxa"/>
            <w:vAlign w:val="bottom"/>
            <w:gridSpan w:val="14"/>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rFonts w:ascii="Arial" w:cs="Arial" w:eastAsia="Arial" w:hAnsi="Arial"/>
                <w:sz w:val="18"/>
                <w:szCs w:val="18"/>
                <w:color w:val="0000FF"/>
                <w:w w:val="83"/>
              </w:rPr>
            </w:pPr>
            <w:hyperlink w:anchor="page62">
              <w:r>
                <w:rPr>
                  <w:rFonts w:ascii="Arial" w:cs="Arial" w:eastAsia="Arial" w:hAnsi="Arial"/>
                  <w:sz w:val="18"/>
                  <w:szCs w:val="18"/>
                  <w:color w:val="0000FF"/>
                  <w:w w:val="83"/>
                </w:rPr>
                <w:t>Item 6.</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180" w:type="dxa"/>
            <w:vAlign w:val="bottom"/>
            <w:gridSpan w:val="18"/>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Exhibits</w:t>
              </w:r>
            </w:hyperlink>
          </w:p>
        </w:tc>
        <w:tc>
          <w:tcPr>
            <w:tcW w:w="68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6"/>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Signatures</w:t>
              </w:r>
            </w:hyperlink>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58</w:t>
              </w:r>
            </w:hyperlink>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terms defined elsewhere in this report, the following terms shall have the meanings set forth below when used in this report:</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“Arculus Ecosystem” </w:t>
      </w:r>
      <w:r>
        <w:rPr>
          <w:rFonts w:ascii="Arial" w:cs="Arial" w:eastAsia="Arial" w:hAnsi="Arial"/>
          <w:sz w:val="18"/>
          <w:szCs w:val="18"/>
          <w:color w:val="auto"/>
        </w:rPr>
        <w:t>refers hardware, software, payments, and services for Digital Assets having a foundation in the secure Arculus Platform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for providing secure storage of Digital Assets.</w:t>
      </w:r>
    </w:p>
    <w:p>
      <w:pPr>
        <w:spacing w:after="0" w:line="20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“Arculus Key™ card” </w:t>
      </w:r>
      <w:r>
        <w:rPr>
          <w:rFonts w:ascii="Arial" w:cs="Arial" w:eastAsia="Arial" w:hAnsi="Arial"/>
          <w:sz w:val="18"/>
          <w:szCs w:val="18"/>
          <w:color w:val="auto"/>
        </w:rPr>
        <w:t>refers to the Company’s initial Cold Storage hardware device configured to interface with CompoSecure’s initial Arculus Wallet™</w:t>
      </w:r>
      <w:r>
        <w:rPr>
          <w:rFonts w:ascii="Arial" w:cs="Arial" w:eastAsia="Arial" w:hAnsi="Arial"/>
          <w:sz w:val="18"/>
          <w:szCs w:val="18"/>
          <w:b w:val="1"/>
          <w:bCs w:val="1"/>
          <w:color w:val="auto"/>
        </w:rPr>
        <w:t xml:space="preserve"> </w:t>
      </w:r>
      <w:r>
        <w:rPr>
          <w:rFonts w:ascii="Arial" w:cs="Arial" w:eastAsia="Arial" w:hAnsi="Arial"/>
          <w:sz w:val="18"/>
          <w:szCs w:val="18"/>
          <w:color w:val="auto"/>
        </w:rPr>
        <w:t>App.</w:t>
      </w:r>
    </w:p>
    <w:p>
      <w:pPr>
        <w:spacing w:after="0" w:line="18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“Arculus Platform” </w:t>
      </w:r>
      <w:r>
        <w:rPr>
          <w:rFonts w:ascii="Arial" w:cs="Arial" w:eastAsia="Arial" w:hAnsi="Arial"/>
          <w:sz w:val="18"/>
          <w:szCs w:val="18"/>
          <w:color w:val="auto"/>
        </w:rPr>
        <w:t>refers to the Company’s three-factor authentication security platform with broad industry applicability for use in the Digital Asset</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including the initial Arculus Cold Storage Wallet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“Arculus Wallet™” </w:t>
      </w:r>
      <w:r>
        <w:rPr>
          <w:rFonts w:ascii="Arial" w:cs="Arial" w:eastAsia="Arial" w:hAnsi="Arial"/>
          <w:sz w:val="18"/>
          <w:szCs w:val="18"/>
          <w:color w:val="auto"/>
        </w:rPr>
        <w:t>refers to the Company’s initial Wallet App configured to interface with the Arculus Key card Cold Storage.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 </w:t>
      </w:r>
      <w:r>
        <w:rPr>
          <w:rFonts w:ascii="Arial" w:cs="Arial" w:eastAsia="Arial" w:hAnsi="Arial"/>
          <w:sz w:val="18"/>
          <w:szCs w:val="18"/>
          <w:color w:val="auto"/>
        </w:rPr>
        <w:t>refers to a software application available on a mobile or cellular telephone.</w:t>
      </w:r>
    </w:p>
    <w:p>
      <w:pPr>
        <w:spacing w:after="0" w:line="252"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“Arculus Cold Storage Wallet” </w:t>
      </w:r>
      <w:r>
        <w:rPr>
          <w:rFonts w:ascii="Arial" w:cs="Arial" w:eastAsia="Arial" w:hAnsi="Arial"/>
          <w:sz w:val="18"/>
          <w:szCs w:val="18"/>
          <w:color w:val="auto"/>
        </w:rPr>
        <w:t>refers generally to databases that maintain information across a network of computers in a decentralized or distributed</w:t>
      </w:r>
      <w:r>
        <w:rPr>
          <w:rFonts w:ascii="Arial" w:cs="Arial" w:eastAsia="Arial" w:hAnsi="Arial"/>
          <w:sz w:val="18"/>
          <w:szCs w:val="18"/>
          <w:b w:val="1"/>
          <w:bCs w:val="1"/>
          <w:color w:val="auto"/>
        </w:rPr>
        <w:t xml:space="preserve"> </w:t>
      </w:r>
      <w:r>
        <w:rPr>
          <w:rFonts w:ascii="Arial" w:cs="Arial" w:eastAsia="Arial" w:hAnsi="Arial"/>
          <w:sz w:val="18"/>
          <w:szCs w:val="18"/>
          <w:color w:val="auto"/>
        </w:rPr>
        <w:t>manner, which networks often use cryptographic protocols to ensure data integrity. Blockchains often are used to issue and transfer ownership of Digital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the transactions contemplated by the Merger Agreement.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means the closing of the Business Combination.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means the date of the Closing.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“Cold Storage” </w:t>
      </w:r>
      <w:r>
        <w:rPr>
          <w:rFonts w:ascii="Arial" w:cs="Arial" w:eastAsia="Arial" w:hAnsi="Arial"/>
          <w:sz w:val="18"/>
          <w:szCs w:val="18"/>
          <w:color w:val="auto"/>
        </w:rPr>
        <w:t>is a method of holding Cryptocurrency assets in an environment that is not connected to the Internet.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our Class A Common Stock and Class B Common Stock.</w:t>
      </w:r>
    </w:p>
    <w:p>
      <w:pPr>
        <w:spacing w:after="0" w:line="252"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 xml:space="preserve">“Cryptocurrency” </w:t>
      </w:r>
      <w:r>
        <w:rPr>
          <w:rFonts w:ascii="Arial" w:cs="Arial" w:eastAsia="Arial" w:hAnsi="Arial"/>
          <w:sz w:val="17"/>
          <w:szCs w:val="17"/>
          <w:color w:val="auto"/>
        </w:rPr>
        <w:t>means any Digital Asset that uses cryptographic technologies to maintain its operation as a currency or decentralized lication,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Bitcoin, Bitcoin Cash and Ethereum, that is secured using Blockchain encryption technologies, and includes stablecoins and tokens.</w:t>
      </w:r>
    </w:p>
    <w:p>
      <w:pPr>
        <w:spacing w:after="0" w:line="167"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“Digital Asset” </w:t>
      </w:r>
      <w:r>
        <w:rPr>
          <w:rFonts w:ascii="Arial" w:cs="Arial" w:eastAsia="Arial" w:hAnsi="Arial"/>
          <w:sz w:val="18"/>
          <w:szCs w:val="18"/>
          <w:color w:val="auto"/>
        </w:rPr>
        <w:t>means an asset that is issued and/or transferred using distributed ledger or Blockchain technology,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Cryptocurrencies, and also may be referred to as “virtual currencies,” “coins” and “tokens.”</w:t>
      </w:r>
    </w:p>
    <w:p>
      <w:pPr>
        <w:spacing w:after="0" w:line="20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“Dual-Interface” </w:t>
      </w:r>
      <w:r>
        <w:rPr>
          <w:rFonts w:ascii="Arial" w:cs="Arial" w:eastAsia="Arial" w:hAnsi="Arial"/>
          <w:sz w:val="18"/>
          <w:szCs w:val="18"/>
          <w:color w:val="auto"/>
        </w:rPr>
        <w:t>(also known as “tap-to-pay”) refers to Payment Cards which contain an embedded chip that allows for both contact and contactless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functionality.</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“EMV” </w:t>
      </w:r>
      <w:r>
        <w:rPr>
          <w:rFonts w:ascii="Arial" w:cs="Arial" w:eastAsia="Arial" w:hAnsi="Arial"/>
          <w:sz w:val="18"/>
          <w:szCs w:val="18"/>
          <w:color w:val="auto"/>
        </w:rPr>
        <w:t>(an acronym derived from the names Europay, Mastercard and Visa) is a high-security payment protocol for Payment Cards which utilizes an</w:t>
      </w:r>
      <w:r>
        <w:rPr>
          <w:rFonts w:ascii="Arial" w:cs="Arial" w:eastAsia="Arial" w:hAnsi="Arial"/>
          <w:sz w:val="18"/>
          <w:szCs w:val="18"/>
          <w:b w:val="1"/>
          <w:bCs w:val="1"/>
          <w:color w:val="auto"/>
        </w:rPr>
        <w:t xml:space="preserve"> </w:t>
      </w:r>
      <w:r>
        <w:rPr>
          <w:rFonts w:ascii="Arial" w:cs="Arial" w:eastAsia="Arial" w:hAnsi="Arial"/>
          <w:sz w:val="18"/>
          <w:szCs w:val="18"/>
          <w:color w:val="auto"/>
        </w:rPr>
        <w:t>embedded microprocessor that, when paired with an EMV® enabled payment terminal, authenticates cardholder transactions. EMV® cards are often called “chip cards”.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“FinTech” </w:t>
      </w:r>
      <w:r>
        <w:rPr>
          <w:rFonts w:ascii="Arial" w:cs="Arial" w:eastAsia="Arial" w:hAnsi="Arial"/>
          <w:sz w:val="18"/>
          <w:szCs w:val="18"/>
          <w:color w:val="auto"/>
        </w:rPr>
        <w:t>is a word formed from the combination of “financial” and “technology” and is used to describe new technologies to deliver financial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businesses and consumers manage their financial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“Holdings” </w:t>
      </w:r>
      <w:r>
        <w:rPr>
          <w:rFonts w:ascii="Arial" w:cs="Arial" w:eastAsia="Arial" w:hAnsi="Arial"/>
          <w:sz w:val="18"/>
          <w:szCs w:val="18"/>
          <w:color w:val="auto"/>
        </w:rPr>
        <w:t>means CompoSecure Holdings, L.L.C., a subsidiary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“Hot Storage” </w:t>
      </w:r>
      <w:r>
        <w:rPr>
          <w:rFonts w:ascii="Arial" w:cs="Arial" w:eastAsia="Arial" w:hAnsi="Arial"/>
          <w:sz w:val="18"/>
          <w:szCs w:val="18"/>
          <w:color w:val="auto"/>
        </w:rPr>
        <w:t>is a method of holding Cryptocurrency assets in an environment this is connected to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ind w:right="300"/>
        <w:spacing w:after="0" w:line="314" w:lineRule="auto"/>
        <w:rPr>
          <w:sz w:val="20"/>
          <w:szCs w:val="20"/>
          <w:color w:val="auto"/>
        </w:rPr>
      </w:pPr>
      <w:r>
        <w:rPr>
          <w:rFonts w:ascii="Arial" w:cs="Arial" w:eastAsia="Arial" w:hAnsi="Arial"/>
          <w:sz w:val="16"/>
          <w:szCs w:val="16"/>
          <w:b w:val="1"/>
          <w:bCs w:val="1"/>
          <w:color w:val="auto"/>
        </w:rPr>
        <w:t xml:space="preserve">“Merger Agreement” </w:t>
      </w:r>
      <w:r>
        <w:rPr>
          <w:rFonts w:ascii="Arial" w:cs="Arial" w:eastAsia="Arial" w:hAnsi="Arial"/>
          <w:sz w:val="16"/>
          <w:szCs w:val="16"/>
          <w:color w:val="auto"/>
        </w:rPr>
        <w:t>means that certain Agreement and Plan of Merger, dated as of April 19, 2021, by and among Roman DBDR, Holdings, Roman</w:t>
      </w:r>
      <w:r>
        <w:rPr>
          <w:rFonts w:ascii="Arial" w:cs="Arial" w:eastAsia="Arial" w:hAnsi="Arial"/>
          <w:sz w:val="16"/>
          <w:szCs w:val="16"/>
          <w:b w:val="1"/>
          <w:bCs w:val="1"/>
          <w:color w:val="auto"/>
        </w:rPr>
        <w:t xml:space="preserve"> </w:t>
      </w:r>
      <w:r>
        <w:rPr>
          <w:rFonts w:ascii="Arial" w:cs="Arial" w:eastAsia="Arial" w:hAnsi="Arial"/>
          <w:sz w:val="16"/>
          <w:szCs w:val="16"/>
          <w:color w:val="auto"/>
        </w:rPr>
        <w:t>Parent Merger Sub, LLC, a Delaware limited liability company and wholly-owned subsidiary of Roman DBDR and LLR Equity Partners IV, L.P., a Delaware limited partnership, as subsequently amended by that certain First Amendment to the Merger Agreement, dated as of May 25,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“Metal Form Factor” </w:t>
      </w:r>
      <w:r>
        <w:rPr>
          <w:rFonts w:ascii="Arial" w:cs="Arial" w:eastAsia="Arial" w:hAnsi="Arial"/>
          <w:sz w:val="18"/>
          <w:szCs w:val="18"/>
          <w:color w:val="auto"/>
        </w:rPr>
        <w:t>is the industry term used to describe Payment Cards made from or including metal in their construction.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“NFC” </w:t>
      </w:r>
      <w:r>
        <w:rPr>
          <w:rFonts w:ascii="Arial" w:cs="Arial" w:eastAsia="Arial" w:hAnsi="Arial"/>
          <w:sz w:val="17"/>
          <w:szCs w:val="17"/>
          <w:color w:val="auto"/>
        </w:rPr>
        <w:t>refers to the near-field communications protocol which enables RFID communications between Payment Cards and payment terminals.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Cards” </w:t>
      </w:r>
      <w:r>
        <w:rPr>
          <w:rFonts w:ascii="Arial" w:cs="Arial" w:eastAsia="Arial" w:hAnsi="Arial"/>
          <w:sz w:val="18"/>
          <w:szCs w:val="18"/>
          <w:color w:val="auto"/>
        </w:rPr>
        <w:t>are credit and debit cards issued on the network of one of the Payment Networks.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“Payments Industry” </w:t>
      </w:r>
      <w:r>
        <w:rPr>
          <w:rFonts w:ascii="Arial" w:cs="Arial" w:eastAsia="Arial" w:hAnsi="Arial"/>
          <w:sz w:val="18"/>
          <w:szCs w:val="18"/>
          <w:color w:val="auto"/>
        </w:rPr>
        <w:t>refers to the overall market for payments processing, including banks and other</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credit and transaction card issuers, card associations, payment processors, and other providers of services and products to facilitate currency transactions, including Cryptocurrency transactions.</w:t>
      </w:r>
    </w:p>
    <w:p>
      <w:pPr>
        <w:spacing w:after="0" w:line="22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“Payment Networks” </w:t>
      </w:r>
      <w:r>
        <w:rPr>
          <w:rFonts w:ascii="Arial" w:cs="Arial" w:eastAsia="Arial" w:hAnsi="Arial"/>
          <w:sz w:val="18"/>
          <w:szCs w:val="18"/>
          <w:color w:val="auto"/>
        </w:rPr>
        <w:t>refers to the primary credit and debit card payment networks, including the networks operated by Visa, MasterCard,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Discover, and China Union Pay.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“PCI” </w:t>
      </w:r>
      <w:r>
        <w:rPr>
          <w:rFonts w:ascii="Arial" w:cs="Arial" w:eastAsia="Arial" w:hAnsi="Arial"/>
          <w:sz w:val="18"/>
          <w:szCs w:val="18"/>
          <w:color w:val="auto"/>
        </w:rPr>
        <w:t>refers to the Payment Card Industry.</w:t>
      </w:r>
    </w:p>
    <w:p>
      <w:pPr>
        <w:spacing w:after="0" w:line="25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“PCI Security Standards” </w:t>
      </w:r>
      <w:r>
        <w:rPr>
          <w:rFonts w:ascii="Arial" w:cs="Arial" w:eastAsia="Arial" w:hAnsi="Arial"/>
          <w:sz w:val="18"/>
          <w:szCs w:val="18"/>
          <w:color w:val="auto"/>
        </w:rPr>
        <w:t>refer to the Payment Card Industry Physical Security Requirements and the Payment Card Industry Logical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established by the PCI Security Standards Council, which governs the secure handling of Payment Cards during manufacture, storage and shipping.</w:t>
      </w:r>
    </w:p>
    <w:p>
      <w:pPr>
        <w:spacing w:after="0" w:line="21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“Personalization” </w:t>
      </w:r>
      <w:r>
        <w:rPr>
          <w:rFonts w:ascii="Arial" w:cs="Arial" w:eastAsia="Arial" w:hAnsi="Arial"/>
          <w:sz w:val="18"/>
          <w:szCs w:val="18"/>
          <w:color w:val="auto"/>
        </w:rPr>
        <w:t>is the process of encoding, programming and embossing or laser engraving a Financial Card with the cardholder’s name,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number and other information.</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“Prelams” </w:t>
      </w:r>
      <w:r>
        <w:rPr>
          <w:rFonts w:ascii="Arial" w:cs="Arial" w:eastAsia="Arial" w:hAnsi="Arial"/>
          <w:sz w:val="18"/>
          <w:szCs w:val="18"/>
          <w:color w:val="auto"/>
        </w:rPr>
        <w:t>refers to pre-laminated, sub-assemblies consisting of a composite of material layers which are partially laminated to be used as a component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multiple layers of a final Payment Card or other card construction.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“Private Keys” </w:t>
      </w:r>
      <w:r>
        <w:rPr>
          <w:rFonts w:ascii="Arial" w:cs="Arial" w:eastAsia="Arial" w:hAnsi="Arial"/>
          <w:sz w:val="18"/>
          <w:szCs w:val="18"/>
          <w:color w:val="auto"/>
        </w:rPr>
        <w:t>refers to codes needed for a user to access their Cryptocurrencies or other Digital Assets.</w:t>
      </w:r>
    </w:p>
    <w:p>
      <w:pPr>
        <w:spacing w:after="0" w:line="2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“Public Warrants” </w:t>
      </w:r>
      <w:r>
        <w:rPr>
          <w:rFonts w:ascii="Arial" w:cs="Arial" w:eastAsia="Arial" w:hAnsi="Arial"/>
          <w:sz w:val="18"/>
          <w:szCs w:val="18"/>
          <w:color w:val="auto"/>
        </w:rPr>
        <w:t>refers to outstanding registered warrants issued in connection with the registrant’s initial public offering to purchase up to 11,578,000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Class A Common Stock.</w:t>
      </w:r>
    </w:p>
    <w:p>
      <w:pPr>
        <w:spacing w:after="0" w:line="189" w:lineRule="exact"/>
        <w:rPr>
          <w:sz w:val="20"/>
          <w:szCs w:val="20"/>
          <w:color w:val="auto"/>
        </w:rPr>
      </w:pPr>
    </w:p>
    <w:p>
      <w:pPr>
        <w:ind w:right="3860"/>
        <w:spacing w:after="0" w:line="282" w:lineRule="auto"/>
        <w:rPr>
          <w:sz w:val="20"/>
          <w:szCs w:val="20"/>
          <w:color w:val="auto"/>
        </w:rPr>
      </w:pPr>
      <w:r>
        <w:rPr>
          <w:rFonts w:ascii="Arial" w:cs="Arial" w:eastAsia="Arial" w:hAnsi="Arial"/>
          <w:sz w:val="18"/>
          <w:szCs w:val="18"/>
          <w:b w:val="1"/>
          <w:bCs w:val="1"/>
          <w:color w:val="auto"/>
        </w:rPr>
        <w:t xml:space="preserve">“RFID” </w:t>
      </w:r>
      <w:r>
        <w:rPr>
          <w:rFonts w:ascii="Arial" w:cs="Arial" w:eastAsia="Arial" w:hAnsi="Arial"/>
          <w:sz w:val="18"/>
          <w:szCs w:val="18"/>
          <w:color w:val="auto"/>
        </w:rPr>
        <w:t>refers to radio-frequency identification which uses electronic tags placed on objects to relay</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identifying information to an electronic reader through radio waves.</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“Resale Warrants” </w:t>
      </w:r>
      <w:r>
        <w:rPr>
          <w:rFonts w:ascii="Arial" w:cs="Arial" w:eastAsia="Arial" w:hAnsi="Arial"/>
          <w:sz w:val="18"/>
          <w:szCs w:val="18"/>
          <w:color w:val="auto"/>
        </w:rPr>
        <w:t>refers to the warrants to purchase up to 10,837,400 shares of Class A Common Stock of the Company originally issued in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in connection with the initial public offering of Roman DBDR and registered for resale pursuant to our registration statement on Form S-1 (File No. 333-262341).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“Roman Sponsor” </w:t>
      </w:r>
      <w:r>
        <w:rPr>
          <w:rFonts w:ascii="Arial" w:cs="Arial" w:eastAsia="Arial" w:hAnsi="Arial"/>
          <w:sz w:val="18"/>
          <w:szCs w:val="18"/>
          <w:color w:val="auto"/>
        </w:rPr>
        <w:t>means Roman DBDR Tech Sponsor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“Roman DBDR” </w:t>
      </w:r>
      <w:r>
        <w:rPr>
          <w:rFonts w:ascii="Arial" w:cs="Arial" w:eastAsia="Arial" w:hAnsi="Arial"/>
          <w:sz w:val="16"/>
          <w:szCs w:val="16"/>
          <w:color w:val="auto"/>
        </w:rPr>
        <w:t>means Roman DBDR Tech Acquisition Corp, a Delaware corporation and the name of the company prior to the Business Combination</w:t>
      </w:r>
      <w:r>
        <w:rPr>
          <w:rFonts w:ascii="Arial" w:cs="Arial" w:eastAsia="Arial" w:hAnsi="Arial"/>
          <w:sz w:val="17"/>
          <w:szCs w:val="17"/>
          <w:b w:val="1"/>
          <w:bCs w:val="1"/>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U.S. Securities Exchange Commission or any successor organization.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“Stockholders” </w:t>
      </w:r>
      <w:r>
        <w:rPr>
          <w:rFonts w:ascii="Arial" w:cs="Arial" w:eastAsia="Arial" w:hAnsi="Arial"/>
          <w:sz w:val="18"/>
          <w:szCs w:val="18"/>
          <w:color w:val="auto"/>
        </w:rPr>
        <w:t>means the holders of our Class A Common Stock and Class B Common Stock.</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“Tax Receivable Amount” </w:t>
      </w:r>
      <w:r>
        <w:rPr>
          <w:rFonts w:ascii="Arial" w:cs="Arial" w:eastAsia="Arial" w:hAnsi="Arial"/>
          <w:sz w:val="18"/>
          <w:szCs w:val="18"/>
          <w:color w:val="auto"/>
        </w:rPr>
        <w:t>means the aggregate amount of all payments to be made to the holders of CompoSecure Units prior to the Closing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Receivables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“Wallet” </w:t>
      </w:r>
      <w:r>
        <w:rPr>
          <w:rFonts w:ascii="Arial" w:cs="Arial" w:eastAsia="Arial" w:hAnsi="Arial"/>
          <w:sz w:val="18"/>
          <w:szCs w:val="18"/>
          <w:color w:val="auto"/>
        </w:rPr>
        <w:t>means a device or service which enables storage of, and access to, Digital Assets, such as Cryptocurrency.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means the Public Warrants and the Resale Warrants.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2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2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outcome of any legal proceedings that may be instituted against the Company or others;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risk that the completion of the Business Combination disrupts the Company’s current plans and operations;</w:t>
      </w:r>
    </w:p>
    <w:p>
      <w:pPr>
        <w:spacing w:after="0" w:line="269" w:lineRule="exact"/>
        <w:rPr>
          <w:rFonts w:ascii="Arial" w:cs="Arial" w:eastAsia="Arial" w:hAnsi="Arial"/>
          <w:sz w:val="22"/>
          <w:szCs w:val="22"/>
          <w:color w:val="auto"/>
        </w:rPr>
      </w:pPr>
    </w:p>
    <w:p>
      <w:pPr>
        <w:ind w:left="660" w:hanging="328"/>
        <w:spacing w:after="0" w:line="297"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6"/>
          <w:szCs w:val="16"/>
          <w:color w:val="auto"/>
        </w:rPr>
        <w:t>the ability to recognize the anticipated benefits of the Business Combination, which may be affected by, among other things, the ability of the Company to grow and manage growth profitably, maintain relationships with customers, compete within its industry and retain its key employees;</w:t>
      </w:r>
    </w:p>
    <w:p>
      <w:pPr>
        <w:spacing w:after="0" w:line="194"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costs related to the Business Combination;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possibility that the Company may be adversely impacted by other economic, business, and/or competitive factors;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future exchange and interest rates; and</w:t>
      </w:r>
    </w:p>
    <w:p>
      <w:pPr>
        <w:spacing w:after="0" w:line="269"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other risks and uncertainties indicated in this report, including those under “Risk Factors” herein, and other filings that have been made or will be made with the SEC.</w:t>
      </w:r>
    </w:p>
    <w:p>
      <w:pPr>
        <w:spacing w:after="0" w:line="2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6" w:name="page7"/>
    <w:bookmarkEnd w:id="6"/>
    <w:p>
      <w:pPr>
        <w:jc w:val="right"/>
        <w:ind w:right="3399"/>
        <w:spacing w:after="0"/>
        <w:rPr>
          <w:sz w:val="20"/>
          <w:szCs w:val="20"/>
          <w:color w:val="auto"/>
        </w:rPr>
      </w:pPr>
      <w:r>
        <w:rPr>
          <w:rFonts w:ascii="Arial" w:cs="Arial" w:eastAsia="Arial" w:hAnsi="Arial"/>
          <w:sz w:val="18"/>
          <w:szCs w:val="18"/>
          <w:b w:val="1"/>
          <w:bCs w:val="1"/>
          <w:color w:val="auto"/>
        </w:rPr>
        <w:t>Part I -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Balance Sheets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20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500" w:type="dxa"/>
            <w:vAlign w:val="bottom"/>
          </w:tcPr>
          <w:p>
            <w:pPr>
              <w:jc w:val="right"/>
              <w:ind w:right="247"/>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187"/>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607"/>
              <w:spacing w:after="0"/>
              <w:rPr>
                <w:sz w:val="20"/>
                <w:szCs w:val="20"/>
                <w:color w:val="auto"/>
              </w:rPr>
            </w:pPr>
            <w:r>
              <w:rPr>
                <w:rFonts w:ascii="Arial" w:cs="Arial" w:eastAsia="Arial" w:hAnsi="Arial"/>
                <w:sz w:val="18"/>
                <w:szCs w:val="18"/>
                <w:b w:val="1"/>
                <w:bCs w:val="1"/>
                <w:color w:val="auto"/>
              </w:rPr>
              <w:t>2021</w:t>
            </w:r>
          </w:p>
        </w:tc>
      </w:tr>
      <w:tr>
        <w:trPr>
          <w:trHeight w:val="27"/>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6"/>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21,944</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38,584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27,925</w:t>
            </w:r>
          </w:p>
        </w:tc>
      </w:tr>
      <w:tr>
        <w:trPr>
          <w:trHeight w:val="26"/>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Inventories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25,806</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2,596</w:t>
            </w:r>
          </w:p>
        </w:tc>
      </w:tr>
      <w:tr>
        <w:trPr>
          <w:trHeight w:val="26"/>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88,279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78,271</w:t>
            </w:r>
          </w:p>
        </w:tc>
      </w:tr>
      <w:tr>
        <w:trPr>
          <w:trHeight w:val="203"/>
        </w:trPr>
        <w:tc>
          <w:tcPr>
            <w:tcW w:w="7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22,177</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Right of use asset,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5,246</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25,650</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Derivative asset - interest rate swap</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and 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23"/>
        </w:trPr>
        <w:tc>
          <w:tcPr>
            <w:tcW w:w="7740" w:type="dxa"/>
            <w:vAlign w:val="bottom"/>
          </w:tcPr>
          <w:p>
            <w:pPr>
              <w:ind w:left="100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143,491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131,354</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DEFICIT</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6"/>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Current portion of long-term debt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14,063</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Current portion of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7,058</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Accrued expenses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13,220</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Issuance costs payable</w:t>
            </w:r>
          </w:p>
        </w:tc>
        <w:tc>
          <w:tcPr>
            <w:tcW w:w="2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23,107</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Bonus payable</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3,512</w:t>
            </w:r>
          </w:p>
        </w:tc>
      </w:tr>
      <w:tr>
        <w:trPr>
          <w:trHeight w:val="198"/>
        </w:trPr>
        <w:tc>
          <w:tcPr>
            <w:tcW w:w="7740" w:type="dxa"/>
            <w:vAlign w:val="bottom"/>
          </w:tcPr>
          <w:p>
            <w:pPr>
              <w:ind w:left="100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38,386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60,516</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Long-term debt, net of deferred finance costs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228,954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233,132</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126,897</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Derivative liability - convertible notes redemption make-whole provision</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552</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35,271</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Line of credit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4,709</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Tax receivable agreement liability</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24,500</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Earnout consideration liability</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38,427</w:t>
            </w:r>
          </w:p>
        </w:tc>
      </w:tr>
      <w:tr>
        <w:trPr>
          <w:trHeight w:val="198"/>
        </w:trPr>
        <w:tc>
          <w:tcPr>
            <w:tcW w:w="7740" w:type="dxa"/>
            <w:vAlign w:val="bottom"/>
          </w:tcPr>
          <w:p>
            <w:pPr>
              <w:ind w:left="100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520,084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539,004</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3"/>
        </w:trPr>
        <w:tc>
          <w:tcPr>
            <w:tcW w:w="7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2"/>
        </w:trPr>
        <w:tc>
          <w:tcPr>
            <w:tcW w:w="7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Redeemable non-controlling interest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608,311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608,311</w:t>
            </w:r>
          </w:p>
        </w:tc>
      </w:tr>
      <w:tr>
        <w:trPr>
          <w:trHeight w:val="25"/>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7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Preferred stock, $0.0001 par value; 10,000,000 shares authorized, no shares issued and outstanding</w:t>
            </w:r>
          </w:p>
        </w:tc>
        <w:tc>
          <w:tcPr>
            <w:tcW w:w="2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Class A common stock, $0.0001 par value; 250,000,000 shares authorized, 14,954,982 and 14,929,982 shares issued and outstanding</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8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March 31, 2022 and December 31, 2021, respectively</w:t>
            </w:r>
          </w:p>
        </w:tc>
        <w:tc>
          <w:tcPr>
            <w:tcW w:w="2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w w:val="93"/>
              </w:rPr>
              <w:t>Class B common stock, $0.0001 par value; 75,000,000 shares authorized, 61,136,800 shares issued and outstanding as of March 31,</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2022 and December 31, 2021</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12,261</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(1,001,321)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(1,028,229)</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Total Stockholders' deficit</w:t>
            </w: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(984,904)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(1,015,961)</w:t>
            </w:r>
          </w:p>
        </w:tc>
      </w:tr>
      <w:tr>
        <w:trPr>
          <w:trHeight w:val="25"/>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DEFICIT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131,354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Operations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020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500" w:type="dxa"/>
            <w:vAlign w:val="bottom"/>
            <w:gridSpan w:val="5"/>
          </w:tcPr>
          <w:p>
            <w:pPr>
              <w:jc w:val="right"/>
              <w:ind w:right="438"/>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center"/>
              <w:ind w:right="318"/>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12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63,722</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29,406</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Gross profit</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34,316</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General and administrative expenses</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0" w:type="dxa"/>
            <w:vAlign w:val="bottom"/>
          </w:tcPr>
          <w:p>
            <w:pPr>
              <w:spacing w:after="0"/>
              <w:rPr>
                <w:sz w:val="1"/>
                <w:szCs w:val="1"/>
                <w:color w:val="auto"/>
              </w:rPr>
            </w:pPr>
          </w:p>
        </w:tc>
      </w:tr>
      <w:tr>
        <w:trPr>
          <w:trHeight w:val="243"/>
        </w:trPr>
        <w:tc>
          <w:tcPr>
            <w:tcW w:w="7740" w:type="dxa"/>
            <w:vAlign w:val="bottom"/>
          </w:tcPr>
          <w:p>
            <w:pPr>
              <w:ind w:left="560"/>
              <w:spacing w:after="0"/>
              <w:rPr>
                <w:sz w:val="20"/>
                <w:szCs w:val="20"/>
                <w:color w:val="auto"/>
              </w:rPr>
            </w:pPr>
            <w:r>
              <w:rPr>
                <w:rFonts w:ascii="Arial" w:cs="Arial" w:eastAsia="Arial" w:hAnsi="Arial"/>
                <w:sz w:val="16"/>
                <w:szCs w:val="16"/>
                <w:color w:val="auto"/>
              </w:rPr>
              <w:t>Selling expenses</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26,259</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6"/>
                <w:szCs w:val="16"/>
                <w:color w:val="auto"/>
              </w:rPr>
              <w:t>Revaluation of warrant liability</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Revaluation of earnout consideration liability</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740" w:type="dxa"/>
            <w:vAlign w:val="bottom"/>
          </w:tcPr>
          <w:p>
            <w:pPr>
              <w:ind w:left="520"/>
              <w:spacing w:after="0"/>
              <w:rPr>
                <w:sz w:val="20"/>
                <w:szCs w:val="20"/>
                <w:color w:val="auto"/>
              </w:rPr>
            </w:pPr>
            <w:r>
              <w:rPr>
                <w:rFonts w:ascii="Arial" w:cs="Arial" w:eastAsia="Arial" w:hAnsi="Arial"/>
                <w:sz w:val="16"/>
                <w:szCs w:val="16"/>
                <w:color w:val="auto"/>
              </w:rPr>
              <w:t>Change in fair value of derivative liability - convertible notes redemption make-whole provision</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Interest expense, net</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6"/>
                <w:szCs w:val="16"/>
                <w:color w:val="auto"/>
              </w:rPr>
              <w:t>Amortization of deferred financing costs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other expenses, net</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17"/>
        </w:trPr>
        <w:tc>
          <w:tcPr>
            <w:tcW w:w="77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27,451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23,222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7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26,908</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23,222</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7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740" w:type="dxa"/>
            <w:vAlign w:val="bottom"/>
          </w:tcPr>
          <w:p>
            <w:pPr>
              <w:ind w:left="520"/>
              <w:spacing w:after="0"/>
              <w:rPr>
                <w:sz w:val="20"/>
                <w:szCs w:val="20"/>
                <w:color w:val="auto"/>
              </w:rPr>
            </w:pPr>
            <w:r>
              <w:rPr>
                <w:rFonts w:ascii="Arial" w:cs="Arial" w:eastAsia="Arial" w:hAnsi="Arial"/>
                <w:sz w:val="16"/>
                <w:szCs w:val="16"/>
                <w:color w:val="auto"/>
              </w:rPr>
              <w:t>Net income attributable to redeemable non-controlling interests</w:t>
            </w:r>
          </w:p>
        </w:tc>
        <w:tc>
          <w:tcPr>
            <w:tcW w:w="1120" w:type="dxa"/>
            <w:vAlign w:val="bottom"/>
          </w:tcPr>
          <w:p>
            <w:pPr>
              <w:jc w:val="right"/>
              <w:ind w:right="937"/>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22,167</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income attributable to CompoSecure, Inc.</w:t>
            </w:r>
          </w:p>
        </w:tc>
        <w:tc>
          <w:tcPr>
            <w:tcW w:w="112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23,222</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Class A common stockholders - basic</w:t>
            </w:r>
          </w:p>
        </w:tc>
        <w:tc>
          <w:tcPr>
            <w:tcW w:w="112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ind w:right="298"/>
              <w:spacing w:after="0"/>
              <w:rPr>
                <w:sz w:val="20"/>
                <w:szCs w:val="20"/>
                <w:color w:val="auto"/>
              </w:rPr>
            </w:pPr>
            <w:r>
              <w:rPr>
                <w:rFonts w:ascii="Arial" w:cs="Arial" w:eastAsia="Arial" w:hAnsi="Arial"/>
                <w:sz w:val="16"/>
                <w:szCs w:val="16"/>
                <w:color w:val="auto"/>
                <w:w w:val="80"/>
              </w:rPr>
              <w:t>n/a</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Net income per share attributable to Class A common stockholders - diluted</w:t>
            </w:r>
          </w:p>
        </w:tc>
        <w:tc>
          <w:tcPr>
            <w:tcW w:w="1120" w:type="dxa"/>
            <w:vAlign w:val="bottom"/>
          </w:tcPr>
          <w:p>
            <w:pPr>
              <w:jc w:val="right"/>
              <w:ind w:right="937"/>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center"/>
              <w:ind w:right="298"/>
              <w:spacing w:after="0"/>
              <w:rPr>
                <w:sz w:val="20"/>
                <w:szCs w:val="20"/>
                <w:color w:val="auto"/>
              </w:rPr>
            </w:pPr>
            <w:r>
              <w:rPr>
                <w:rFonts w:ascii="Arial" w:cs="Arial" w:eastAsia="Arial" w:hAnsi="Arial"/>
                <w:sz w:val="16"/>
                <w:szCs w:val="16"/>
                <w:color w:val="auto"/>
                <w:w w:val="80"/>
              </w:rPr>
              <w:t>n/a</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w w:val="92"/>
              </w:rPr>
              <w:t>Weighted average shares used to compute net income per share attributable to Class A common stockholders - basic</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center"/>
              <w:ind w:right="298"/>
              <w:spacing w:after="0"/>
              <w:rPr>
                <w:sz w:val="20"/>
                <w:szCs w:val="20"/>
                <w:color w:val="auto"/>
              </w:rPr>
            </w:pPr>
            <w:r>
              <w:rPr>
                <w:rFonts w:ascii="Arial" w:cs="Arial" w:eastAsia="Arial" w:hAnsi="Arial"/>
                <w:sz w:val="16"/>
                <w:szCs w:val="16"/>
                <w:color w:val="auto"/>
                <w:w w:val="80"/>
              </w:rPr>
              <w:t>n/a</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Weighted average shares used to compute net income per share attributable to Class A common stockholders - diluted</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center"/>
              <w:ind w:right="298"/>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unaudited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Comprehensive Income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9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23,222</w:t>
            </w:r>
          </w:p>
        </w:tc>
      </w:tr>
      <w:tr>
        <w:trPr>
          <w:trHeight w:val="203"/>
        </w:trPr>
        <w:tc>
          <w:tcPr>
            <w:tcW w:w="7740" w:type="dxa"/>
            <w:vAlign w:val="bottom"/>
          </w:tcPr>
          <w:p>
            <w:pPr>
              <w:ind w:left="20"/>
              <w:spacing w:after="0"/>
              <w:rPr>
                <w:sz w:val="20"/>
                <w:szCs w:val="20"/>
                <w:color w:val="auto"/>
              </w:rPr>
            </w:pPr>
            <w:r>
              <w:rPr>
                <w:rFonts w:ascii="Arial" w:cs="Arial" w:eastAsia="Arial" w:hAnsi="Arial"/>
                <w:sz w:val="16"/>
                <w:szCs w:val="16"/>
                <w:color w:val="auto"/>
              </w:rPr>
              <w:t>Other comprehensive income, net:</w:t>
            </w:r>
          </w:p>
        </w:tc>
        <w:tc>
          <w:tcPr>
            <w:tcW w:w="1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6"/>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Unrealized gain on derivative - interest rate swap (net of tax of $167)</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740" w:type="dxa"/>
            <w:vAlign w:val="bottom"/>
          </w:tcPr>
          <w:p>
            <w:pPr>
              <w:ind w:left="20"/>
              <w:spacing w:after="0"/>
              <w:rPr>
                <w:sz w:val="20"/>
                <w:szCs w:val="20"/>
                <w:color w:val="auto"/>
              </w:rPr>
            </w:pPr>
            <w:r>
              <w:rPr>
                <w:rFonts w:ascii="Arial" w:cs="Arial" w:eastAsia="Arial" w:hAnsi="Arial"/>
                <w:sz w:val="16"/>
                <w:szCs w:val="16"/>
                <w:color w:val="auto"/>
              </w:rPr>
              <w:t>Total other comprehensive income, net</w:t>
            </w: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3,869</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72"/>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30,777</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23,222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unaudited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Stockholders' Deficit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840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Accumulated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b w:val="1"/>
                <w:bCs w:val="1"/>
                <w:color w:val="auto"/>
                <w:w w:val="95"/>
              </w:rPr>
              <w:t>Redeemable</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Total</w:t>
            </w:r>
          </w:p>
        </w:tc>
        <w:tc>
          <w:tcPr>
            <w:tcW w:w="120" w:type="dxa"/>
            <w:vAlign w:val="bottom"/>
          </w:tcPr>
          <w:p>
            <w:pPr>
              <w:spacing w:after="0"/>
              <w:rPr>
                <w:sz w:val="16"/>
                <w:szCs w:val="16"/>
                <w:color w:val="auto"/>
              </w:rPr>
            </w:pPr>
          </w:p>
        </w:tc>
        <w:tc>
          <w:tcPr>
            <w:tcW w:w="760" w:type="dxa"/>
            <w:vAlign w:val="bottom"/>
          </w:tcPr>
          <w:p>
            <w:pPr>
              <w:jc w:val="center"/>
              <w:ind w:right="84"/>
              <w:spacing w:after="0"/>
              <w:rPr>
                <w:sz w:val="20"/>
                <w:szCs w:val="20"/>
                <w:color w:val="auto"/>
              </w:rPr>
            </w:pPr>
            <w:r>
              <w:rPr>
                <w:rFonts w:ascii="Arial" w:cs="Arial" w:eastAsia="Arial" w:hAnsi="Arial"/>
                <w:sz w:val="15"/>
                <w:szCs w:val="15"/>
                <w:b w:val="1"/>
                <w:bCs w:val="1"/>
                <w:color w:val="auto"/>
                <w:w w:val="93"/>
              </w:rPr>
              <w:t>Non-</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178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Class A Common Stock</w:t>
            </w:r>
          </w:p>
        </w:tc>
        <w:tc>
          <w:tcPr>
            <w:tcW w:w="1700" w:type="dxa"/>
            <w:vAlign w:val="bottom"/>
            <w:gridSpan w:val="5"/>
          </w:tcPr>
          <w:p>
            <w:pPr>
              <w:ind w:left="40"/>
              <w:spacing w:after="0"/>
              <w:rPr>
                <w:sz w:val="20"/>
                <w:szCs w:val="20"/>
                <w:color w:val="auto"/>
              </w:rPr>
            </w:pPr>
            <w:r>
              <w:rPr>
                <w:rFonts w:ascii="Arial" w:cs="Arial" w:eastAsia="Arial" w:hAnsi="Arial"/>
                <w:sz w:val="15"/>
                <w:szCs w:val="15"/>
                <w:b w:val="1"/>
                <w:bCs w:val="1"/>
                <w:color w:val="auto"/>
                <w:w w:val="96"/>
              </w:rPr>
              <w:t>Class B Common Stock</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Paid-in</w:t>
            </w: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w w:val="95"/>
              </w:rPr>
              <w:t>Comprehensive</w:t>
            </w:r>
          </w:p>
        </w:tc>
        <w:tc>
          <w:tcPr>
            <w:tcW w:w="106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1"/>
              </w:rPr>
              <w:t>Accumulated</w:t>
            </w:r>
          </w:p>
        </w:tc>
        <w:tc>
          <w:tcPr>
            <w:tcW w:w="1080" w:type="dxa"/>
            <w:vAlign w:val="bottom"/>
            <w:gridSpan w:val="3"/>
          </w:tcPr>
          <w:p>
            <w:pPr>
              <w:ind w:left="40"/>
              <w:spacing w:after="0"/>
              <w:rPr>
                <w:sz w:val="20"/>
                <w:szCs w:val="20"/>
                <w:color w:val="auto"/>
              </w:rPr>
            </w:pPr>
            <w:r>
              <w:rPr>
                <w:rFonts w:ascii="Arial" w:cs="Arial" w:eastAsia="Arial" w:hAnsi="Arial"/>
                <w:sz w:val="15"/>
                <w:szCs w:val="15"/>
                <w:b w:val="1"/>
                <w:bCs w:val="1"/>
                <w:color w:val="auto"/>
              </w:rPr>
              <w:t>Stockholders'</w:t>
            </w: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Controlling</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95"/>
              </w:rPr>
              <w:t>Capital</w:t>
            </w:r>
          </w:p>
        </w:tc>
        <w:tc>
          <w:tcPr>
            <w:tcW w:w="80" w:type="dxa"/>
            <w:vAlign w:val="bottom"/>
          </w:tcPr>
          <w:p>
            <w:pPr>
              <w:spacing w:after="0" w:line="20" w:lineRule="exact"/>
              <w:rPr>
                <w:sz w:val="1"/>
                <w:szCs w:val="1"/>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5"/>
                <w:szCs w:val="15"/>
                <w:b w:val="1"/>
                <w:bCs w:val="1"/>
                <w:color w:val="auto"/>
                <w:w w:val="91"/>
              </w:rPr>
              <w:t>Income</w:t>
            </w:r>
          </w:p>
        </w:tc>
        <w:tc>
          <w:tcPr>
            <w:tcW w:w="180" w:type="dxa"/>
            <w:vAlign w:val="bottom"/>
          </w:tcPr>
          <w:p>
            <w:pPr>
              <w:spacing w:after="0" w:line="20" w:lineRule="exact"/>
              <w:rPr>
                <w:sz w:val="1"/>
                <w:szCs w:val="1"/>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5"/>
              </w:rPr>
              <w:t>Deficit</w:t>
            </w:r>
          </w:p>
        </w:tc>
        <w:tc>
          <w:tcPr>
            <w:tcW w:w="160" w:type="dxa"/>
            <w:vAlign w:val="bottom"/>
          </w:tcPr>
          <w:p>
            <w:pPr>
              <w:spacing w:after="0" w:line="20" w:lineRule="exact"/>
              <w:rPr>
                <w:sz w:val="1"/>
                <w:szCs w:val="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Deficit</w:t>
            </w:r>
          </w:p>
        </w:tc>
        <w:tc>
          <w:tcPr>
            <w:tcW w:w="120" w:type="dxa"/>
            <w:vAlign w:val="bottom"/>
          </w:tcPr>
          <w:p>
            <w:pPr>
              <w:spacing w:after="0" w:line="20" w:lineRule="exact"/>
              <w:rPr>
                <w:sz w:val="1"/>
                <w:szCs w:val="1"/>
                <w:color w:val="auto"/>
              </w:rPr>
            </w:pPr>
          </w:p>
        </w:tc>
        <w:tc>
          <w:tcPr>
            <w:tcW w:w="760" w:type="dxa"/>
            <w:vAlign w:val="bottom"/>
            <w:vMerge w:val="restart"/>
          </w:tcPr>
          <w:p>
            <w:pPr>
              <w:jc w:val="center"/>
              <w:ind w:right="64"/>
              <w:spacing w:after="0"/>
              <w:rPr>
                <w:sz w:val="20"/>
                <w:szCs w:val="20"/>
                <w:color w:val="auto"/>
              </w:rPr>
            </w:pPr>
            <w:r>
              <w:rPr>
                <w:rFonts w:ascii="Arial" w:cs="Arial" w:eastAsia="Arial" w:hAnsi="Arial"/>
                <w:sz w:val="15"/>
                <w:szCs w:val="15"/>
                <w:b w:val="1"/>
                <w:bCs w:val="1"/>
                <w:color w:val="auto"/>
                <w:w w:val="92"/>
              </w:rPr>
              <w:t>Interest</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14,929,982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61,136,800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12,261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(1,028,229)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(1,015,961)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608,311</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5"/>
                <w:szCs w:val="15"/>
                <w:color w:val="auto"/>
              </w:rPr>
              <w:t>Issuance costs related to Business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5"/>
                <w:szCs w:val="15"/>
                <w:color w:val="auto"/>
              </w:rPr>
              <w:t>combination</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(726)</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1,006</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4,741</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22,167</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Restricted stock units issued pursuant to</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equity-based plans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5"/>
                <w:szCs w:val="15"/>
                <w:color w:val="auto"/>
                <w:w w:val="99"/>
              </w:rPr>
              <w:t>Unrealized gain on derivative - interest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5"/>
                <w:szCs w:val="15"/>
                <w:color w:val="auto"/>
              </w:rPr>
              <w:t>rate swap</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3,869</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of redeemable non-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controlling interests to redemption</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value</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22,167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22,167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(22,167)</w:t>
            </w: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Balance as of March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14,954,982</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61,136,800</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12,541</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3,869</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(1,001,321)</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(984,904)</w:t>
            </w:r>
          </w:p>
        </w:tc>
        <w:tc>
          <w:tcPr>
            <w:tcW w:w="100" w:type="dxa"/>
            <w:vAlign w:val="bottom"/>
            <w:tcBorders>
              <w:righ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608,311</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b w:val="1"/>
                <w:bCs w:val="1"/>
                <w:color w:val="auto"/>
                <w:w w:val="93"/>
              </w:rPr>
              <w:t>Accumulated</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Redeemable</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95"/>
              </w:rPr>
              <w:t>Additional</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b w:val="1"/>
                <w:bCs w:val="1"/>
                <w:color w:val="auto"/>
                <w:w w:val="99"/>
              </w:rPr>
              <w:t>Other</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94"/>
              </w:rPr>
              <w:t>Total</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ind w:right="44"/>
              <w:spacing w:after="0"/>
              <w:rPr>
                <w:sz w:val="20"/>
                <w:szCs w:val="20"/>
                <w:color w:val="auto"/>
              </w:rPr>
            </w:pPr>
            <w:r>
              <w:rPr>
                <w:rFonts w:ascii="Arial" w:cs="Arial" w:eastAsia="Arial" w:hAnsi="Arial"/>
                <w:sz w:val="15"/>
                <w:szCs w:val="15"/>
                <w:b w:val="1"/>
                <w:bCs w:val="1"/>
                <w:color w:val="auto"/>
                <w:w w:val="93"/>
              </w:rPr>
              <w:t>Non-</w:t>
            </w:r>
          </w:p>
        </w:tc>
        <w:tc>
          <w:tcPr>
            <w:tcW w:w="0" w:type="dxa"/>
            <w:vAlign w:val="bottom"/>
          </w:tcPr>
          <w:p>
            <w:pPr>
              <w:spacing w:after="0"/>
              <w:rPr>
                <w:sz w:val="1"/>
                <w:szCs w:val="1"/>
                <w:color w:val="auto"/>
              </w:rPr>
            </w:pPr>
          </w:p>
        </w:tc>
      </w:tr>
      <w:tr>
        <w:trPr>
          <w:trHeight w:val="220"/>
        </w:trPr>
        <w:tc>
          <w:tcPr>
            <w:tcW w:w="25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5"/>
            <w:shd w:val="clear" w:color="auto" w:fill="CCEEFF"/>
          </w:tcPr>
          <w:p>
            <w:pPr>
              <w:ind w:left="80"/>
              <w:spacing w:after="0"/>
              <w:rPr>
                <w:sz w:val="20"/>
                <w:szCs w:val="20"/>
                <w:color w:val="auto"/>
              </w:rPr>
            </w:pPr>
            <w:r>
              <w:rPr>
                <w:rFonts w:ascii="Arial" w:cs="Arial" w:eastAsia="Arial" w:hAnsi="Arial"/>
                <w:sz w:val="15"/>
                <w:szCs w:val="15"/>
                <w:b w:val="1"/>
                <w:bCs w:val="1"/>
                <w:color w:val="auto"/>
                <w:w w:val="99"/>
              </w:rPr>
              <w:t>Class A Common Stock</w:t>
            </w:r>
          </w:p>
        </w:tc>
        <w:tc>
          <w:tcPr>
            <w:tcW w:w="1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5"/>
                <w:szCs w:val="15"/>
                <w:b w:val="1"/>
                <w:bCs w:val="1"/>
                <w:color w:val="auto"/>
                <w:w w:val="96"/>
              </w:rPr>
              <w:t>Class B Common Stock</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5"/>
                <w:szCs w:val="15"/>
                <w:b w:val="1"/>
                <w:bCs w:val="1"/>
                <w:color w:val="auto"/>
                <w:w w:val="95"/>
              </w:rPr>
              <w:t>Paid-in</w:t>
            </w:r>
          </w:p>
        </w:tc>
        <w:tc>
          <w:tcPr>
            <w:tcW w:w="1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5"/>
              </w:rPr>
              <w:t>Comprehensive</w:t>
            </w:r>
          </w:p>
        </w:tc>
        <w:tc>
          <w:tcPr>
            <w:tcW w:w="10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5"/>
                <w:szCs w:val="15"/>
                <w:b w:val="1"/>
                <w:bCs w:val="1"/>
                <w:color w:val="auto"/>
                <w:w w:val="91"/>
              </w:rPr>
              <w:t>Accumulated</w:t>
            </w:r>
          </w:p>
        </w:tc>
        <w:tc>
          <w:tcPr>
            <w:tcW w:w="1080" w:type="dxa"/>
            <w:vAlign w:val="bottom"/>
            <w:tcBorders>
              <w:bottom w:val="single" w:sz="8" w:color="CCEEFF"/>
              <w:right w:val="single" w:sz="8" w:color="auto"/>
            </w:tcBorders>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w:t>
            </w:r>
          </w:p>
        </w:tc>
        <w:tc>
          <w:tcPr>
            <w:tcW w:w="8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94"/>
              </w:rPr>
              <w:t>Controlling</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980" w:type="dxa"/>
            <w:vAlign w:val="bottom"/>
            <w:tcBorders>
              <w:top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Capital</w:t>
            </w: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Income</w:t>
            </w:r>
          </w:p>
        </w:tc>
        <w:tc>
          <w:tcPr>
            <w:tcW w:w="18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Deficit</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1"/>
              </w:rPr>
              <w:t>Deficit</w:t>
            </w:r>
          </w:p>
        </w:tc>
        <w:tc>
          <w:tcPr>
            <w:tcW w:w="120" w:type="dxa"/>
            <w:vAlign w:val="bottom"/>
          </w:tcPr>
          <w:p>
            <w:pPr>
              <w:spacing w:after="0"/>
              <w:rPr>
                <w:sz w:val="18"/>
                <w:szCs w:val="18"/>
                <w:color w:val="auto"/>
              </w:rPr>
            </w:pPr>
          </w:p>
        </w:tc>
        <w:tc>
          <w:tcPr>
            <w:tcW w:w="76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Interest</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61,136,800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6,148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(198,708)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(192,554)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58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(3,276)</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441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5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23,222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23,222</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61,136,800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6,589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(178,762)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(172,167)</w:t>
            </w:r>
          </w:p>
        </w:tc>
        <w:tc>
          <w:tcPr>
            <w:tcW w:w="10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unaudited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Cash Flows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003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33"/>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26,908</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23,222</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240"/>
              <w:spacing w:after="0"/>
              <w:rPr>
                <w:sz w:val="20"/>
                <w:szCs w:val="20"/>
                <w:color w:val="auto"/>
              </w:rPr>
            </w:pPr>
            <w:r>
              <w:rPr>
                <w:rFonts w:ascii="Arial" w:cs="Arial" w:eastAsia="Arial" w:hAnsi="Arial"/>
                <w:sz w:val="16"/>
                <w:szCs w:val="16"/>
                <w:color w:val="auto"/>
              </w:rPr>
              <w:t>by operating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2,585</w:t>
            </w:r>
          </w:p>
        </w:tc>
      </w:tr>
      <w:tr>
        <w:trPr>
          <w:trHeight w:val="224"/>
        </w:trPr>
        <w:tc>
          <w:tcPr>
            <w:tcW w:w="828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deferred finance costs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Change in fair value of earnout consideration liability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Revaluation of warrant liability</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280" w:type="dxa"/>
            <w:vAlign w:val="bottom"/>
          </w:tcPr>
          <w:p>
            <w:pPr>
              <w:ind w:left="460"/>
              <w:spacing w:after="0"/>
              <w:rPr>
                <w:sz w:val="20"/>
                <w:szCs w:val="20"/>
                <w:color w:val="auto"/>
              </w:rPr>
            </w:pPr>
            <w:r>
              <w:rPr>
                <w:rFonts w:ascii="Arial" w:cs="Arial" w:eastAsia="Arial" w:hAnsi="Arial"/>
                <w:sz w:val="16"/>
                <w:szCs w:val="16"/>
                <w:color w:val="auto"/>
              </w:rPr>
              <w:t>Change in fair value of derivative liability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tax expense</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(16,677)</w:t>
            </w:r>
          </w:p>
        </w:tc>
      </w:tr>
      <w:tr>
        <w:trPr>
          <w:trHeight w:val="224"/>
        </w:trPr>
        <w:tc>
          <w:tcPr>
            <w:tcW w:w="8280" w:type="dxa"/>
            <w:vAlign w:val="bottom"/>
          </w:tcPr>
          <w:p>
            <w:pPr>
              <w:ind w:left="6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23"/>
        </w:trPr>
        <w:tc>
          <w:tcPr>
            <w:tcW w:w="8280" w:type="dxa"/>
            <w:vAlign w:val="bottom"/>
          </w:tcPr>
          <w:p>
            <w:pPr>
              <w:ind w:left="680"/>
              <w:spacing w:after="0"/>
              <w:rPr>
                <w:sz w:val="20"/>
                <w:szCs w:val="20"/>
                <w:color w:val="auto"/>
              </w:rPr>
            </w:pPr>
            <w:r>
              <w:rPr>
                <w:rFonts w:ascii="Arial" w:cs="Arial" w:eastAsia="Arial" w:hAnsi="Arial"/>
                <w:sz w:val="16"/>
                <w:szCs w:val="16"/>
                <w:color w:val="auto"/>
              </w:rPr>
              <w:t>Deposits and other assets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(896)</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r>
      <w:tr>
        <w:trPr>
          <w:trHeight w:val="223"/>
        </w:trPr>
        <w:tc>
          <w:tcPr>
            <w:tcW w:w="828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(4,381)</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7"/>
        </w:trPr>
        <w:tc>
          <w:tcPr>
            <w:tcW w:w="82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11,909</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6,105</w:t>
            </w:r>
          </w:p>
        </w:tc>
      </w:tr>
      <w:tr>
        <w:trPr>
          <w:trHeight w:val="33"/>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8"/>
        </w:trPr>
        <w:tc>
          <w:tcPr>
            <w:tcW w:w="8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 of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17"/>
        </w:trPr>
        <w:tc>
          <w:tcPr>
            <w:tcW w:w="82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33"/>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Proceeds from line of credit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Payment of line of credit</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Payment of term loan</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24"/>
        </w:trPr>
        <w:tc>
          <w:tcPr>
            <w:tcW w:w="8280" w:type="dxa"/>
            <w:vAlign w:val="bottom"/>
          </w:tcPr>
          <w:p>
            <w:pPr>
              <w:ind w:left="460"/>
              <w:spacing w:after="0"/>
              <w:rPr>
                <w:sz w:val="20"/>
                <w:szCs w:val="20"/>
                <w:color w:val="auto"/>
              </w:rPr>
            </w:pPr>
            <w:r>
              <w:rPr>
                <w:rFonts w:ascii="Arial" w:cs="Arial" w:eastAsia="Arial" w:hAnsi="Arial"/>
                <w:sz w:val="16"/>
                <w:szCs w:val="16"/>
                <w:color w:val="auto"/>
              </w:rPr>
              <w:t>Distributions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(3,276)</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Payment of issuance costs related to business combination</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8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(16,958)</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(14,276)</w:t>
            </w:r>
          </w:p>
        </w:tc>
      </w:tr>
      <w:tr>
        <w:trPr>
          <w:trHeight w:val="33"/>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2"/>
        </w:trPr>
        <w:tc>
          <w:tcPr>
            <w:tcW w:w="8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(8,446)</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8"/>
        </w:trPr>
        <w:tc>
          <w:tcPr>
            <w:tcW w:w="8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13,422</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82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r>
      <w:tr>
        <w:trPr>
          <w:trHeight w:val="247"/>
        </w:trPr>
        <w:tc>
          <w:tcPr>
            <w:tcW w:w="82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15,478</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w:t>
            </w:r>
          </w:p>
        </w:tc>
      </w:tr>
      <w:tr>
        <w:trPr>
          <w:trHeight w:val="24"/>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8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Supplementary disclosure of cash 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140"/>
              <w:spacing w:after="0"/>
              <w:rPr>
                <w:sz w:val="20"/>
                <w:szCs w:val="20"/>
                <w:color w:val="auto"/>
              </w:rPr>
            </w:pPr>
            <w:r>
              <w:rPr>
                <w:rFonts w:ascii="Arial" w:cs="Arial" w:eastAsia="Arial" w:hAnsi="Arial"/>
                <w:sz w:val="16"/>
                <w:szCs w:val="16"/>
                <w:color w:val="auto"/>
              </w:rPr>
              <w:t>Cash paid for interest expense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4,734</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2,643</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6"/>
                <w:szCs w:val="16"/>
                <w:color w:val="auto"/>
              </w:rPr>
              <w:t>Derivative asset - interest rate swap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4,036</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121"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CompoSecure, Inc. (“CompoSecure” or the “Company”) is a manufacturer and designer of complex metal, plastic, composite ID and proprietary financial transaction cards. The Company started operations in 2000 and provides products and services primarily to global financial institutions, plastic card manufacturers, government agencies, system integrators, and security specialists. The Company is located in Somerset, New Jersey.</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is a world-class platform for next generation payment technology, security, and an emergent provider of Cryptocurrency and Digital Asset storage and security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has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w:t>
      </w:r>
    </w:p>
    <w:p>
      <w:pPr>
        <w:spacing w:after="0" w:line="2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effected through the merger of Merger Sub with and into Holdings, with Holdings surviving as the surviving company and as a wholly-owned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w:t>
      </w:r>
    </w:p>
    <w:p>
      <w:pPr>
        <w:spacing w:after="0" w:line="177" w:lineRule="exact"/>
        <w:rPr>
          <w:sz w:val="20"/>
          <w:szCs w:val="20"/>
          <w:color w:val="auto"/>
        </w:rPr>
      </w:pPr>
    </w:p>
    <w:p>
      <w:pPr>
        <w:ind w:right="634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60" w:firstLine="648"/>
        <w:spacing w:after="0" w:line="272" w:lineRule="auto"/>
        <w:rPr>
          <w:sz w:val="20"/>
          <w:szCs w:val="20"/>
          <w:color w:val="auto"/>
        </w:rPr>
      </w:pPr>
      <w:r>
        <w:rPr>
          <w:rFonts w:ascii="Arial" w:cs="Arial" w:eastAsia="Arial" w:hAnsi="Arial"/>
          <w:sz w:val="17"/>
          <w:szCs w:val="17"/>
          <w:color w:val="auto"/>
        </w:rPr>
        <w:t>The accompanying consolidated financial statements are presented in conformity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majority owned subsidiary.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significant accounting policies are detailed in our Annual Report on Form 10-K for the year ended December 31, 2021 filed with the SEC.</w:t>
      </w:r>
    </w:p>
    <w:p>
      <w:pPr>
        <w:spacing w:after="0" w:line="2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Business Combination was accounted for as a reverse recapitalization and treated as the equivalent of Holdings issuing stock for the net assets of Roman DBDR, accompanied by a recapitalization. The net assets of Roman DBDR were stated at historical cost, with no goodwill or other intangible assets recorded. While Roman DBDR was the legal acquirer in the Business Combination, because Holdings was deemed the accounting acquirer, the historical financial statements of Holdings became the historical financial statements of the combined company, upon the consummation of the Business Combination. As a result, the financial statements included in this report reflect (i) the historical operating results of Holdings prior to the Business Combination; (ii) the combined results of the Company and Holdings following the closing of the Business Combination; (iii) the assets and liabilities of Holdings at their historical cost; and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Company’s equity structure for all periods presented. In accordance with guidance applicable to these circumstances, the equity structure has been restated in all comparative periods up to the Closing Date, to reflect the number of shares of the Company's common stock, $0.0001 par value per share issued to Holdings' equity holders in connection with the recapitalization transaction. As such, the shares and corresponding capital amounts and earnings per share related to Holdings' common stock prior to the Business Combination have been retroactively restated as shares reflecting the exchange ratio established in the Business Combination Agreement.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Interim Financial Statements</w:t>
      </w:r>
    </w:p>
    <w:p>
      <w:pPr>
        <w:spacing w:after="0" w:line="243" w:lineRule="exact"/>
        <w:rPr>
          <w:sz w:val="20"/>
          <w:szCs w:val="20"/>
          <w:color w:val="auto"/>
        </w:rPr>
      </w:pPr>
    </w:p>
    <w:p>
      <w:pPr>
        <w:ind w:right="120" w:firstLine="648"/>
        <w:spacing w:after="0" w:line="258" w:lineRule="auto"/>
        <w:rPr>
          <w:sz w:val="20"/>
          <w:szCs w:val="20"/>
          <w:color w:val="auto"/>
        </w:rPr>
      </w:pPr>
      <w:r>
        <w:rPr>
          <w:rFonts w:ascii="Arial" w:cs="Arial" w:eastAsia="Arial" w:hAnsi="Arial"/>
          <w:sz w:val="16"/>
          <w:szCs w:val="16"/>
          <w:color w:val="auto"/>
        </w:rPr>
        <w:t>The accompanying consolidated financial statements have been prepared in accordance with U.S. GAAP and Article 10 of Regulation S-X of the U.S. Securities and Exchange Commission (“SEC”) for interim financial information. and should be read in conjunction with the Company’s Annual Report on Form 10-K for the year ended December 31, 2021.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three-month period ended March 31, 2022 are not necessarily indicative of the results to be expected for the full year.</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global outbreak of the COVID-19 pandemic continue to rapidly evolve. The Company has taken a number of measures to monitor and mitigate the effects of COVID-19, such as safety and health measures for the employees and securing the supply of materials that are essential to the Company’s production process. At this stage, the impact on the Company’s business and results has not been significant. However, the ultimate impact of the pandemic on our operations is unknown and will depend on future developments, which are highly uncertain and cannot be predicated with confidence, including the ultimate geographic spread of the disease, the duration of the outbreak, travel restrictions, required social distancing and any additional preventative and protective actions that governments, or the Company, may direct, which could result in an extended period of continued business disruption, reduced customer, collaborator, or supplier traffic and reduced operations</w:t>
      </w:r>
      <w:r>
        <w:rPr>
          <w:rFonts w:ascii="Arial" w:cs="Arial" w:eastAsia="Arial" w:hAnsi="Arial"/>
          <w:sz w:val="18"/>
          <w:szCs w:val="18"/>
          <w:color w:val="auto"/>
        </w:rPr>
        <w: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March 31, 2022 or December 31, 2021.</w:t>
      </w:r>
    </w:p>
    <w:p>
      <w:pPr>
        <w:spacing w:after="0" w:line="7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1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measured in an amount that reflects the consideration the Company expects to receive in exchange for those products or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net of variable consideration such as discounts, rebates, and returns.</w:t>
      </w:r>
    </w:p>
    <w:p>
      <w:pPr>
        <w:spacing w:after="0" w:line="10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4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Company is managed and operated as one business as the entire business is managed by a single management team that reports to the Chief Executive Officer and President. The Company's chief operating decision-maker is its Chief Executive Officer and President, who makes resource allocation decisions and assesses performance based on financial information presented on an aggregate basis. The Company does not operate separate lines of business with respect to any of its products and does not prepare discrete financial information to allocate resources to separate products or by location. Accordingly, the Company views its business as one reportable operating segment.</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243"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and subsequently amended by ASU 2019-04 and ASU 2019-05 which introduces a forward-looking approach, based on expected losses, to estimate credit losses on certain types of financial instruments, including trade receivables. This new standard amends the current guidance on the impairment of financial instruments. The ASU adds to U.S. GAAP an impairment model known as current expected credit loss (CECL) model that is based on expected losses rather than incurred losses. Under the new guidance, an entity will recognize as an allowance its estimate of expected credit losses. Expected credit losses are determined on the basis of how long a receivable has been outstanding (e.g., under 30 days, 31–60 days) as each customer has its own specific term. This method is used to estimate the allowance for bad debts on trade receivables. A trade receivable is considered past due when its past due one day over its specific payment term. The Company determines the write-offs of the allowance on a customer by customer approach. The Company has not experienced any significant write-offs in the past. The ASU is effective for the Company for fiscal years beginning after December 15, 2022, and interim periods within those fiscal years with early adoption permitted. The Company adopted this guidance effective January 1, 2022. The adoption of this</w:t>
      </w:r>
    </w:p>
    <w:p>
      <w:pPr>
        <w:spacing w:after="0"/>
        <w:rPr>
          <w:sz w:val="20"/>
          <w:szCs w:val="20"/>
          <w:color w:val="auto"/>
        </w:rPr>
      </w:pPr>
      <w:r>
        <w:rPr>
          <w:rFonts w:ascii="Arial" w:cs="Arial" w:eastAsia="Arial" w:hAnsi="Arial"/>
          <w:sz w:val="18"/>
          <w:szCs w:val="18"/>
          <w:color w:val="auto"/>
        </w:rPr>
        <w:t xml:space="preserve">guidance did </w:t>
      </w:r>
      <w:r>
        <w:rPr>
          <w:rFonts w:ascii="Arial" w:cs="Arial" w:eastAsia="Arial" w:hAnsi="Arial"/>
          <w:sz w:val="19"/>
          <w:szCs w:val="19"/>
          <w:color w:val="auto"/>
        </w:rPr>
        <w:t>not</w:t>
      </w:r>
      <w:r>
        <w:rPr>
          <w:rFonts w:ascii="Arial" w:cs="Arial" w:eastAsia="Arial" w:hAnsi="Arial"/>
          <w:sz w:val="18"/>
          <w:szCs w:val="18"/>
          <w:color w:val="auto"/>
        </w:rPr>
        <w:t xml:space="preserve">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Not Yet Adopted</w:t>
      </w:r>
    </w:p>
    <w:p>
      <w:pPr>
        <w:spacing w:after="0" w:line="12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March 2020, the FASB issued ASU 2020-04, Reference Rate Reform ("ASU 2020-04"). ASU 2020-04 provides optional guidance for a limited period of time to ease potential accounting impact associated with transitioning away from reference rates that are expected to be discontinued, such as the London Interbank Offered Rate ("LIBOR"). The amendments in this ASU apply only to contracts, hedging relationships, and other transactions that reference London Interbank Offered Rate ("LIBOR") or another reference rate expected to be discontinued. The amendments in ASU 2020-04 can be adopted as of March 12, 2020 and are effective through December 31, 2022. However, it cannot be applied to contract modifications that occur after December 31, 2022. LIBOR was expected to be phased out at the end 2021. We do not currently have any contracts that have been changed to a new reference rate, but we will continue to evaluate our contracts and the effects of this standard on our consolidated financial statements prior to adoption.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7060" w:type="dxa"/>
            <w:vAlign w:val="bottom"/>
          </w:tcPr>
          <w:p>
            <w:pPr>
              <w:ind w:left="660"/>
              <w:spacing w:after="0"/>
              <w:rPr>
                <w:sz w:val="20"/>
                <w:szCs w:val="20"/>
                <w:color w:val="auto"/>
              </w:rPr>
            </w:pPr>
            <w:r>
              <w:rPr>
                <w:rFonts w:ascii="Arial" w:cs="Arial" w:eastAsia="Arial" w:hAnsi="Arial"/>
                <w:sz w:val="18"/>
                <w:szCs w:val="18"/>
                <w:color w:val="auto"/>
              </w:rPr>
              <w:t>The major classes of inventories were as follows: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4"/>
          </w:tcPr>
          <w:p>
            <w:pPr>
              <w:ind w:left="16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Pr>
          <w:p>
            <w:pPr>
              <w:spacing w:after="0"/>
              <w:rPr>
                <w:sz w:val="24"/>
                <w:szCs w:val="24"/>
                <w:color w:val="auto"/>
              </w:rPr>
            </w:pPr>
          </w:p>
        </w:tc>
        <w:tc>
          <w:tcPr>
            <w:tcW w:w="18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31, 2021</w:t>
            </w:r>
          </w:p>
        </w:tc>
      </w:tr>
      <w:tr>
        <w:trPr>
          <w:trHeight w:val="48"/>
        </w:trPr>
        <w:tc>
          <w:tcPr>
            <w:tcW w:w="7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28,550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27,474</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582</w:t>
            </w:r>
          </w:p>
        </w:tc>
      </w:tr>
      <w:tr>
        <w:trPr>
          <w:trHeight w:val="27"/>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Inventory reserve</w:t>
            </w:r>
          </w:p>
        </w:tc>
        <w:tc>
          <w:tcPr>
            <w:tcW w:w="260" w:type="dxa"/>
            <w:vAlign w:val="bottom"/>
          </w:tcPr>
          <w:p>
            <w:pPr>
              <w:spacing w:after="0"/>
              <w:rPr>
                <w:sz w:val="21"/>
                <w:szCs w:val="21"/>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(3,414)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(2,613)</w:t>
            </w:r>
          </w:p>
        </w:tc>
      </w:tr>
      <w:tr>
        <w:trPr>
          <w:trHeight w:val="27"/>
        </w:trPr>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27,198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25,806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reviews inventory for slow-moving or obsolete amounts based on expected product sales volume and provides reserves against the carrying amount of inventory as appropriate.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80" w:type="dxa"/>
            <w:vAlign w:val="bottom"/>
          </w:tcPr>
          <w:p>
            <w:pPr>
              <w:ind w:left="660"/>
              <w:spacing w:after="0"/>
              <w:rPr>
                <w:sz w:val="20"/>
                <w:szCs w:val="20"/>
                <w:color w:val="auto"/>
              </w:rPr>
            </w:pPr>
            <w:r>
              <w:rPr>
                <w:rFonts w:ascii="Arial" w:cs="Arial" w:eastAsia="Arial" w:hAnsi="Arial"/>
                <w:sz w:val="18"/>
                <w:szCs w:val="18"/>
                <w:color w:val="auto"/>
                <w:w w:val="99"/>
              </w:rPr>
              <w:t>Property and equipment consisted of the following:</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Useful Life</w:t>
            </w:r>
          </w:p>
        </w:tc>
        <w:tc>
          <w:tcPr>
            <w:tcW w:w="42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March 31, 2022</w:t>
            </w:r>
          </w:p>
        </w:tc>
        <w:tc>
          <w:tcPr>
            <w:tcW w:w="300" w:type="dxa"/>
            <w:vAlign w:val="bottom"/>
          </w:tcPr>
          <w:p>
            <w:pPr>
              <w:spacing w:after="0"/>
              <w:rPr>
                <w:sz w:val="24"/>
                <w:szCs w:val="2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48"/>
        </w:trPr>
        <w:tc>
          <w:tcPr>
            <w:tcW w:w="4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5 - 10 years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59,437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76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3 - 5 years</w:t>
            </w:r>
          </w:p>
        </w:tc>
        <w:tc>
          <w:tcPr>
            <w:tcW w:w="42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9"/>
              </w:rPr>
              <w:t>3 - 5 years</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89"/>
              </w:rPr>
              <w:t>Shorter of lease term or</w:t>
            </w:r>
          </w:p>
        </w:tc>
        <w:tc>
          <w:tcPr>
            <w:tcW w:w="420" w:type="dxa"/>
            <w:vAlign w:val="bottom"/>
          </w:tcPr>
          <w:p>
            <w:pPr>
              <w:spacing w:after="0"/>
              <w:rPr>
                <w:sz w:val="19"/>
                <w:szCs w:val="19"/>
                <w:color w:val="auto"/>
              </w:rPr>
            </w:pPr>
          </w:p>
        </w:tc>
        <w:tc>
          <w:tcPr>
            <w:tcW w:w="1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11,578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11,358</w:t>
            </w:r>
          </w:p>
        </w:tc>
        <w:tc>
          <w:tcPr>
            <w:tcW w:w="0" w:type="dxa"/>
            <w:vAlign w:val="bottom"/>
          </w:tcPr>
          <w:p>
            <w:pPr>
              <w:spacing w:after="0"/>
              <w:rPr>
                <w:sz w:val="1"/>
                <w:szCs w:val="1"/>
                <w:color w:val="auto"/>
              </w:rPr>
            </w:pPr>
          </w:p>
        </w:tc>
      </w:tr>
      <w:tr>
        <w:trPr>
          <w:trHeight w:val="122"/>
        </w:trPr>
        <w:tc>
          <w:tcPr>
            <w:tcW w:w="4680" w:type="dxa"/>
            <w:vAlign w:val="bottom"/>
          </w:tcPr>
          <w:p>
            <w:pPr>
              <w:spacing w:after="0"/>
              <w:rPr>
                <w:sz w:val="10"/>
                <w:szCs w:val="10"/>
                <w:color w:val="auto"/>
              </w:rPr>
            </w:pPr>
          </w:p>
        </w:tc>
        <w:tc>
          <w:tcPr>
            <w:tcW w:w="23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estimated useful life</w:t>
            </w:r>
          </w:p>
        </w:tc>
        <w:tc>
          <w:tcPr>
            <w:tcW w:w="4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5 years</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Software</w:t>
            </w:r>
          </w:p>
        </w:tc>
        <w:tc>
          <w:tcPr>
            <w:tcW w:w="76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1 - 3 years</w:t>
            </w:r>
          </w:p>
        </w:tc>
        <w:tc>
          <w:tcPr>
            <w:tcW w:w="42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7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78,230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76,813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(56,984)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(54,636)</w:t>
            </w: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21,246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22,177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Depreciation and amortization expense on property and equipment was $2,349 and $2,585 for the three months ended March 31, 2022 and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19, 2021, concurrent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$130,000 that are exchangeable into shares of Class A common stock at a conversion price of $11.50 per share, subject to the terms and conditions of an Indenture entered by the Company and its wholly owned subsidiary, Holdings, and the trustee under the Indenture.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in five years on 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spacing w:after="0" w:line="2"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217"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spacing w:after="0" w:line="192" w:lineRule="exact"/>
        <w:rPr>
          <w:sz w:val="20"/>
          <w:szCs w:val="20"/>
          <w:color w:val="auto"/>
        </w:rPr>
      </w:pPr>
    </w:p>
    <w:p>
      <w:pPr>
        <w:ind w:left="660" w:hanging="328"/>
        <w:spacing w:after="0" w:line="277"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Company exclusively issues shares of common stock as a dividend or distribution on shares of the common stock, or if the Company effects a share split or share combination;</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Company issues to all or substantially all holders of the common stock any rights, options or warrants (other than pursuant to a stockholders rights plan) entitling them, for a period of not more than 45 calendar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211" w:lineRule="exact"/>
        <w:rPr>
          <w:sz w:val="20"/>
          <w:szCs w:val="20"/>
          <w:color w:val="auto"/>
        </w:rPr>
      </w:pPr>
    </w:p>
    <w:p>
      <w:pPr>
        <w:ind w:left="660" w:hanging="328"/>
        <w:spacing w:after="0" w:line="308" w:lineRule="auto"/>
        <w:tabs>
          <w:tab w:leader="none" w:pos="65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stock;</w:t>
      </w:r>
    </w:p>
    <w:p>
      <w:pPr>
        <w:spacing w:after="0" w:line="252" w:lineRule="exact"/>
        <w:rPr>
          <w:rFonts w:ascii="Arial" w:cs="Arial" w:eastAsia="Arial" w:hAnsi="Arial"/>
          <w:sz w:val="18"/>
          <w:szCs w:val="18"/>
          <w:color w:val="auto"/>
        </w:rPr>
      </w:pPr>
    </w:p>
    <w:p>
      <w:pPr>
        <w:jc w:val="both"/>
        <w:ind w:left="660" w:hanging="328"/>
        <w:spacing w:after="0" w:line="279" w:lineRule="auto"/>
        <w:tabs>
          <w:tab w:leader="none" w:pos="65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exchange rate will in no event be adjusted down pursuant to the provisions described above, except to the extent a tender or exchange offer is announced but not consummated.</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w:t>
      </w:r>
    </w:p>
    <w:p>
      <w:pPr>
        <w:spacing w:after="0" w:line="215" w:lineRule="exact"/>
        <w:rPr>
          <w:sz w:val="20"/>
          <w:szCs w:val="20"/>
          <w:color w:val="auto"/>
        </w:rPr>
      </w:pPr>
    </w:p>
    <w:p>
      <w:pPr>
        <w:ind w:right="40" w:firstLine="648"/>
        <w:spacing w:after="0" w:line="234" w:lineRule="auto"/>
        <w:rPr>
          <w:sz w:val="20"/>
          <w:szCs w:val="20"/>
          <w:color w:val="auto"/>
        </w:rPr>
      </w:pPr>
      <w:r>
        <w:rPr>
          <w:rFonts w:ascii="Arial" w:cs="Arial" w:eastAsia="Arial" w:hAnsi="Arial"/>
          <w:sz w:val="18"/>
          <w:szCs w:val="18"/>
          <w:color w:val="auto"/>
        </w:rPr>
        <w:t>Holders of Exchangeable Notes will be entitled to the resale registration rights under the resale Registration Rights Agreement. If a Registration default occurs, additional interest will accrue, equal to 0.25% in the first 90 days and 0.50% after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Registration Default (which includes that the Registration Statement has not been filed, or deemed effective or ceases to be effective).</w:t>
      </w:r>
    </w:p>
    <w:p>
      <w:pPr>
        <w:spacing w:after="0" w:line="23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spacing w:after="0" w:line="21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and recorded this amount as derivative liability with an offsetting amount as a debt discount as a reduction to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performed a valuation of the derivative liability for the quarter ended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2022 and determined that the fair value of the derivative liability was $800 representing a change of $248 that is recognized in the consolidated statement of operations.</w:t>
      </w:r>
    </w:p>
    <w:p>
      <w:pPr>
        <w:spacing w:after="0" w:line="19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expected term of the Exchangeable Notes was equal for the period through December 27, 2026 as this represents the point at which the Exchangeable Notes will mature unless earlier converted in accordance with their terms prior to such date. For the quarter ended March 31, 2022, the Company recognized $2,354 of interest expense related to the Exchangeable Notes at the effective interest rate of 7.4%. The fair value of the Company’s Exchangeable Notes approximate the carrying value of the debt.</w:t>
      </w:r>
    </w:p>
    <w:p>
      <w:pPr>
        <w:spacing w:after="0" w:line="21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term of the Exchangeable Notes using the effective interest method.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26, 2016, the Company entered into a $120,000 credit facility with JP Morgan Chase (“JPMC”) acting as the lending agent (“2016 Credit Facility”).</w:t>
      </w:r>
    </w:p>
    <w:p>
      <w:pPr>
        <w:spacing w:after="0" w:line="197" w:lineRule="exact"/>
        <w:rPr>
          <w:sz w:val="20"/>
          <w:szCs w:val="20"/>
          <w:color w:val="auto"/>
        </w:rPr>
      </w:pPr>
    </w:p>
    <w:p>
      <w:pPr>
        <w:ind w:left="20" w:right="100" w:firstLine="648"/>
        <w:spacing w:after="0" w:line="259" w:lineRule="auto"/>
        <w:rPr>
          <w:sz w:val="20"/>
          <w:szCs w:val="20"/>
          <w:color w:val="auto"/>
        </w:rPr>
      </w:pPr>
      <w:r>
        <w:rPr>
          <w:rFonts w:ascii="Arial" w:cs="Arial" w:eastAsia="Arial" w:hAnsi="Arial"/>
          <w:sz w:val="18"/>
          <w:szCs w:val="18"/>
          <w:color w:val="auto"/>
        </w:rPr>
        <w:t>In July 2019, the Company amended its 2016 Credit Facility with JPMC, increasing the maximum aggregate amount available under the revolver to $60,000 and the amount of the term loan to $140,000. In addition, the maturity dates of both the revolver and term loan were amended to July 2, 2022. This amendment was accounted for as a modification and approximately $1,065 of additional costs incurred in connection with the modification were capitalized as debt issuance costs.</w:t>
      </w:r>
    </w:p>
    <w:p>
      <w:pPr>
        <w:spacing w:after="0" w:line="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November 2020, the Company entered into a new agreement with JPMC to refinance its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 In connection with the amendment, the prior outstanding balance were paid-off. Further, one of the lenders in the original agreement did not participate in the amended debt agreement. As such, the balance related to that lender was written off by the Company.</w:t>
      </w:r>
    </w:p>
    <w:p>
      <w:pPr>
        <w:spacing w:after="0" w:line="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December 2021, the Company entered into a new agreement with JPMC to refinance its then existing November 2020 credit facility, increasing the maximum aggregate amount available under the term loan to $250,000 bringing total credit facility to $310,000. In addition, the maturity dates of both the revolver and term loan were amended to December 16, 2025. This amendment was accounted for as a modification and approximately $1,800 of additional costs incurred in connection with the modification were capitalized as debt issuance costs.</w:t>
      </w:r>
    </w:p>
    <w:p>
      <w:pPr>
        <w:spacing w:after="0" w:line="6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Interest on the Revolver and Term Loan are based on the outstanding principal amount during the interest period multiplied by the fluctuating bank prime rate plus the applicable margin of 2.00% or for portions of the debt converted to Euro Loans the quoted LIBOR rate plus the applicable margin of 3.00%. At March 31, 2022 and 2021, the effective interest rate on the Revolver and Term Loan was 3.65% and 4.36% per year, respectively. Interest is payable monthly in arrears or upon maturity of the Euro loans that can run 30, 90, 120, 180 day time periods. The Company must pay quarterly an annual commitment fee of 0.40% on the unused portion of the $60 million Revolver.</w:t>
      </w:r>
    </w:p>
    <w:p>
      <w:pPr>
        <w:spacing w:after="0" w:line="8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credit facility is secured by substantially all of the assets of the Company. The Company recognized $3,011 and $3,037 of interest expense related to the Revolver and the Term Loan for the three months ended March 31, 2022 and 2021, respectively.</w:t>
      </w:r>
    </w:p>
    <w:p>
      <w:pPr>
        <w:spacing w:after="0" w:line="6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terms of the credit facilities contain certain financial covenants including a minimum interest coverage ratio, a maximum total debt to EBITDA ratio and a minimum fixed charge coverage ratio. At March 31, 2022 and December 31, 2021, the Company was in compliance with all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2022 and December 31, 2021, there were $25,000 and $15,000 balances outstanding on the Revolver. At March 31, 2022, there was $35,000 of availability for borrowing under the Revolver.</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660"/>
              <w:spacing w:after="0"/>
              <w:rPr>
                <w:sz w:val="20"/>
                <w:szCs w:val="20"/>
                <w:color w:val="auto"/>
              </w:rPr>
            </w:pPr>
            <w:r>
              <w:rPr>
                <w:rFonts w:ascii="Arial" w:cs="Arial" w:eastAsia="Arial" w:hAnsi="Arial"/>
                <w:sz w:val="18"/>
                <w:szCs w:val="18"/>
                <w:color w:val="auto"/>
              </w:rPr>
              <w:t>The balances payable under all borrowing facilities are as follows:</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7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ind w:left="26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4"/>
                <w:szCs w:val="24"/>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r>
      <w:tr>
        <w:trPr>
          <w:trHeight w:val="234"/>
        </w:trPr>
        <w:tc>
          <w:tcPr>
            <w:tcW w:w="7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376,875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0" w:type="dxa"/>
            <w:vAlign w:val="bottom"/>
          </w:tcPr>
          <w:p>
            <w:pPr>
              <w:spacing w:after="0"/>
              <w:rPr>
                <w:sz w:val="21"/>
                <w:szCs w:val="2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Less: current portion of term loan (scheduled payments)</w:t>
            </w:r>
          </w:p>
        </w:tc>
        <w:tc>
          <w:tcPr>
            <w:tcW w:w="36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(14,063)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(12,500)</w:t>
            </w:r>
          </w:p>
        </w:tc>
        <w:tc>
          <w:tcPr>
            <w:tcW w:w="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deferred financing costs, net</w:t>
            </w: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0" w:type="dxa"/>
            <w:vAlign w:val="bottom"/>
          </w:tcPr>
          <w:p>
            <w:pPr>
              <w:spacing w:after="0"/>
              <w:rPr>
                <w:sz w:val="23"/>
                <w:szCs w:val="23"/>
                <w:color w:val="auto"/>
              </w:rPr>
            </w:pPr>
          </w:p>
        </w:tc>
      </w:tr>
      <w:tr>
        <w:trPr>
          <w:trHeight w:val="236"/>
        </w:trPr>
        <w:tc>
          <w:tcPr>
            <w:tcW w:w="70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355,962</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360,029</w:t>
            </w:r>
          </w:p>
        </w:tc>
        <w:tc>
          <w:tcPr>
            <w:tcW w:w="20" w:type="dxa"/>
            <w:vAlign w:val="bottom"/>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liability - redemption with make-whole provision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1"/>
                <w:szCs w:val="21"/>
                <w:color w:val="auto"/>
              </w:rPr>
            </w:pPr>
          </w:p>
        </w:tc>
      </w:tr>
      <w:tr>
        <w:trPr>
          <w:trHeight w:val="527"/>
        </w:trPr>
        <w:tc>
          <w:tcPr>
            <w:tcW w:w="7060" w:type="dxa"/>
            <w:vAlign w:val="bottom"/>
          </w:tcPr>
          <w:p>
            <w:pPr>
              <w:ind w:left="660"/>
              <w:spacing w:after="0"/>
              <w:rPr>
                <w:sz w:val="20"/>
                <w:szCs w:val="20"/>
                <w:color w:val="auto"/>
              </w:rPr>
            </w:pPr>
            <w:r>
              <w:rPr>
                <w:rFonts w:ascii="Arial" w:cs="Arial" w:eastAsia="Arial" w:hAnsi="Arial"/>
                <w:sz w:val="18"/>
                <w:szCs w:val="18"/>
                <w:color w:val="auto"/>
              </w:rPr>
              <w:t>The maturity of all the borrowings facilities is as follows: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18,750</w:t>
            </w:r>
          </w:p>
        </w:tc>
        <w:tc>
          <w:tcPr>
            <w:tcW w:w="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4"/>
        </w:trPr>
        <w:tc>
          <w:tcPr>
            <w:tcW w:w="7060" w:type="dxa"/>
            <w:vAlign w:val="bottom"/>
          </w:tcPr>
          <w:p>
            <w:pPr>
              <w:ind w:left="20"/>
              <w:spacing w:after="0"/>
              <w:rPr>
                <w:sz w:val="20"/>
                <w:szCs w:val="20"/>
                <w:color w:val="auto"/>
              </w:rPr>
            </w:pPr>
            <w:r>
              <w:rPr>
                <w:rFonts w:ascii="Arial" w:cs="Arial" w:eastAsia="Arial" w:hAnsi="Arial"/>
                <w:sz w:val="20"/>
                <w:szCs w:val="20"/>
                <w:color w:val="auto"/>
              </w:rPr>
              <w:t>2025</w:t>
            </w: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23"/>
                <w:szCs w:val="23"/>
                <w:color w:val="auto"/>
              </w:rPr>
            </w:pPr>
          </w:p>
        </w:tc>
      </w:tr>
      <w:tr>
        <w:trPr>
          <w:trHeight w:val="23"/>
        </w:trPr>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3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376,875</w:t>
            </w:r>
          </w:p>
        </w:tc>
        <w:tc>
          <w:tcPr>
            <w:tcW w:w="20" w:type="dxa"/>
            <w:vAlign w:val="bottom"/>
            <w:tcBorders>
              <w:top w:val="single" w:sz="8" w:color="auto"/>
            </w:tcBorders>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80" w:firstLine="648"/>
        <w:spacing w:after="0" w:line="254" w:lineRule="auto"/>
        <w:rPr>
          <w:sz w:val="20"/>
          <w:szCs w:val="20"/>
          <w:color w:val="auto"/>
        </w:rPr>
      </w:pPr>
      <w:r>
        <w:rPr>
          <w:rFonts w:ascii="Arial" w:cs="Arial" w:eastAsia="Arial" w:hAnsi="Arial"/>
          <w:sz w:val="16"/>
          <w:szCs w:val="16"/>
          <w:color w:val="auto"/>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The Company recognized $400 gain upon the settlement of the November 2020 interest rate swap agreement. At March 31, 2022, the Company’s interest rate swap contract outstanding had a notional amount of $125,000 maturing in December 2025. The Company has designated the interest rate swap agreement as a cash flow hedge for accounting purposes, that was determined to be effective. The Company determined the fair value of the interest rate swap to be zero at the inception of the agreement and $4,036 at March 31, 2022.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February 2016, the FASB issued ASU 2016-02, “Leases” Topic 842, which amended the guidance in former ASC Topic 840, Leases. The Company adopted the new lease guidance effective January 1, 2021 using the modified retrospective transition approach , applying the new standard to all of its leases existing at the date of initial application which is the effective date of adoption. Consequently, financial information was not updated and the disclosures required under the new standard were not provided for dates and periods before January 1, 2021. The Company elected the package of practical expedients which permits to not reassess (1) whether any expired or existing contracts are or contain leases, (2) the lease classification for any expired or existing leases, and (3) any initial direct costs for any existing leases as of the effective date. The Company did not elect the hindsight practical expedient which permits entities to use hindsight in determining the lease term and assessing impairment. The adoption of the lease standard did not change the Company’s previously reported consolidated statements of operations and did not result in a cumulative catch-up adjustment to opening equity. The adoption of the new guidance resulted in the recognition of ROU assets of $6,298 and lease liabilities of $6,875. The difference between the ROU assets and the lease liabilities were primarily due to unamortized lease incentive and deferred rent related to the Company’s operating leases at December 31, 2020.</w:t>
      </w:r>
    </w:p>
    <w:p>
      <w:pPr>
        <w:spacing w:after="0" w:line="7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interest rate implicit in lease contracts is typically not readily determinable. As such, the Company utilized its incremental borrowing rate (“IBR”), which is the rate incurred to borrow on a collateralized basis over a similar term an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amount equal to the lease payments in a similar economic environment. In calculating the present value of the lease payments, the Company elected to utilize its incremental borrowing rate based on the remaining lease terms as of the January 1, 2021 adoption date. The Company utilized a synthetic credit rating model including fundamental analysis per S&amp;P Global Market Intelligence. The Company then utilized the Bloomberg BVAL Pricing Source to determine the option-adjusted spread and added the United States Treasury Constant Maturity for the applicable terms to determine the term structure of the IBR. Based on these calculations, the Company determined applicable discount rates for various points along the yield curve as of January 1, 2021. As a reasonableness check for the yield curve, the Company considered its revolving credit agreement amendment on November 5, 2020, which extended the term of the agreement through November 5, 2023. The base interest rate on the loan was calculated as LIBOR plus 300 bps which approximates 3.4%. This rate was generally consistent with the yield curve derived, thus the Company determined that the yield curve was appropriate for determining the discount rates for its leases. The Company then interpolated the discount rates in the yield curve to determine the discount rate for each of its existing leases at January 1, 2021.</w:t>
      </w:r>
    </w:p>
    <w:p>
      <w:pPr>
        <w:spacing w:after="0" w:line="7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at the commencement date. The operating lease ROU asset also includes any lease payments made and excludes lease incentives incurred, if any. The Company’s lease terms may include options to extend the lease when it is reasonably certain that we will exercise that option. Our leases have remaining lease terms of 1 year to 5 years, some of which include options to extend the lease term for up to 3 years.</w:t>
      </w:r>
    </w:p>
    <w:p>
      <w:pPr>
        <w:spacing w:after="0" w:line="4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Company has elected the practical expedient to combine lease and non-lease components as a single component. The lease expense is recognized over the expected term on a straight-line basis. Operating leases are recognized on the balance sheet as right-of-use assets, current operating lease liabilities and non-current operating lease liabilities.</w:t>
      </w:r>
    </w:p>
    <w:p>
      <w:pPr>
        <w:spacing w:after="0" w:line="7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new standard also provides practical expedients and certain exemptions for an entity’s ongoing accounting. The Company has elected the short-term lease recognition exemption for all leases that qualify. This means, for those leases where the initial lease term is one year or less or for which the ROU asset at inception is deemed immaterial, the Company will not recognize ROU assets or lease liabilities. Those leases are expensed on a straight line basis over the term of the lease.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through its wholly-owned subsidiary Holdings, leases certain office space and manufacturing space under arrangements currently classified as operating leases under ASC 842. The Company recognizes lease expense for these leases on a straight-line basis over the lease terms. Most leases include one or more options to renew, with renewal options ranging from 1 to 5 years. The exercise of lease renewal options is at the Company’s sole discretion.</w:t>
      </w:r>
    </w:p>
    <w:p>
      <w:pPr>
        <w:spacing w:after="0" w:line="7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Effective April 1, 2012, the Company entered into a 10-year lease for its office and manufacturing facilities in Somerset, New Jersey terminating in 2022. The lease contains escalating rental payments, exclusive of required payments for increases in real estate taxes and operating costs over base period amounts. The agreement provides for a five year renewal option. The lease provides for monthly payments of rent during the lease term. These payments consist of base rent, and additional rent covering customary items such as charges for utilities, taxes, operating expenses, and other facility fees and charges. The base rent is currently approximately $324 per year, which reflects an annual 3% escalation factor. The Company exercised its renewal option in December 2020.</w:t>
      </w:r>
    </w:p>
    <w:p>
      <w:pPr>
        <w:spacing w:after="0" w:line="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Effective August 1, 2014, the Company entered into a 4-year lease for additional office and manufacturing space in Somerset, New Jersey terminating on July 31, 2018. The lease contains escalating rental payments. The Company has the option to extend the term for two periods of two years each. The Company amended its lease agreement to exercise both renewal options with the last one exercised in 2020, for additional three years expiring on August 31, 2023. The base rent is currently approximately $106 per year, which reflects an annual 3% escalation factor.</w:t>
      </w:r>
    </w:p>
    <w:p>
      <w:pPr>
        <w:spacing w:after="0" w:line="6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Effective June 16, 2016, the Company entered into a 10-year lease for a new facility. The lease contains escalating rental payments and terminates on September 30, 2026. The agreement also provides for a renewal option at a fixed rate. The base rent is currently approximately $825 per year, which reflects an annual 3% escalation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Company’s leases have remaining lease terms of 1 to 5 years. The Company does not include any renewal options in lease terms when calculating lease liabilities as the Company is not reasonably certain that it will exercise these options. Two of the leases include the early termination option in the lease term, however, it was not included in the lease terms when calculating the lease liability since the Company determined that it is reasonably certain it will not terminate the leases prior to the termination date.</w:t>
      </w:r>
    </w:p>
    <w:p>
      <w:pPr>
        <w:spacing w:after="0" w:line="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weighted-average remaining lease term for the operating leases was 4.6 years at March 31, 2022. The weighted-average discount rate was 3.74% at March 31, 2022.</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 assets and lease liabilities related to the operating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360" w:type="dxa"/>
            <w:vAlign w:val="bottom"/>
          </w:tcPr>
          <w:p>
            <w:pPr>
              <w:jc w:val="right"/>
              <w:ind w:right="970"/>
              <w:spacing w:after="0"/>
              <w:rPr>
                <w:sz w:val="20"/>
                <w:szCs w:val="20"/>
                <w:color w:val="auto"/>
              </w:rPr>
            </w:pPr>
            <w:r>
              <w:rPr>
                <w:rFonts w:ascii="Arial" w:cs="Arial" w:eastAsia="Arial" w:hAnsi="Arial"/>
                <w:sz w:val="18"/>
                <w:szCs w:val="18"/>
                <w:b w:val="1"/>
                <w:bCs w:val="1"/>
                <w:color w:val="auto"/>
              </w:rPr>
              <w:t>Balance Sheet Classification</w:t>
            </w: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2021</w:t>
            </w:r>
          </w:p>
        </w:tc>
      </w:tr>
      <w:tr>
        <w:trPr>
          <w:trHeight w:val="27"/>
        </w:trPr>
        <w:tc>
          <w:tcPr>
            <w:tcW w:w="31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Right of use assets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4360" w:type="dxa"/>
            <w:vAlign w:val="bottom"/>
          </w:tcPr>
          <w:p>
            <w:pPr>
              <w:jc w:val="right"/>
              <w:ind w:right="270"/>
              <w:spacing w:after="0"/>
              <w:rPr>
                <w:sz w:val="20"/>
                <w:szCs w:val="20"/>
                <w:color w:val="auto"/>
              </w:rPr>
            </w:pPr>
            <w:r>
              <w:rPr>
                <w:rFonts w:ascii="Arial" w:cs="Arial" w:eastAsia="Arial" w:hAnsi="Arial"/>
                <w:sz w:val="18"/>
                <w:szCs w:val="18"/>
                <w:color w:val="auto"/>
              </w:rPr>
              <w:t>Current portion of lease liabilities</w:t>
            </w:r>
          </w:p>
        </w:tc>
        <w:tc>
          <w:tcPr>
            <w:tcW w:w="168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
        </w:trPr>
        <w:tc>
          <w:tcPr>
            <w:tcW w:w="3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4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Non-current portion of lease liabilities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r>
      <w:tr>
        <w:trPr>
          <w:trHeight w:val="27"/>
        </w:trPr>
        <w:tc>
          <w:tcPr>
            <w:tcW w:w="318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lease agreements that contain both lease and non-lease components. The Company accounts for lease components together with non-lease components (e.g., common-area maintenance). The components of lease costs were as follows:</w:t>
      </w:r>
    </w:p>
    <w:p>
      <w:pPr>
        <w:sectPr>
          <w:pgSz w:w="11900" w:h="16838" w:orient="portrait"/>
          <w:cols w:equalWidth="0" w:num="1">
            <w:col w:w="11240"/>
          </w:cols>
          <w:pgMar w:left="320" w:top="117" w:right="339" w:bottom="144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2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Three-month period ended March 31,</w:t>
            </w:r>
          </w:p>
        </w:tc>
      </w:tr>
      <w:tr>
        <w:trPr>
          <w:trHeight w:val="234"/>
        </w:trPr>
        <w:tc>
          <w:tcPr>
            <w:tcW w:w="3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20" w:type="dxa"/>
            <w:vAlign w:val="bottom"/>
          </w:tcPr>
          <w:p>
            <w:pPr>
              <w:jc w:val="right"/>
              <w:ind w:right="1290"/>
              <w:spacing w:after="0"/>
              <w:rPr>
                <w:sz w:val="20"/>
                <w:szCs w:val="20"/>
                <w:color w:val="auto"/>
              </w:rPr>
            </w:pPr>
            <w:r>
              <w:rPr>
                <w:rFonts w:ascii="Arial" w:cs="Arial" w:eastAsia="Arial" w:hAnsi="Arial"/>
                <w:sz w:val="18"/>
                <w:szCs w:val="18"/>
                <w:b w:val="1"/>
                <w:bCs w:val="1"/>
                <w:color w:val="auto"/>
              </w:rPr>
              <w:t>2022</w:t>
            </w:r>
          </w:p>
        </w:tc>
      </w:tr>
      <w:tr>
        <w:trPr>
          <w:trHeight w:val="27"/>
        </w:trPr>
        <w:tc>
          <w:tcPr>
            <w:tcW w:w="3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0"/>
        </w:trPr>
        <w:tc>
          <w:tcPr>
            <w:tcW w:w="33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000" w:type="dxa"/>
            <w:vAlign w:val="bottom"/>
          </w:tcPr>
          <w:p>
            <w:pPr>
              <w:spacing w:after="0"/>
              <w:rPr>
                <w:sz w:val="23"/>
                <w:szCs w:val="23"/>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3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3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60"/>
        <w:spacing w:after="0" w:line="282" w:lineRule="auto"/>
        <w:rPr>
          <w:sz w:val="20"/>
          <w:szCs w:val="20"/>
          <w:color w:val="auto"/>
        </w:rPr>
      </w:pPr>
      <w:r>
        <w:rPr>
          <w:rFonts w:ascii="Arial" w:cs="Arial" w:eastAsia="Arial" w:hAnsi="Arial"/>
          <w:sz w:val="18"/>
          <w:szCs w:val="18"/>
          <w:b w:val="1"/>
          <w:bCs w:val="1"/>
          <w:color w:val="auto"/>
        </w:rPr>
        <w:t>Three-month period ended March 31,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0"/>
        </w:trPr>
        <w:tc>
          <w:tcPr>
            <w:tcW w:w="1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400" w:space="100"/>
            <w:col w:w="2740"/>
          </w:cols>
          <w:pgMar w:left="320" w:top="117" w:right="3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660"/>
              <w:spacing w:after="0"/>
              <w:rPr>
                <w:sz w:val="20"/>
                <w:szCs w:val="20"/>
                <w:color w:val="auto"/>
              </w:rPr>
            </w:pPr>
            <w:r>
              <w:rPr>
                <w:rFonts w:ascii="Arial" w:cs="Arial" w:eastAsia="Arial" w:hAnsi="Arial"/>
                <w:sz w:val="18"/>
                <w:szCs w:val="18"/>
                <w:color w:val="auto"/>
              </w:rPr>
              <w:t>Future minimum commitments under all non-cancelable operating leases are as follows:</w:t>
            </w:r>
          </w:p>
        </w:tc>
        <w:tc>
          <w:tcPr>
            <w:tcW w:w="15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135"/>
        </w:trPr>
        <w:tc>
          <w:tcPr>
            <w:tcW w:w="7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(excluding the three months ended March 31, 2022)</w:t>
            </w:r>
          </w:p>
        </w:tc>
        <w:tc>
          <w:tcPr>
            <w:tcW w:w="152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7"/>
        </w:trPr>
        <w:tc>
          <w:tcPr>
            <w:tcW w:w="7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5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2025</w:t>
            </w:r>
          </w:p>
        </w:tc>
        <w:tc>
          <w:tcPr>
            <w:tcW w:w="15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7"/>
        </w:trPr>
        <w:tc>
          <w:tcPr>
            <w:tcW w:w="7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5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15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7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5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5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7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52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and non-cash activity related to our operating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tcPr>
          <w:p>
            <w:pPr>
              <w:jc w:val="right"/>
              <w:ind w:right="570"/>
              <w:spacing w:after="0"/>
              <w:rPr>
                <w:sz w:val="20"/>
                <w:szCs w:val="20"/>
                <w:color w:val="auto"/>
              </w:rPr>
            </w:pPr>
            <w:r>
              <w:rPr>
                <w:rFonts w:ascii="Arial" w:cs="Arial" w:eastAsia="Arial" w:hAnsi="Arial"/>
                <w:sz w:val="18"/>
                <w:szCs w:val="18"/>
                <w:b w:val="1"/>
                <w:bCs w:val="1"/>
                <w:color w:val="auto"/>
              </w:rPr>
              <w:t>Three-month period ended</w:t>
            </w:r>
          </w:p>
        </w:tc>
      </w:tr>
      <w:tr>
        <w:trPr>
          <w:trHeight w:val="234"/>
        </w:trPr>
        <w:tc>
          <w:tcPr>
            <w:tcW w:w="7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tcPr>
          <w:p>
            <w:pPr>
              <w:jc w:val="right"/>
              <w:ind w:right="1010"/>
              <w:spacing w:after="0"/>
              <w:rPr>
                <w:sz w:val="20"/>
                <w:szCs w:val="20"/>
                <w:color w:val="auto"/>
              </w:rPr>
            </w:pPr>
            <w:r>
              <w:rPr>
                <w:rFonts w:ascii="Arial" w:cs="Arial" w:eastAsia="Arial" w:hAnsi="Arial"/>
                <w:sz w:val="18"/>
                <w:szCs w:val="18"/>
                <w:b w:val="1"/>
                <w:bCs w:val="1"/>
                <w:color w:val="auto"/>
              </w:rPr>
              <w:t>March 31, 2022</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 information:</w:t>
            </w:r>
          </w:p>
        </w:tc>
        <w:tc>
          <w:tcPr>
            <w:tcW w:w="38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activity:</w:t>
            </w:r>
          </w:p>
        </w:tc>
        <w:tc>
          <w:tcPr>
            <w:tcW w:w="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9180" w:firstLine="10"/>
        <w:spacing w:after="0" w:line="407" w:lineRule="auto"/>
        <w:tabs>
          <w:tab w:leader="none" w:pos="18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EQUITY STRUCTURE Shares Authorized</w:t>
      </w:r>
    </w:p>
    <w:p>
      <w:pPr>
        <w:spacing w:after="0" w:line="8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As of March 31, 2022, the Company had authorized a total of 250,000,000 shares for issuance designated as Class A common stock, 75,000,000 designated as Class B common stock and 10,000,000 shares designated as preferred stock. As of March 31, 2022, there were 14,954,982 shares of Class A Common Stock issued and outstanding, 61,136,800 shares of Class B Common Stock issued and outstanding and no shares of Preferred Stock issued and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As of March 31, 2022, the Company had 10,837,400 private warrants outstanding. Each private warrant entitles the registered holder to purchase one share of Class A common stock at a price of $11.50 per share, subject to adjustment, at any time commencing 30 days after the completion of the Business Combination. The exercise price and number of common shares issuable upon exercise of the private warrants may be adjusted in certain circumstances including in the event of a share dividend, or recapitalization, reorganization, merger or consolidation. However, the private warrants will not be adjusted for issuance of common stock at a price below its exercise price.</w:t>
      </w:r>
    </w:p>
    <w:p>
      <w:pPr>
        <w:spacing w:after="0" w:line="203"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As of March 31, 2022, the Company had 11,578,000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non-controlling interests are redeemable for cash at the option of the Company subject to the terms and conditions, they have been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March 31, 2022 in accordance with ASC 480-10. This measurement adjustment results in a corresponding adjustment to shareholders’ deficit through adjustments to additional paid-in capital and retained earnings. The redemption value of the Class B Units was $608,311 on March 31, 2022. The redemption value was calculated by multiplying the 61,136,800 Class B Units by the $9.95 trading price of our Class A common stock on December 27,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share-based compensation expense included in general and administrative expenses within the consolidated statements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w w:val="97"/>
              </w:rPr>
              <w:t>Three-month period ended March 31,</w:t>
            </w:r>
          </w:p>
        </w:tc>
        <w:tc>
          <w:tcPr>
            <w:tcW w:w="160" w:type="dxa"/>
            <w:vAlign w:val="bottom"/>
          </w:tcPr>
          <w:p>
            <w:pPr>
              <w:spacing w:after="0"/>
              <w:rPr>
                <w:sz w:val="18"/>
                <w:szCs w:val="18"/>
                <w:color w:val="auto"/>
              </w:rPr>
            </w:pPr>
          </w:p>
        </w:tc>
        <w:tc>
          <w:tcPr>
            <w:tcW w:w="31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Three-month period ended March 31,</w:t>
            </w:r>
          </w:p>
        </w:tc>
      </w:t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jc w:val="right"/>
              <w:ind w:right="1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jc w:val="right"/>
              <w:ind w:right="1350"/>
              <w:spacing w:after="0"/>
              <w:rPr>
                <w:sz w:val="20"/>
                <w:szCs w:val="20"/>
                <w:color w:val="auto"/>
              </w:rPr>
            </w:pPr>
            <w:r>
              <w:rPr>
                <w:rFonts w:ascii="Arial" w:cs="Arial" w:eastAsia="Arial" w:hAnsi="Arial"/>
                <w:sz w:val="18"/>
                <w:szCs w:val="18"/>
                <w:b w:val="1"/>
                <w:bCs w:val="1"/>
                <w:color w:val="auto"/>
              </w:rPr>
              <w:t>2021</w:t>
            </w: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Restricted stock unit expense</w:t>
            </w:r>
          </w:p>
        </w:tc>
        <w:tc>
          <w:tcPr>
            <w:tcW w:w="120" w:type="dxa"/>
            <w:vAlign w:val="bottom"/>
          </w:tcPr>
          <w:p>
            <w:pPr>
              <w:spacing w:after="0"/>
              <w:rPr>
                <w:sz w:val="21"/>
                <w:szCs w:val="21"/>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Incentive units</w:t>
            </w:r>
          </w:p>
        </w:tc>
        <w:tc>
          <w:tcPr>
            <w:tcW w:w="120" w:type="dxa"/>
            <w:vAlign w:val="bottom"/>
            <w:tcBorders>
              <w:bottom w:val="single" w:sz="8" w:color="CCEEFF"/>
            </w:tcBorders>
            <w:shd w:val="clear" w:color="auto" w:fill="CCEEFF"/>
          </w:tcPr>
          <w:p>
            <w:pPr>
              <w:spacing w:after="0"/>
              <w:rPr>
                <w:sz w:val="23"/>
                <w:szCs w:val="23"/>
                <w:color w:val="auto"/>
              </w:rPr>
            </w:pP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7"/>
        </w:trPr>
        <w:tc>
          <w:tcPr>
            <w:tcW w:w="4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the stock compensation activity under the Holdings' equity plan, which was assumed by the Company, for three months period ended March 31,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 Option Activity</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 Per</w:t>
            </w: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Contractual Term</w:t>
            </w:r>
          </w:p>
        </w:tc>
        <w:tc>
          <w:tcPr>
            <w:tcW w:w="22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5,409,771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5,409,771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6"/>
              </w:rPr>
              <w:t>Vested and expected to vest at March 31,</w:t>
            </w:r>
          </w:p>
        </w:tc>
        <w:tc>
          <w:tcPr>
            <w:tcW w:w="1820" w:type="dxa"/>
            <w:vAlign w:val="bottom"/>
          </w:tcPr>
          <w:p>
            <w:pPr>
              <w:jc w:val="right"/>
              <w:spacing w:after="0"/>
              <w:rPr>
                <w:sz w:val="20"/>
                <w:szCs w:val="20"/>
                <w:color w:val="auto"/>
              </w:rPr>
            </w:pPr>
            <w:r>
              <w:rPr>
                <w:rFonts w:ascii="Arial" w:cs="Arial" w:eastAsia="Arial" w:hAnsi="Arial"/>
                <w:sz w:val="18"/>
                <w:szCs w:val="18"/>
                <w:color w:val="auto"/>
              </w:rPr>
              <w:t>5,409,771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2022</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5,040,526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0"/>
        </w:trPr>
        <w:tc>
          <w:tcPr>
            <w:tcW w:w="5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Restricted Stock and Performance Stock Unit Activity</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4,036,403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2022</w:t>
            </w:r>
          </w:p>
        </w:tc>
        <w:tc>
          <w:tcPr>
            <w:tcW w:w="1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4,011,403</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Earnouts</w:t>
            </w: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2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2022</w:t>
            </w:r>
          </w:p>
        </w:tc>
        <w:tc>
          <w:tcPr>
            <w:tcW w:w="1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657,160</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Units</w:t>
      </w:r>
    </w:p>
    <w:p>
      <w:pPr>
        <w:spacing w:after="0" w:line="11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The incentive units converted into class B common stock outstanding were 1,236,027 as of March 31, 2022.</w:t>
      </w:r>
    </w:p>
    <w:p>
      <w:pPr>
        <w:spacing w:after="0" w:line="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Unrecognized compensation cost for unvested stock options, restricted stock awards, incentive units and performance stock units as of March 31, 2022 totaled $31,137, and is expected to be recognized over a weighted average period of approximately 3.16 years.</w:t>
      </w:r>
    </w:p>
    <w:p>
      <w:pPr>
        <w:spacing w:after="0" w:line="166" w:lineRule="exact"/>
        <w:rPr>
          <w:sz w:val="20"/>
          <w:szCs w:val="20"/>
          <w:color w:val="auto"/>
        </w:rPr>
      </w:pPr>
    </w:p>
    <w:p>
      <w:pPr>
        <w:jc w:val="both"/>
        <w:ind w:right="9180" w:firstLine="8"/>
        <w:spacing w:after="0" w:line="425" w:lineRule="auto"/>
        <w:tabs>
          <w:tab w:leader="none" w:pos="1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 PLANS Defined Contribution Plan</w:t>
      </w:r>
    </w:p>
    <w:p>
      <w:pPr>
        <w:ind w:right="140" w:firstLine="648"/>
        <w:spacing w:after="0" w:line="277" w:lineRule="auto"/>
        <w:rPr>
          <w:sz w:val="20"/>
          <w:szCs w:val="20"/>
          <w:color w:val="auto"/>
        </w:rPr>
      </w:pPr>
      <w:r>
        <w:rPr>
          <w:rFonts w:ascii="Arial" w:cs="Arial" w:eastAsia="Arial" w:hAnsi="Arial"/>
          <w:sz w:val="18"/>
          <w:szCs w:val="18"/>
          <w:color w:val="auto"/>
        </w:rPr>
        <w:t>The Company has a 401(k) profit sharing plan for all full-time employees who have attained the age of 21 and completed 90 days of service. The Company matches 100% of the first 1% and then 50% of the next 5% of employee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contributions. Retirement plan expense for the three months ended March 31, 2022 and 2021 was approximately $428 and $303,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had a self-administered deferred compensation plan that accrues a liability for the benefit of certain employees equal to 0.25% of the year-over-year change in Earnings Before Interest Depreciation “EBITDA” that began in 2014. The Company made an initial contribution of $150 with additional contributions of $0 for the three months ended March 31, 2022 and 2021. The total liability was $242 at March 31, 2022 and December 31, 2021 and was recorded in liabilities on the consolidated balance sheet. Contributions to the Plan vest over a seven year period according to the following vesting schedule: Year 1 – 0.0%, Year 2 – 5.0%, Year 3 – 15.0%, Year 4 – 20.0%, Year 5 – 30.0%, Year 6 – 50.0%, Year 7 – 100%. Since plan inception $1,413 has vested.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4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980" w:hanging="168"/>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980" w:hanging="168"/>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w:t>
      </w:r>
    </w:p>
    <w:p>
      <w:pPr>
        <w:spacing w:after="0" w:line="9" w:lineRule="exact"/>
        <w:rPr>
          <w:rFonts w:ascii="Arial" w:cs="Arial" w:eastAsia="Arial" w:hAnsi="Arial"/>
          <w:sz w:val="18"/>
          <w:szCs w:val="18"/>
          <w:color w:val="auto"/>
        </w:rPr>
      </w:pPr>
    </w:p>
    <w:p>
      <w:pPr>
        <w:ind w:left="660" w:right="1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develop its own assumptions.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consisted of the following types of instruments as of the following dates: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 Carried at 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 - interest rate swap</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Liabilities Carried at Fair Value: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18,749</w:t>
            </w: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consideration</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Derivative liability - redemption with make-whole provision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Carried at 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17,557</w:t>
            </w: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consideration</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Derivative liability - redemption with make-whole provision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r>
    </w:tbl>
    <w:p>
      <w:pPr>
        <w:spacing w:after="0" w:line="35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tables present additional information about assets and liabilities remeasured at fair value on a recurring basis and for which the Company utilizes Level 3 inputs to determine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 - interest rate swap</w:t>
            </w:r>
          </w:p>
        </w:tc>
        <w:tc>
          <w:tcPr>
            <w:tcW w:w="5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2"/>
        </w:trPr>
        <w:tc>
          <w:tcPr>
            <w:tcW w:w="8900" w:type="dxa"/>
            <w:vAlign w:val="bottom"/>
          </w:tcPr>
          <w:p>
            <w:pPr>
              <w:spacing w:after="0"/>
              <w:rPr>
                <w:sz w:val="21"/>
                <w:szCs w:val="21"/>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Derivative asset - interest rate</w:t>
            </w:r>
          </w:p>
        </w:tc>
      </w:tr>
      <w:tr>
        <w:trPr>
          <w:trHeight w:val="234"/>
        </w:trPr>
        <w:tc>
          <w:tcPr>
            <w:tcW w:w="8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tcPr>
          <w:p>
            <w:pPr>
              <w:jc w:val="right"/>
              <w:ind w:right="890"/>
              <w:spacing w:after="0"/>
              <w:rPr>
                <w:sz w:val="20"/>
                <w:szCs w:val="20"/>
                <w:color w:val="auto"/>
              </w:rPr>
            </w:pPr>
            <w:r>
              <w:rPr>
                <w:rFonts w:ascii="Arial" w:cs="Arial" w:eastAsia="Arial" w:hAnsi="Arial"/>
                <w:sz w:val="18"/>
                <w:szCs w:val="18"/>
                <w:b w:val="1"/>
                <w:bCs w:val="1"/>
                <w:color w:val="auto"/>
              </w:rPr>
              <w:t>swap</w:t>
            </w:r>
          </w:p>
        </w:tc>
      </w:tr>
      <w:tr>
        <w:trPr>
          <w:trHeight w:val="27"/>
        </w:trPr>
        <w:tc>
          <w:tcPr>
            <w:tcW w:w="89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Fair value recognized upon interest rate swap agreement</w:t>
            </w:r>
          </w:p>
        </w:tc>
        <w:tc>
          <w:tcPr>
            <w:tcW w:w="5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4,036</w:t>
            </w:r>
          </w:p>
        </w:tc>
      </w:tr>
      <w:tr>
        <w:trPr>
          <w:trHeight w:val="27"/>
        </w:trPr>
        <w:tc>
          <w:tcPr>
            <w:tcW w:w="89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March 31, 2022</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exposed to interest rate risk on variable interest rate debt obligations. To manage interest rate risk, the Company entered into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 agreement on January 5, 2022. At March 31, 2022, the Company’s interest rate swap contract outstanding had a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$125,000 maturing in December 2025. The Company has designated the interest rate swap as a cash flow hedge for accounting purposes.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the fair value of the interest rate swap to be zero at the inception of the agreement and $4,036 at March 31, 2022. The Company reflects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changes in fair value of the interest rate swap at each reporting period in other comprehensive income and a derivative asset or liability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at each reporting period in the Company’s consolidated financial statements. The fair value of interest rate swap has been classified as a Level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as its valuation requires estimation of factors that are not currently readily observable in the market. If different assumptions were used for the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inputs to the valuation approach, the estimated fair value could be significantly higher or lower than the fair value determined.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5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liabilities were remeasured at March 31, 2022, with changes in fair value presented within revaluation of warrant liabilities in the consolidated statement of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ending balances for the warrant liabilities remeasured at fair value: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jc w:val="right"/>
              <w:ind w:right="370"/>
              <w:spacing w:after="0"/>
              <w:rPr>
                <w:sz w:val="20"/>
                <w:szCs w:val="20"/>
                <w:color w:val="auto"/>
              </w:rPr>
            </w:pPr>
            <w:r>
              <w:rPr>
                <w:rFonts w:ascii="Arial" w:cs="Arial" w:eastAsia="Arial" w:hAnsi="Arial"/>
                <w:sz w:val="18"/>
                <w:szCs w:val="18"/>
                <w:b w:val="1"/>
                <w:bCs w:val="1"/>
                <w:color w:val="auto"/>
              </w:rPr>
              <w:t>Warrant Liabilities</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December 31, 2021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Change in estimated fair value</w:t>
            </w:r>
          </w:p>
        </w:tc>
        <w:tc>
          <w:tcPr>
            <w:tcW w:w="3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8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March 31, 2022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Public Warrants were valued using the quoted market price as the fair value at the end of each balance sheet date. The Private Placement Warrants were valued using the Black Scholes Option Pricing Model.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660"/>
              <w:spacing w:after="0"/>
              <w:rPr>
                <w:sz w:val="20"/>
                <w:szCs w:val="20"/>
                <w:color w:val="auto"/>
              </w:rPr>
            </w:pPr>
            <w:r>
              <w:rPr>
                <w:rFonts w:ascii="Arial" w:cs="Arial" w:eastAsia="Arial" w:hAnsi="Arial"/>
                <w:sz w:val="18"/>
                <w:szCs w:val="18"/>
                <w:color w:val="auto"/>
                <w:w w:val="96"/>
              </w:rPr>
              <w:t>The following assumptions were used to determine the fair value of the private warrants as of March 31, 2022:</w:t>
            </w: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13"/>
        </w:trPr>
        <w:tc>
          <w:tcPr>
            <w:tcW w:w="9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 2022</w:t>
            </w:r>
          </w:p>
        </w:tc>
      </w:tr>
      <w:tr>
        <w:trPr>
          <w:trHeight w:val="27"/>
        </w:trPr>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2.42 %</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Common Stock market value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7.59</w:t>
            </w:r>
          </w:p>
        </w:tc>
      </w:tr>
    </w:tbl>
    <w:p>
      <w:pPr>
        <w:spacing w:after="0" w:line="3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fair value of private warrants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Consideration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Holdings' equity holders have the right to receive an aggregate of up to 7,500,000 additional (i) shares of the Company's class A common stock or</w:t>
      </w:r>
    </w:p>
    <w:p>
      <w:pPr>
        <w:spacing w:after="0" w:line="46" w:lineRule="exact"/>
        <w:rPr>
          <w:sz w:val="20"/>
          <w:szCs w:val="20"/>
          <w:color w:val="auto"/>
        </w:rPr>
      </w:pPr>
    </w:p>
    <w:p>
      <w:pPr>
        <w:ind w:right="140" w:firstLine="8"/>
        <w:spacing w:after="0" w:line="252"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Holdings Units (and a corresponding number of shares of the Company's class B common stock), as applicable, in Earnout consideration based on the achievement of certain stock price thresholds. Earnout Considerations held by Holdings' holders (not including the holders under ASC 718) were determined to be derivative instruments in accordance with ASC 815 and were accounted as derivative liabilities, initially valued at fair value in accordance with ASC 815-40-30-1. The liability for Earnouts are remeasured at each reporting period at fair value, with changes in fair value recorded in earnings in accordance with ASC 815. The Company established the initial fair value for the earnouts at the closing date on December 27, 2021 using a Monte Carlo simulation model. The following table provides a reconciliation of the ending balances for the earnout consideration liabilities remeasured at fair value: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Earnout Consideration Liability</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December 31, 2021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4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w w:val="98"/>
              </w:rPr>
              <w:t>38,427</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Change in estimated fair value</w:t>
            </w:r>
          </w:p>
        </w:tc>
        <w:tc>
          <w:tcPr>
            <w:tcW w:w="260" w:type="dxa"/>
            <w:vAlign w:val="bottom"/>
          </w:tcPr>
          <w:p>
            <w:pPr>
              <w:spacing w:after="0"/>
              <w:rPr>
                <w:sz w:val="21"/>
                <w:szCs w:val="21"/>
                <w:color w:val="auto"/>
              </w:rPr>
            </w:pPr>
          </w:p>
        </w:tc>
        <w:tc>
          <w:tcPr>
            <w:tcW w:w="3040" w:type="dxa"/>
            <w:vAlign w:val="bottom"/>
          </w:tcPr>
          <w:p>
            <w:pPr>
              <w:ind w:left="2480"/>
              <w:spacing w:after="0"/>
              <w:rPr>
                <w:sz w:val="20"/>
                <w:szCs w:val="20"/>
                <w:color w:val="auto"/>
              </w:rPr>
            </w:pPr>
            <w:r>
              <w:rPr>
                <w:rFonts w:ascii="Arial" w:cs="Arial" w:eastAsia="Arial" w:hAnsi="Arial"/>
                <w:sz w:val="18"/>
                <w:szCs w:val="18"/>
                <w:color w:val="auto"/>
                <w:w w:val="94"/>
              </w:rPr>
              <w:t>(4,107)</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March 31,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40" w:type="dxa"/>
            <w:vAlign w:val="bottom"/>
            <w:tcBorders>
              <w:bottom w:val="single" w:sz="8" w:color="auto"/>
            </w:tcBorders>
            <w:shd w:val="clear" w:color="auto" w:fill="CCEEFF"/>
          </w:tcPr>
          <w:p>
            <w:pPr>
              <w:ind w:left="2480"/>
              <w:spacing w:after="0"/>
              <w:rPr>
                <w:sz w:val="20"/>
                <w:szCs w:val="20"/>
                <w:color w:val="auto"/>
              </w:rPr>
            </w:pPr>
            <w:r>
              <w:rPr>
                <w:rFonts w:ascii="Arial" w:cs="Arial" w:eastAsia="Arial" w:hAnsi="Arial"/>
                <w:sz w:val="18"/>
                <w:szCs w:val="18"/>
                <w:color w:val="auto"/>
                <w:w w:val="98"/>
              </w:rPr>
              <w:t>34,320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determine the fair value of the Earnout considerations as of March 31,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 2022</w:t>
            </w:r>
          </w:p>
        </w:tc>
      </w:tr>
      <w:tr>
        <w:trPr>
          <w:trHeight w:val="27"/>
        </w:trPr>
        <w:tc>
          <w:tcPr>
            <w:tcW w:w="9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share price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7.59</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2.41% - 2.44%%</w:t>
            </w: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70.0 %</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2.7 - 3.7 years</w:t>
            </w:r>
          </w:p>
        </w:tc>
      </w:tr>
      <w:tr>
        <w:trPr>
          <w:trHeight w:val="27"/>
        </w:trPr>
        <w:tc>
          <w:tcPr>
            <w:tcW w:w="9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GEOGRAPHIC INFORMATION AND CONCENTRATIONS</w:t>
      </w:r>
    </w:p>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headquarters and substantially all of its operations, including its long-lived assets, are located in the United States. Geographical sales information based on the location of the customer was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50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region:</w:t>
            </w:r>
          </w:p>
        </w:tc>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Domestic</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62,381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55,868</w:t>
            </w: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21,802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84,183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63,722</w:t>
            </w:r>
          </w:p>
        </w:tc>
      </w:tr>
      <w:tr>
        <w:trPr>
          <w:trHeight w:val="27"/>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Company’s principal direct customers as of March 31, 2022 consist primarily of leading international, foreign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spacing w:after="0" w:line="7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Two customers individually accounted for more than 10% of the Company’s revenue or 64.9%, combined, of total revenue for the three months ended March 31, 2022. Two customers individually accounted for more than 10% of the Company’s revenue or 77.1%, combined, of total revenue for the three months ended March 31, 2021. Four customers individually accounted for more than 10% of the Company’s accounts receivable or approximately 95% and two customers individually accounted for more than 10% or 66% of total accounts receivable as of March 31, 2022 and December 31, 2021, respectively.</w:t>
      </w:r>
    </w:p>
    <w:p>
      <w:pPr>
        <w:spacing w:after="0" w:line="8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primarily relied on one vendor that individually accounted for more than 10% of purchases of supplies for the three months ended March 31, 2022. Purchases of supplies from this vendor totaled approximately 11% of total purchases for the three months ended March 31, 2022. The Company primarily relied on four vendors that individually accounted for more than 10% of purchases of supplies for the three months ended March 31, 2021 or approximately 68% of total purchases for the three months ended March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recorded an income tax provision of $543 for the quarter ended March 31, 2022. No provisions or benefits were made for federal or state income taxes for the quarter ended March 31, 2021 as prior to the Business Combination completed on December 27, 2021, the Company was not subject to income taxes due to the then equity structure of the Company and was subject to pass through income taxes. Federal, state and local income tax returns for years prior to 2018 are no longer subject to examination by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1.98% for the quarter ended March 31, 2022. </w:t>
      </w:r>
      <w:r>
        <w:rPr>
          <w:rFonts w:ascii="Arial" w:cs="Arial" w:eastAsia="Arial" w:hAnsi="Arial"/>
          <w:sz w:val="17"/>
          <w:szCs w:val="17"/>
          <w:color w:val="auto"/>
        </w:rPr>
        <w:t>T</w:t>
      </w:r>
      <w:r>
        <w:rPr>
          <w:rFonts w:ascii="Arial" w:cs="Arial" w:eastAsia="Arial" w:hAnsi="Arial"/>
          <w:sz w:val="16"/>
          <w:szCs w:val="16"/>
          <w:color w:val="auto"/>
        </w:rPr>
        <w:t>he Company’s effective income tax rate differs from the U.S. statutory rate primarily due to the non-controlling interest adjustment as the income attributable to the non-controlling interest is pass-through income.</w:t>
      </w:r>
    </w:p>
    <w:p>
      <w:pPr>
        <w:spacing w:after="0" w:line="193"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Company continues to evaluate the realizability of its deferred tax assets on a quarterly basis and will adjust such amounts in light of changing facts and circumstances including, but not limited to, future projections of taxable income, tax legislation, rulings by relevant tax authorities, the progress of ongoing tax audits. Any changes to the valuation allowance or deferred tax assets and liabilities in the future would impact the Company's income taxes.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following table sets forth the computation of net income used to compute basic and diluted net earnings per share of Class A common stock for the quarter ended March 31, 2022. No earnings per share are presented for the quarter ended March 31, 2021 as only the Class B common stock would have been outstanding in historical periods pursuant to the reverse recapitalization and the Class B common stock do not participate in the Company's income or loss and are therefore not participating securities.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4"/>
              <w:spacing w:after="0"/>
              <w:rPr>
                <w:sz w:val="20"/>
                <w:szCs w:val="20"/>
                <w:color w:val="auto"/>
              </w:rPr>
            </w:pPr>
            <w:r>
              <w:rPr>
                <w:rFonts w:ascii="Arial" w:cs="Arial" w:eastAsia="Arial" w:hAnsi="Arial"/>
                <w:sz w:val="18"/>
                <w:szCs w:val="18"/>
                <w:b w:val="1"/>
                <w:bCs w:val="1"/>
                <w:color w:val="auto"/>
                <w:w w:val="92"/>
              </w:rPr>
              <w:t>Three-month</w:t>
            </w:r>
          </w:p>
        </w:tc>
      </w:tr>
      <w:tr>
        <w:trPr>
          <w:trHeight w:val="216"/>
        </w:trPr>
        <w:tc>
          <w:tcPr>
            <w:tcW w:w="9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4"/>
              <w:spacing w:after="0"/>
              <w:rPr>
                <w:sz w:val="20"/>
                <w:szCs w:val="20"/>
                <w:color w:val="auto"/>
              </w:rPr>
            </w:pPr>
            <w:r>
              <w:rPr>
                <w:rFonts w:ascii="Arial" w:cs="Arial" w:eastAsia="Arial" w:hAnsi="Arial"/>
                <w:sz w:val="18"/>
                <w:szCs w:val="18"/>
                <w:b w:val="1"/>
                <w:bCs w:val="1"/>
                <w:color w:val="auto"/>
                <w:w w:val="88"/>
              </w:rPr>
              <w:t>period ended</w:t>
            </w:r>
          </w:p>
        </w:tc>
      </w:tr>
      <w:tr>
        <w:trPr>
          <w:trHeight w:val="234"/>
        </w:trPr>
        <w:tc>
          <w:tcPr>
            <w:tcW w:w="9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4"/>
              <w:spacing w:after="0"/>
              <w:rPr>
                <w:sz w:val="20"/>
                <w:szCs w:val="20"/>
                <w:color w:val="auto"/>
              </w:rPr>
            </w:pPr>
            <w:r>
              <w:rPr>
                <w:rFonts w:ascii="Arial" w:cs="Arial" w:eastAsia="Arial" w:hAnsi="Arial"/>
                <w:sz w:val="18"/>
                <w:szCs w:val="18"/>
                <w:b w:val="1"/>
                <w:bCs w:val="1"/>
                <w:color w:val="auto"/>
                <w:w w:val="93"/>
              </w:rPr>
              <w:t>March 31, 2022</w:t>
            </w:r>
          </w:p>
        </w:tc>
      </w:tr>
      <w:tr>
        <w:trPr>
          <w:trHeight w:val="27"/>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25"/>
        </w:trPr>
        <w:tc>
          <w:tcPr>
            <w:tcW w:w="97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26,908</w:t>
            </w:r>
          </w:p>
        </w:tc>
      </w:tr>
      <w:tr>
        <w:trPr>
          <w:trHeight w:val="31"/>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(22,167)</w:t>
            </w:r>
          </w:p>
        </w:tc>
      </w:tr>
      <w:tr>
        <w:trPr>
          <w:trHeight w:val="219"/>
        </w:trPr>
        <w:tc>
          <w:tcPr>
            <w:tcW w:w="9760" w:type="dxa"/>
            <w:vAlign w:val="bottom"/>
          </w:tcPr>
          <w:p>
            <w:pPr>
              <w:ind w:left="20"/>
              <w:spacing w:after="0"/>
              <w:rPr>
                <w:sz w:val="20"/>
                <w:szCs w:val="20"/>
                <w:color w:val="auto"/>
              </w:rPr>
            </w:pPr>
            <w:r>
              <w:rPr>
                <w:rFonts w:ascii="Arial" w:cs="Arial" w:eastAsia="Arial" w:hAnsi="Arial"/>
                <w:sz w:val="17"/>
                <w:szCs w:val="17"/>
                <w:color w:val="auto"/>
              </w:rPr>
              <w:t>Net income attributable to Class A Common Stockholders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4,741</w:t>
            </w:r>
          </w:p>
        </w:tc>
      </w:tr>
      <w:tr>
        <w:trPr>
          <w:trHeight w:val="31"/>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Plus: adjustment due to net effect of stock options and exchangeable notes to net income</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w:t>
            </w:r>
          </w:p>
        </w:tc>
      </w:tr>
      <w:tr>
        <w:trPr>
          <w:trHeight w:val="219"/>
        </w:trPr>
        <w:tc>
          <w:tcPr>
            <w:tcW w:w="9760" w:type="dxa"/>
            <w:vAlign w:val="bottom"/>
          </w:tcPr>
          <w:p>
            <w:pPr>
              <w:ind w:left="20"/>
              <w:spacing w:after="0"/>
              <w:rPr>
                <w:sz w:val="20"/>
                <w:szCs w:val="20"/>
                <w:color w:val="auto"/>
              </w:rPr>
            </w:pPr>
            <w:r>
              <w:rPr>
                <w:rFonts w:ascii="Arial" w:cs="Arial" w:eastAsia="Arial" w:hAnsi="Arial"/>
                <w:sz w:val="17"/>
                <w:szCs w:val="17"/>
                <w:color w:val="auto"/>
              </w:rPr>
              <w:t>Net income attributable to Class A Common Stockholders after adjustment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5,093</w:t>
            </w:r>
          </w:p>
        </w:tc>
      </w:tr>
      <w:tr>
        <w:trPr>
          <w:trHeight w:val="31"/>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used in computing net income per share—basic (in thousands)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14,934</w:t>
            </w:r>
          </w:p>
        </w:tc>
      </w:tr>
      <w:tr>
        <w:trPr>
          <w:trHeight w:val="226"/>
        </w:trPr>
        <w:tc>
          <w:tcPr>
            <w:tcW w:w="9760" w:type="dxa"/>
            <w:vAlign w:val="bottom"/>
          </w:tcPr>
          <w:p>
            <w:pPr>
              <w:ind w:left="20"/>
              <w:spacing w:after="0"/>
              <w:rPr>
                <w:sz w:val="20"/>
                <w:szCs w:val="20"/>
                <w:color w:val="auto"/>
              </w:rPr>
            </w:pPr>
            <w:r>
              <w:rPr>
                <w:rFonts w:ascii="Arial" w:cs="Arial" w:eastAsia="Arial" w:hAnsi="Arial"/>
                <w:sz w:val="17"/>
                <w:szCs w:val="17"/>
                <w:color w:val="auto"/>
              </w:rPr>
              <w:t>Plus: net effect of dilutive stock options and exchangeable notes (in thousands)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17,331</w:t>
            </w:r>
          </w:p>
        </w:tc>
      </w:tr>
      <w:tr>
        <w:trPr>
          <w:trHeight w:val="31"/>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used in computing net income per share—diluted (in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32,265</w:t>
            </w:r>
          </w:p>
        </w:tc>
      </w:tr>
      <w:tr>
        <w:trPr>
          <w:trHeight w:val="219"/>
        </w:trPr>
        <w:tc>
          <w:tcPr>
            <w:tcW w:w="9760" w:type="dxa"/>
            <w:vAlign w:val="bottom"/>
          </w:tcPr>
          <w:p>
            <w:pPr>
              <w:ind w:left="20"/>
              <w:spacing w:after="0"/>
              <w:rPr>
                <w:sz w:val="20"/>
                <w:szCs w:val="20"/>
                <w:color w:val="auto"/>
              </w:rPr>
            </w:pPr>
            <w:r>
              <w:rPr>
                <w:rFonts w:ascii="Arial" w:cs="Arial" w:eastAsia="Arial" w:hAnsi="Arial"/>
                <w:sz w:val="17"/>
                <w:szCs w:val="17"/>
                <w:b w:val="1"/>
                <w:bCs w:val="1"/>
                <w:color w:val="auto"/>
              </w:rPr>
              <w:t>Net income per share—basic</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0.32</w:t>
            </w:r>
          </w:p>
        </w:tc>
      </w:tr>
      <w:tr>
        <w:trPr>
          <w:trHeight w:val="31"/>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0.16</w:t>
            </w:r>
          </w:p>
        </w:tc>
      </w:tr>
      <w:tr>
        <w:trPr>
          <w:trHeight w:val="20"/>
        </w:trPr>
        <w:tc>
          <w:tcPr>
            <w:tcW w:w="9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Securities that could potentially be dilutive are excluded from the computation of diluted earnings per share when a loss from continuing operations exists or when the exercise price exceeds the average closing price of the Company’s common stock during the period, because their inclusion would result in an antidilutive effect on per share amounts. The Company applied the if-converted method for the convertible debt to calculate diluted earnings per share in accordance of ASU 2020-06.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were not included in the calculation of net earnings per diluted share because their effects were anti-dilutive: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Three-month</w:t>
            </w:r>
          </w:p>
        </w:tc>
      </w:tr>
      <w:tr>
        <w:trPr>
          <w:trHeight w:val="216"/>
        </w:trPr>
        <w:tc>
          <w:tcPr>
            <w:tcW w:w="9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period ended</w:t>
            </w:r>
          </w:p>
        </w:tc>
      </w:tr>
      <w:tr>
        <w:trPr>
          <w:trHeight w:val="234"/>
        </w:trPr>
        <w:tc>
          <w:tcPr>
            <w:tcW w:w="97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 2022</w:t>
            </w:r>
          </w:p>
        </w:tc>
      </w:tr>
      <w:tr>
        <w:trPr>
          <w:trHeight w:val="27"/>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Potentially dilutive securities:</w:t>
            </w: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22,415,400</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shares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61,136,800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Earnout consideration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7,500,000</w:t>
            </w:r>
          </w:p>
        </w:tc>
      </w:tr>
    </w:tbl>
    <w:p>
      <w:pPr>
        <w:spacing w:after="0" w:line="319" w:lineRule="exact"/>
        <w:rPr>
          <w:sz w:val="20"/>
          <w:szCs w:val="20"/>
          <w:color w:val="auto"/>
        </w:rPr>
      </w:pPr>
    </w:p>
    <w:p>
      <w:pPr>
        <w:ind w:right="7520" w:firstLine="8"/>
        <w:spacing w:after="0" w:line="377"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leases certain office space and manufacturing space under arrangements currently classified as leases under ASC 842. See Note 6 for future minimum commitments under all non-cancelable operating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While the outcome of existing disputes and claims is uncertain, the Company does not expect that the resolution of existing disputes and claims would have a material adverse effect on its consolidated financial position or liquidity or the Company’s consolidated results of operations and cash flows. Litigation costs are expensed as incurred.</w:t>
      </w:r>
    </w:p>
    <w:p>
      <w:pPr>
        <w:spacing w:after="0" w:line="2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2021, the Company received from a third party a notice of dispute with respect to whether commissions are due and owing on product sales to certain of the Company’s customers which, if successful, could require payments ranging from $4,000 to $11,000, plus costs and expenses, together with additional commission payments on future sales, if any, to such customers. The Company does not believe these commissions are owed, and intends to vigorously oppose this claim, which may include legal proceedings. The Company has not accrued any amount as a component of accrued expense related to the notice of dispute as of March 31, 2022</w:t>
      </w:r>
      <w:r>
        <w:rPr>
          <w:rFonts w:ascii="Arial" w:cs="Arial" w:eastAsia="Arial" w:hAnsi="Arial"/>
          <w:sz w:val="18"/>
          <w:szCs w:val="18"/>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56"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November 2015, the Company entered into a sales representation agreement with a third party, partially owned by an individual who is a Class B shareholder of Holdings and who was then a member of Holdings' Board of Managers. In 2016, the Company commenced litigation against such third party seeking a judicial determination that the sales representation agreement was void and unenforceable, among other claims. In February 2018, the trial court ruled against Holdings in the litigation, concluding that the sales representation agreement was valid and enforceable. Holdings appealed the ruling, however, the ruling was upheld. As a result of the ruling, Holdings was instructed to pay the commissions in accordance with the terms of the sales representation agreement, interest related to the commissions, and legal fees on behalf of the third party. Expenses relating to this agreement for the years ended March 31, 2022 and 2021 amounted to $2,802 and $2,811, respectively, and were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March 31, 2022 and December 31, 2021 related to this agreement amounted to $4,399 and $3,402, respectively. In March 2021, the Company received from such third party a notice of dispute with respect to whether commissions are due and owing on product sales to certain of the Company’s customers. See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2021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provides its clients newly innovative and highly differentiated financial payment products in order to support and increase their customer acquisition, customer retention and organic customer spend. The Company’s clients consist primarily of leading international and domestic banks and other payment card issuers primarily within the United States (“U.S.”), Europe, Asia, Latin America, Canada, and the Middle East. The Company is a world-class platform for next generation payment technology, security, and Cryptocurrency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have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 These same fundamental strengths have now enabled the Company to enter the digital asset revolution through the launch of its Arculus platform, which commenced in the third quarter of 2021 with the Arculus Key card and companion Arculus Wallet mobile application.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COVID-19 pandemic, during 2020 and continuing in 2021 and 2022, the Company established policies and protocols to address safety considerations. The Company is in frequent dialogue with key stakeholders to assess health and safety conditions across all of its facilities and to have robust procedures in place to protect the well-being of its employees, such as controls for building access, strict physical distancing measures and enhanced cleaning processes. The Company’s systems and infrastructure have continued to support its business operations. The Company has maintained regular and active communication across senior management, and has ongoing dialogues with its vendors to ensure they continue to meet the Company’s criteria for business continuity. While the Company has managed to avoid significant supply chain issues due to COVID-19, managing supply chain continues to be important in 2022.</w:t>
      </w:r>
    </w:p>
    <w:p>
      <w:pPr>
        <w:spacing w:after="0" w:line="208"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The resurgence in the spread of COVID-19 toward the end of 2020 and into 2022 has created greater uncertainty regarding the economic outlook for the near term, even as vaccines were distributed on a large scale in an effort to control the pandemic. While governments and central banks continued to be aggressive in providing fiscal and monetary stimulus, the global economic recovery remains fragile. The extent to which the COVID-19 pandemic will continue to affect the Company’s business, financial condition, liquidity and the Company’s operating results will depend on future developments, which are highly uncertain and cannot be predicted.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are used by makers of plastic payment and other cards). Net sales include the effect of discounts and allowances which consist primarily of volume-based rebates.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8"/>
          <w:szCs w:val="18"/>
          <w:color w:val="auto"/>
        </w:rPr>
        <w:t>The Company’s cost of sales includes the direct and indirect costs related to manufacturing products and providing related services. Product costs include the cost of raw materials and supplies, including various metals, EMV</w:t>
      </w:r>
      <w:r>
        <w:rPr>
          <w:rFonts w:ascii="Arial" w:cs="Arial" w:eastAsia="Arial" w:hAnsi="Arial"/>
          <w:sz w:val="23"/>
          <w:szCs w:val="23"/>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ind w:right="120"/>
        <w:spacing w:after="0" w:line="263" w:lineRule="auto"/>
        <w:rPr>
          <w:sz w:val="20"/>
          <w:szCs w:val="20"/>
          <w:color w:val="auto"/>
        </w:rPr>
      </w:pPr>
      <w:r>
        <w:rPr>
          <w:rFonts w:ascii="Arial" w:cs="Arial" w:eastAsia="Arial" w:hAnsi="Arial"/>
          <w:sz w:val="18"/>
          <w:szCs w:val="18"/>
          <w:color w:val="auto"/>
        </w:rPr>
        <w:t>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gross profit represents its net sales less cost of sales, and its gross margin represents gross profit as a percentage of its net sales.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spacing w:after="0" w:line="14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 expects its operating expenses to increase as a result of operating as a public company, including compliance with the rules and regulations of the SEC, legal, audit, additional insurance expenses, investor relations activities, and other administrative and professional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Income from operations consists of the Company’s gross profit less its operating expenses. Operating margin is income from the Company’s operations as a percentage of its net sales.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consists primarily of the Company’s interest expense net of 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consists of the Company’s income from operations, less other expenses and income tax provision or benefit.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Company’s Operating Results</w:t>
      </w:r>
    </w:p>
    <w:p>
      <w:pPr>
        <w:spacing w:after="0" w:line="16"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1" w:right="4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24"/>
        </w:trPr>
        <w:tc>
          <w:tcPr>
            <w:tcW w:w="7060" w:type="dxa"/>
            <w:vAlign w:val="bottom"/>
            <w:gridSpan w:val="6"/>
          </w:tcPr>
          <w:p>
            <w:pPr>
              <w:ind w:left="420"/>
              <w:spacing w:after="0"/>
              <w:rPr>
                <w:sz w:val="20"/>
                <w:szCs w:val="20"/>
                <w:color w:val="auto"/>
              </w:rPr>
            </w:pPr>
            <w:r>
              <w:rPr>
                <w:rFonts w:ascii="Arial" w:cs="Arial" w:eastAsia="Arial" w:hAnsi="Arial"/>
                <w:sz w:val="18"/>
                <w:szCs w:val="18"/>
                <w:color w:val="auto"/>
                <w:w w:val="92"/>
              </w:rPr>
              <w:t>The following table presents the Company’s results of operations for the periods indicated: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12"/>
          </w:tcPr>
          <w:p>
            <w:pPr>
              <w:jc w:val="right"/>
              <w:ind w:right="100"/>
              <w:spacing w:after="0"/>
              <w:rPr>
                <w:sz w:val="20"/>
                <w:szCs w:val="20"/>
                <w:color w:val="auto"/>
              </w:rPr>
            </w:pPr>
            <w:r>
              <w:rPr>
                <w:rFonts w:ascii="Arial" w:cs="Arial" w:eastAsia="Arial" w:hAnsi="Arial"/>
                <w:sz w:val="18"/>
                <w:szCs w:val="18"/>
                <w:b w:val="1"/>
                <w:bCs w:val="1"/>
                <w:color w:val="auto"/>
                <w:w w:val="91"/>
              </w:rPr>
              <w:t>Three Months Ended March 31,</w:t>
            </w:r>
          </w:p>
        </w:tc>
        <w:tc>
          <w:tcPr>
            <w:tcW w:w="140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 Change</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gridSpan w:val="10"/>
          </w:tcPr>
          <w:p>
            <w:pPr>
              <w:jc w:val="right"/>
              <w:ind w:right="780"/>
              <w:spacing w:after="0"/>
              <w:rPr>
                <w:sz w:val="20"/>
                <w:szCs w:val="20"/>
                <w:color w:val="auto"/>
              </w:rPr>
            </w:pPr>
            <w:r>
              <w:rPr>
                <w:rFonts w:ascii="Arial" w:cs="Arial" w:eastAsia="Arial" w:hAnsi="Arial"/>
                <w:sz w:val="18"/>
                <w:szCs w:val="18"/>
                <w:b w:val="1"/>
                <w:bCs w:val="1"/>
                <w:color w:val="auto"/>
                <w:w w:val="88"/>
              </w:rPr>
              <w:t>(in thousands)</w:t>
            </w:r>
          </w:p>
        </w:tc>
        <w:tc>
          <w:tcPr>
            <w:tcW w:w="140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84,183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63,722</w:t>
            </w: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20,461</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32%</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35,424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29,406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6,018</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4"/>
              </w:rPr>
              <w:t>20%</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48,759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34,316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14,443</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42%</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18,777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8,057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10,720</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1"/>
              </w:rPr>
              <w:t>133%</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29,982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26,259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3,723</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(3,037)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506</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5"/>
              </w:rPr>
              <w:t>(17)%</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27,451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23,222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4,229</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r>
      <w:tr>
        <w:trPr>
          <w:trHeight w:val="243"/>
        </w:trPr>
        <w:tc>
          <w:tcPr>
            <w:tcW w:w="498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(543)</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26,908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23,222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3,686</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16%</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w w:val="98"/>
              </w:rPr>
              <w:t>Net income attributable to redeemable non-controlling interests</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22,167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22,167</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CompoSecure, Inc</w:t>
            </w:r>
          </w:p>
        </w:tc>
        <w:tc>
          <w:tcPr>
            <w:tcW w:w="3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23,222</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(18,481)</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(80)%</w:t>
            </w:r>
          </w:p>
        </w:tc>
      </w:tr>
      <w:tr>
        <w:trPr>
          <w:trHeight w:val="20"/>
        </w:trPr>
        <w:tc>
          <w:tcPr>
            <w:tcW w:w="4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98"/>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9"/>
          </w:tcPr>
          <w:p>
            <w:pPr>
              <w:jc w:val="right"/>
              <w:ind w:right="53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15"/>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c>
          <w:tcPr>
            <w:tcW w:w="140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7"/>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2021</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w w:val="88"/>
              </w:rPr>
              <w:t>$ 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7"/>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7"/>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region</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62,381</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55,868</w:t>
            </w:r>
          </w:p>
        </w:tc>
        <w:tc>
          <w:tcPr>
            <w:tcW w:w="5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6,513</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13,948</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63"/>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84,183</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63,722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20,461</w:t>
            </w:r>
          </w:p>
        </w:tc>
        <w:tc>
          <w:tcPr>
            <w:tcW w:w="3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The Company’s net sales for the quarter ended March 31, 2022 increased $20.5 million, or 32%, to $84.2 million compared to $63.7 million for the quarter ended March 31, 2021. The increase in net sales was due to a 12% increase in domestic sales and a 178% increase in international sales. This was due to higher growing demand for its products throughout the quarter ended March 31, 2022 as we continue to emerge from the adverse impact from the COVID-19 pandemic compared to the quarter ended March 31, 2021. The increase in international sales was due to increased demand in the FinTech market segment.</w:t>
      </w:r>
    </w:p>
    <w:p>
      <w:pPr>
        <w:spacing w:after="0" w:line="80"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i w:val="1"/>
          <w:iCs w:val="1"/>
          <w:color w:val="auto"/>
        </w:rPr>
        <w:t>Domestic</w:t>
      </w:r>
      <w:r>
        <w:rPr>
          <w:rFonts w:ascii="Arial" w:cs="Arial" w:eastAsia="Arial" w:hAnsi="Arial"/>
          <w:sz w:val="16"/>
          <w:szCs w:val="16"/>
          <w:color w:val="auto"/>
        </w:rPr>
        <w:t>: The Company’s domestic net sales for the quarter ended March 31, 2022 increased $6.5 million, or 12%, to $62.4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$55.9 million for the quarter ended March 31, 2021. This was primarily due to continued higher demand for the Company's products that began primarily in the second half of the year ended December 31, 2021. This was primarily due to higher customer acquisition by the Company’s clients as they continue to emerge from the adverse impact from the COVID-19 pandemic compared to the quarter ended March 31, 2021.</w:t>
      </w:r>
    </w:p>
    <w:p>
      <w:pPr>
        <w:spacing w:after="0" w:line="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The Company’s international net sales for the quarter ended March 31, 2022 increased $13.9 million, or 178%, to $21.8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$7.9 million for the quarter ended March 31, 2021. This was primarily driven by our efforts to grow our international distributor channels and the increase in demand in the FinTech market segment.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3" w:name="page34"/>
    <w:bookmarkEnd w:id="33"/>
    <w:p>
      <w:pPr>
        <w:ind w:left="660"/>
        <w:spacing w:after="0"/>
        <w:rPr>
          <w:sz w:val="20"/>
          <w:szCs w:val="20"/>
          <w:color w:val="auto"/>
        </w:rPr>
      </w:pPr>
      <w:r>
        <w:rPr>
          <w:rFonts w:ascii="Arial" w:cs="Arial" w:eastAsia="Arial" w:hAnsi="Arial"/>
          <w:sz w:val="16"/>
          <w:szCs w:val="16"/>
          <w:color w:val="auto"/>
        </w:rPr>
        <w:t>In addition, the following table presents the Company’s net sales for the three months ended March 31, 2022 compared to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92"/>
              </w:rPr>
              <w:t>Three Months Ended</w:t>
            </w:r>
          </w:p>
        </w:tc>
        <w:tc>
          <w:tcPr>
            <w:tcW w:w="150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31, 2022</w:t>
            </w:r>
          </w:p>
        </w:tc>
        <w:tc>
          <w:tcPr>
            <w:tcW w:w="28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c>
          <w:tcPr>
            <w:tcW w:w="34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w w:val="98"/>
              </w:rPr>
              <w:t>$ Change</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88"/>
              </w:rPr>
              <w:t>(in thousands)</w:t>
            </w:r>
          </w:p>
        </w:tc>
        <w:tc>
          <w:tcPr>
            <w:tcW w:w="1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8,883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Company’s gross profit for the quarter ended March 31, 2022 increased $14.4 million, or 42%, to $48.8 million compared to $34.3 million for the quarter ended March 31, 2021. The gross profit margin percentage increased from 54% to 58% reflecting an improvement of approximately 4 points. The gross margin improvement in the quarter ended March 31, 2022 resulted primarily from favorable product mix and improvement in production yields which was primarily driven by improvements in manufacturing processes compared to the quarter ended March 31, 2021.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operating expenses for the quarter ended March 31, 2022 increased $10.7 million compared to the quarter ended March 31, 2021. This was due to increases in bonuses and commissions of $1.7 million, marketing and professional fee expenses of $4.7 million, increased insurance expense of $1.3 million, various sales related taxes of $0.6 million and an overall increase in utilities, supplies and various other costs of $2.4 million due to the growth in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During the quarter ended March 31, 2022, the Company had income from operations of $29.7 million compared to income of $26.3 million for the quarter ended March 31, 2021. Its operating margins for the quarter ended March 31, 2022 decreased to 36% compared to 41% for the quarter ended March 31, 2021. The decrease in operating margin percentage was primarily due to the noted increase in operating expenses.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Expenses (net)</w:t>
      </w:r>
    </w:p>
    <w:p>
      <w:pPr>
        <w:spacing w:after="0" w:line="22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Interest expense for the quarter ended March 31, 2022 increased $1.9 million, or 64%, to $5.0 million compared to $3.0 million for the quarter ended March 31, 2021. The additional interest expense resulted primarily from the issuance of convertible debt in December 2021 resulting in an increase in outstanding debt during the quarter ended March 31, 2022. Additionally, other expense increased due to the change in fair value of warrant liabilities of $1.4 million, and derivative liability of $0.2 million, partially offset by a favorable change in fair value of $4.1 million in earnout consideration liability. See Liquidity and Capital Resources below for more detail on the existing credit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income for the quarter ended March 31, 2022 was $26.9 million, compared to net income of $23.2 million for the quarter ended March 31, 2021. The increase was primarily driven by higher sales volume, a more profitable sales mix and favorable change in fair value of $4.1 million in earnout consideration liability, partially offset by increases in operating expenses as a result of the higher sales volume, change in fair value of warrant liabilities of $1.4 million and costs related to Arculus.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and Adjusted EBITDA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and Adjusted EBITDA should not be considered as measures of financial performance under U.S. GAAP, and the items excluded from EBITDA and Adjusted EBITDA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 The following unaudited table presents the reconciliation of net income to EBITDA and Adjusted EBITDA for the periods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50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7"/>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1120" w:type="dxa"/>
            <w:vAlign w:val="bottom"/>
          </w:tcPr>
          <w:p>
            <w:pPr>
              <w:spacing w:after="0"/>
              <w:rPr>
                <w:sz w:val="20"/>
                <w:szCs w:val="20"/>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26,908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23,222</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Add:</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EBITDA</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34,766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28,844</w:t>
            </w: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Mark to market adjustments, net (1)</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33,337</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Includes the changes in fair value of warrant liability, derivative liability and earnout consideration liability for the quarter ended March 31, 2022.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detailed in our Annual Report on Form 10-K for the year ended December 31, 2021 as filed with the SEC.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Reference is made to Note 2 of Notes to Financial Statements - unaudited in Item 1, “Financial Statements,” for information concerning recent accounting pronouncements since the filing of the Company’s Annual Report on Form 10-K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ind w:right="520" w:firstLine="648"/>
        <w:spacing w:after="0" w:line="308" w:lineRule="auto"/>
        <w:rPr>
          <w:sz w:val="20"/>
          <w:szCs w:val="20"/>
          <w:color w:val="auto"/>
        </w:rPr>
      </w:pPr>
      <w:r>
        <w:rPr>
          <w:rFonts w:ascii="Arial" w:cs="Arial" w:eastAsia="Arial" w:hAnsi="Arial"/>
          <w:sz w:val="17"/>
          <w:szCs w:val="17"/>
          <w:color w:val="auto"/>
        </w:rPr>
        <w:t>As of March 31, 2022, the Company had cash and cash equivalents of $15.5 million and debt principal outstanding of $402.0 million. As of December 31, 2021, the Company had cash and cash equivalents of $21.9 million and total debt principal outstanding of $395.0 million.</w:t>
      </w:r>
    </w:p>
    <w:p>
      <w:pPr>
        <w:spacing w:after="0" w:line="14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spacing w:after="0" w:line="19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At March 31, 2022, there was $402.0 million of total debt outstanding under the Company’s existing credit facilities which included the term loan (the “2021 Credit Facility”) and issuance of exchangeable notes. The 2021 Credit Facility comprised a term loan of $250.0 million as well as a $60.0 million revolving loan facility, of which $35.0 million was available for borrowing as of March 31, 2022. Additional amounts may be available for borrowing during the term of the revolving loan, up to the remaining full $35.0 million, as long as the Company’s maintains a net leverage ratio as stipulated in the credit facility agreement. As of March 31, 2022, the Company’s net leverage ratio met the requirement for the available borrowing as defined in the terms of the credit facility agreement. The 2021 Credit Facility will mature on December 16, 2025.</w:t>
      </w:r>
    </w:p>
    <w:p>
      <w:pPr>
        <w:spacing w:after="0" w:line="20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Interest rates for the 2021 Credit Facility are calculated as the fluctuating bank prime rate plus the applicable margin of 2.0% or, for portions of the debt converted to Euro Loans, the quoted LIBOR rate plus the applicable margin of 3.0%. The Company must also pay an annual commitment fee of</w:t>
      </w:r>
    </w:p>
    <w:p>
      <w:pPr>
        <w:ind w:right="340"/>
        <w:spacing w:after="0" w:line="260" w:lineRule="auto"/>
        <w:rPr>
          <w:sz w:val="20"/>
          <w:szCs w:val="20"/>
          <w:color w:val="auto"/>
        </w:rPr>
      </w:pPr>
      <w:r>
        <w:rPr>
          <w:rFonts w:ascii="Arial" w:cs="Arial" w:eastAsia="Arial" w:hAnsi="Arial"/>
          <w:sz w:val="18"/>
          <w:szCs w:val="18"/>
          <w:color w:val="auto"/>
        </w:rPr>
        <w:t>0.40% on the unused portion of the $60.0 million revolving loan commitment. As of March 31, 2022, the effective interest rate on the Company’s 2021 Credit Facility was 3.65%.</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17"/>
          <w:szCs w:val="17"/>
          <w:color w:val="auto"/>
        </w:rPr>
        <w:t>2021 Credit Facility contains customary covenants, including among other things, certain restrictions or limitations on indebtedness, issuance</w:t>
      </w:r>
      <w:r>
        <w:rPr>
          <w:rFonts w:ascii="Arial" w:cs="Arial" w:eastAsia="Arial" w:hAnsi="Arial"/>
          <w:sz w:val="20"/>
          <w:szCs w:val="20"/>
          <w:color w:val="auto"/>
        </w:rPr>
        <w:t xml:space="preserve"> </w:t>
      </w:r>
      <w:r>
        <w:rPr>
          <w:rFonts w:ascii="Arial" w:cs="Arial" w:eastAsia="Arial" w:hAnsi="Arial"/>
          <w:sz w:val="17"/>
          <w:szCs w:val="17"/>
          <w:color w:val="auto"/>
        </w:rPr>
        <w:t>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did not have a required excess cash flow payment related to 2021 Credit Facility, and the Company was in compliance with all covenants as of March 31, 2022. See Note 5 in Notes to Consolidated Financial Statements in this Form 10-Q.</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 million that are exchangeable into shares of Class A common stock at a conversion price of $11.50 per share, subject to the terms and conditions of an Indenture entered by the Company and its wholly owned subsidiary, Holdings and the trustee under the Indenture. The Exchangeable Notes will bear interest at a rate of 7% per year,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Net Cash Provided by Operations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Cash provided by the Company’s operating activities for the quarter ended March 31, 2022 was $11.9 million compared to cash provided by its operating activities of $6.1 million during the quarter ended March 31, 2021. The increase in cash provided by operating activities of $5.8 million was primarily attributable to an increase in net income of $3.7 million, depreciation and amortization expense of $2.3 million, equity compensation expense of $1.0 million, amortization of deferred financing costs of $0.6 million and deferred tax expense of $0.5 million. This was partially offset by changes in working capital of $17.1 million and mark to market fair value net changes of $2.4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Cash used in the Company’s investing activities for the quarter ended March 31, 2022 was $1.4 million, primarily relating to capital expenditures compared to cash used in investing activities for the quarter ended March 31, 2021 of $0.3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Cash used in the Company’s financing activities for the quarter ended March 31, 2022 was $16.9 million compared to cash used in the Company's financing activities for the quarter ended March 31, 2021 of $14.3 million. Cash used in financing activities for the quarter ended March 31, 2022, primarily related to payment of issuance costs related to the Business Combination of $23.8 million, and repayment of scheduled principal payments of term loan of $3.1 million, partially offset by cash drawn under the 2021 Credit Facility of $10.0 million. Cash used for the quarter ended March 31, 2021, primarily related to distributions to then equity holders and repayments of debt related to the Company’s prior Credit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summary of our minimum contractual obligations related to our material outstanding contractual commitments is included in Notes 2 and 7 of our Annual report on Form 10-K for the year ended December 31, 2021 as filed with the SEC. Our long-term contractual obligations include commitments and estimated purchase obligations entered into in the normal course of business. As of March 31, 2022, the Company had inventory-related purchase commitments totaling approximately $42.6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March 31, 2022, CompoSecure had $272.0 million in debt outstanding under the 2021 Credit Facility, all of which was variable rate debt and $130.0 million in long-term debt principal outstanding from the issuance of Exchangeable Notes.</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 performed a sensitivity analysis based on the principal amount of debt outstanding as of March 31, 2021,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$4.0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37" w:name="page38"/>
    <w:bookmarkEnd w:id="37"/>
    <w:p>
      <w:pPr>
        <w:ind w:right="320" w:firstLine="648"/>
        <w:spacing w:after="0" w:line="277" w:lineRule="auto"/>
        <w:rPr>
          <w:sz w:val="20"/>
          <w:szCs w:val="20"/>
          <w:color w:val="auto"/>
        </w:rPr>
      </w:pPr>
      <w:r>
        <w:rPr>
          <w:rFonts w:ascii="Arial" w:cs="Arial" w:eastAsia="Arial" w:hAnsi="Arial"/>
          <w:sz w:val="18"/>
          <w:szCs w:val="18"/>
          <w:color w:val="auto"/>
        </w:rPr>
        <w:t>On January 11, 2022, CompoSecure entered into an interest rate swap agreement to hedge forecasted interest rate payments on its variable rate debt. As of March 31, 2022, the Company had the following interest rate swap agreements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ind w:left="320"/>
              <w:spacing w:after="0"/>
              <w:rPr>
                <w:sz w:val="20"/>
                <w:szCs w:val="20"/>
                <w:color w:val="auto"/>
              </w:rPr>
            </w:pPr>
            <w:r>
              <w:rPr>
                <w:rFonts w:ascii="Arial" w:cs="Arial" w:eastAsia="Arial" w:hAnsi="Arial"/>
                <w:sz w:val="18"/>
                <w:szCs w:val="18"/>
                <w:b w:val="1"/>
                <w:bCs w:val="1"/>
                <w:color w:val="auto"/>
              </w:rPr>
              <w:t>Effective Dates</w:t>
            </w:r>
          </w:p>
        </w:tc>
        <w:tc>
          <w:tcPr>
            <w:tcW w:w="160" w:type="dxa"/>
            <w:vAlign w:val="bottom"/>
          </w:tcPr>
          <w:p>
            <w:pPr>
              <w:spacing w:after="0"/>
              <w:rPr>
                <w:sz w:val="20"/>
                <w:szCs w:val="20"/>
                <w:color w:val="auto"/>
              </w:rPr>
            </w:pPr>
          </w:p>
        </w:tc>
        <w:tc>
          <w:tcPr>
            <w:tcW w:w="1940" w:type="dxa"/>
            <w:vAlign w:val="bottom"/>
          </w:tcPr>
          <w:p>
            <w:pPr>
              <w:jc w:val="right"/>
              <w:ind w:right="450"/>
              <w:spacing w:after="0"/>
              <w:rPr>
                <w:sz w:val="20"/>
                <w:szCs w:val="20"/>
                <w:color w:val="auto"/>
              </w:rPr>
            </w:pPr>
            <w:r>
              <w:rPr>
                <w:rFonts w:ascii="Arial" w:cs="Arial" w:eastAsia="Arial" w:hAnsi="Arial"/>
                <w:sz w:val="18"/>
                <w:szCs w:val="18"/>
                <w:b w:val="1"/>
                <w:bCs w:val="1"/>
                <w:color w:val="auto"/>
                <w:w w:val="95"/>
              </w:rPr>
              <w:t>Notional Amount</w:t>
            </w:r>
          </w:p>
        </w:tc>
        <w:tc>
          <w:tcPr>
            <w:tcW w:w="1740" w:type="dxa"/>
            <w:vAlign w:val="bottom"/>
          </w:tcPr>
          <w:p>
            <w:pPr>
              <w:jc w:val="right"/>
              <w:ind w:right="470"/>
              <w:spacing w:after="0"/>
              <w:rPr>
                <w:sz w:val="20"/>
                <w:szCs w:val="20"/>
                <w:color w:val="auto"/>
              </w:rPr>
            </w:pPr>
            <w:r>
              <w:rPr>
                <w:rFonts w:ascii="Arial" w:cs="Arial" w:eastAsia="Arial" w:hAnsi="Arial"/>
                <w:sz w:val="18"/>
                <w:szCs w:val="18"/>
                <w:b w:val="1"/>
                <w:bCs w:val="1"/>
                <w:color w:val="auto"/>
              </w:rPr>
              <w:t>Fixed Rate</w:t>
            </w:r>
          </w:p>
        </w:tc>
      </w:tr>
      <w:tr>
        <w:trPr>
          <w:trHeight w:val="27"/>
        </w:trPr>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2"/>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jc w:val="right"/>
              <w:ind w:right="1250"/>
              <w:spacing w:after="0"/>
              <w:rPr>
                <w:sz w:val="20"/>
                <w:szCs w:val="20"/>
                <w:color w:val="auto"/>
              </w:rPr>
            </w:pPr>
            <w:r>
              <w:rPr>
                <w:rFonts w:ascii="Arial" w:cs="Arial" w:eastAsia="Arial" w:hAnsi="Arial"/>
                <w:sz w:val="18"/>
                <w:szCs w:val="18"/>
                <w:color w:val="auto"/>
              </w:rPr>
              <w:t>($ in thousands)</w:t>
            </w:r>
          </w:p>
        </w:tc>
      </w:tr>
      <w:tr>
        <w:trPr>
          <w:trHeight w:val="27"/>
        </w:trPr>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rPr>
              <w:t>January 5,</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2022 through December 5,</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125,000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780" w:type="dxa"/>
            <w:vAlign w:val="bottom"/>
          </w:tcPr>
          <w:p>
            <w:pPr>
              <w:ind w:left="20"/>
              <w:spacing w:after="0"/>
              <w:rPr>
                <w:sz w:val="20"/>
                <w:szCs w:val="20"/>
                <w:color w:val="auto"/>
              </w:rPr>
            </w:pPr>
            <w:r>
              <w:rPr>
                <w:rFonts w:ascii="Arial" w:cs="Arial" w:eastAsia="Arial" w:hAnsi="Arial"/>
                <w:sz w:val="18"/>
                <w:szCs w:val="18"/>
                <w:color w:val="auto"/>
                <w:w w:val="89"/>
              </w:rPr>
              <w:t>December</w:t>
            </w:r>
          </w:p>
        </w:tc>
        <w:tc>
          <w:tcPr>
            <w:tcW w:w="1980" w:type="dxa"/>
            <w:vAlign w:val="bottom"/>
          </w:tcPr>
          <w:p>
            <w:pPr>
              <w:ind w:left="40"/>
              <w:spacing w:after="0"/>
              <w:rPr>
                <w:sz w:val="20"/>
                <w:szCs w:val="20"/>
                <w:color w:val="auto"/>
              </w:rPr>
            </w:pPr>
            <w:r>
              <w:rPr>
                <w:rFonts w:ascii="Arial" w:cs="Arial" w:eastAsia="Arial" w:hAnsi="Arial"/>
                <w:sz w:val="18"/>
                <w:szCs w:val="18"/>
                <w:color w:val="auto"/>
                <w:w w:val="89"/>
              </w:rPr>
              <w:t>5, 2023 through December</w:t>
            </w:r>
          </w:p>
        </w:tc>
        <w:tc>
          <w:tcPr>
            <w:tcW w:w="4640" w:type="dxa"/>
            <w:vAlign w:val="bottom"/>
          </w:tcPr>
          <w:p>
            <w:pPr>
              <w:ind w:left="20"/>
              <w:spacing w:after="0"/>
              <w:rPr>
                <w:sz w:val="20"/>
                <w:szCs w:val="20"/>
                <w:color w:val="auto"/>
              </w:rPr>
            </w:pPr>
            <w:r>
              <w:rPr>
                <w:rFonts w:ascii="Arial" w:cs="Arial" w:eastAsia="Arial" w:hAnsi="Arial"/>
                <w:sz w:val="18"/>
                <w:szCs w:val="18"/>
                <w:color w:val="auto"/>
              </w:rPr>
              <w:t>22, 2025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290"/>
              <w:spacing w:after="0"/>
              <w:rPr>
                <w:sz w:val="20"/>
                <w:szCs w:val="20"/>
                <w:color w:val="auto"/>
              </w:rPr>
            </w:pPr>
            <w:r>
              <w:rPr>
                <w:rFonts w:ascii="Arial" w:cs="Arial" w:eastAsia="Arial" w:hAnsi="Arial"/>
                <w:sz w:val="18"/>
                <w:szCs w:val="18"/>
                <w:color w:val="auto"/>
              </w:rPr>
              <w:t>125,000</w:t>
            </w:r>
          </w:p>
        </w:tc>
        <w:tc>
          <w:tcPr>
            <w:tcW w:w="1740" w:type="dxa"/>
            <w:vAlign w:val="bottom"/>
          </w:tcPr>
          <w:p>
            <w:pPr>
              <w:jc w:val="right"/>
              <w:spacing w:after="0"/>
              <w:rPr>
                <w:sz w:val="20"/>
                <w:szCs w:val="20"/>
                <w:color w:val="auto"/>
              </w:rPr>
            </w:pPr>
            <w:r>
              <w:rPr>
                <w:rFonts w:ascii="Arial" w:cs="Arial" w:eastAsia="Arial" w:hAnsi="Arial"/>
                <w:sz w:val="18"/>
                <w:szCs w:val="18"/>
                <w:color w:val="auto"/>
              </w:rPr>
              <w:t>1.90 %</w:t>
            </w:r>
          </w:p>
        </w:tc>
      </w:tr>
    </w:tbl>
    <w:p>
      <w:pPr>
        <w:spacing w:after="0" w:line="32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Under the terms of the interest rate swap agreement, CompoSecure receives payments based on the greater of 1-month LIBOR rate or a minimum of 1.00%.</w:t>
      </w:r>
    </w:p>
    <w:p>
      <w:pPr>
        <w:spacing w:after="0" w:line="170"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color w:val="auto"/>
        </w:rPr>
        <w:t>The Company has designated the interest rate swap as a cash flow hedge for accounting purposes that was determined to be effective. The Company determined the fair value of the interest rate swap to be zero at the inception of the agreement and $4,036 at March 31, 2022.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560"/>
        <w:spacing w:after="0" w:line="301" w:lineRule="auto"/>
        <w:rPr>
          <w:sz w:val="20"/>
          <w:szCs w:val="20"/>
          <w:color w:val="auto"/>
        </w:rPr>
      </w:pPr>
      <w:r>
        <w:rPr>
          <w:rFonts w:ascii="Arial" w:cs="Arial" w:eastAsia="Arial" w:hAnsi="Arial"/>
          <w:sz w:val="16"/>
          <w:szCs w:val="16"/>
          <w:color w:val="auto"/>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Under the supervision of and with the participation of our management, including our principal executive officer and principal financial officer, we conducted an evaluation of our disclosure controls and procedures as of March 31, 2022. Based on this evaluation, our principal executive officer and our principal financial officer concluded that our disclosure controls and procedures as of March 31, 2022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 control system, no matter how well designed and operated, cannot provide absolute assurance that the objectives of the control system are met, and no</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May 5, 2022, the Company was not a party to, nor were any of its properties the subject of, any material pending legal proceedings, other than ordinary routine claims incidental to the business. In February 2021, the Company received from a former independent sales representative a notice of dispute with respect to whether commissions are due and owing on product sales to certain of the Company’s customers which, if successful, could require payments ranging from $4.0 million to $11.0 million plus costs and expenses, together with additional commission payments on future sales, if any, to such customers. The Company does not believe these commissions are owed, and the parties have initiated a binding arbitration proceeding. It is possible that the Company may, in the future, be subject to other legal proceedings, lawsuits and other claims in the ordinary course of operating its business, which could have a material adverse effect on the Company’s business, operations, financial condition or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Related to our Business</w:t>
      </w:r>
    </w:p>
    <w:p>
      <w:pPr>
        <w:spacing w:after="0" w:line="23" w:lineRule="exact"/>
        <w:rPr>
          <w:rFonts w:ascii="Arial" w:cs="Arial" w:eastAsia="Arial" w:hAnsi="Arial"/>
          <w:sz w:val="18"/>
          <w:szCs w:val="18"/>
          <w:color w:val="auto"/>
        </w:rPr>
      </w:pPr>
    </w:p>
    <w:p>
      <w:pPr>
        <w:ind w:left="1300" w:right="120" w:hanging="320"/>
        <w:spacing w:after="0" w:line="250"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may not be able to sustain our sales growth rate in the future.</w:t>
      </w:r>
    </w:p>
    <w:p>
      <w:pPr>
        <w:spacing w:after="0" w:line="9" w:lineRule="exact"/>
        <w:rPr>
          <w:rFonts w:ascii="Arial" w:cs="Arial" w:eastAsia="Arial" w:hAnsi="Arial"/>
          <w:sz w:val="18"/>
          <w:szCs w:val="18"/>
          <w:color w:val="auto"/>
        </w:rPr>
      </w:pPr>
    </w:p>
    <w:p>
      <w:pPr>
        <w:ind w:left="1300" w:right="340" w:hanging="320"/>
        <w:spacing w:after="0" w:line="250"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Failure to retain existing customers or identify and attract new customers could adversely affect our business, financial condition and results of operations.</w:t>
      </w:r>
    </w:p>
    <w:p>
      <w:pPr>
        <w:ind w:left="1300" w:right="280" w:hanging="320"/>
        <w:spacing w:after="0" w:line="265" w:lineRule="auto"/>
        <w:tabs>
          <w:tab w:leader="none" w:pos="12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System outages, data loss or other interruptions affecting our operations could adversely affect our business and reputation.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Disruptions at our primary production facility may adversely affect our business, results of operations and/or financial condition.</w:t>
      </w:r>
    </w:p>
    <w:p>
      <w:pPr>
        <w:spacing w:after="0" w:line="20" w:lineRule="exact"/>
        <w:rPr>
          <w:rFonts w:ascii="Arial" w:cs="Arial" w:eastAsia="Arial" w:hAnsi="Arial"/>
          <w:sz w:val="17"/>
          <w:szCs w:val="17"/>
          <w:color w:val="auto"/>
        </w:rPr>
      </w:pPr>
    </w:p>
    <w:p>
      <w:pPr>
        <w:ind w:left="1300" w:right="220" w:hanging="320"/>
        <w:spacing w:after="0" w:line="250"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may not be able to recruit, retain and develop qualified personnel, including for areas of newer specialized technology which could adversely affect our ability to grow our business.</w:t>
      </w:r>
    </w:p>
    <w:p>
      <w:pPr>
        <w:ind w:left="1300" w:right="60" w:hanging="320"/>
        <w:spacing w:after="0" w:line="250"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disruption in our operations or supply chain could adversely affect our business and financial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We have limited experience in the Cryptocurrency industry and may not succeed in fully commercializing the Arculus Platform.</w:t>
      </w:r>
    </w:p>
    <w:p>
      <w:pPr>
        <w:spacing w:after="0" w:line="20" w:lineRule="exact"/>
        <w:rPr>
          <w:rFonts w:ascii="Arial" w:cs="Arial" w:eastAsia="Arial" w:hAnsi="Arial"/>
          <w:sz w:val="17"/>
          <w:szCs w:val="17"/>
          <w:color w:val="auto"/>
        </w:rPr>
      </w:pPr>
    </w:p>
    <w:p>
      <w:pPr>
        <w:jc w:val="both"/>
        <w:ind w:left="1300" w:hanging="320"/>
        <w:spacing w:after="0" w:line="250"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Regulatory changes or actions may restrict the use of the Arculus Wallet or Digital Assets in a manner that adversely affects our business, prospects or operations.</w:t>
      </w:r>
    </w:p>
    <w:p>
      <w:pPr>
        <w:ind w:left="1300" w:right="40" w:hanging="320"/>
        <w:spacing w:after="0" w:line="250"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rely on third-party partners to provide certain features of the Arculus Wallet, and any interruptions in services provided by these third parties may impair our ability to support our customers.</w:t>
      </w: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Production quality and manufacturing process disruptions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9" w:name="page40"/>
    <w:bookmarkEnd w:id="39"/>
    <w:p>
      <w:pPr>
        <w:ind w:left="1300" w:right="460" w:hanging="320"/>
        <w:spacing w:after="0" w:line="258" w:lineRule="auto"/>
        <w:tabs>
          <w:tab w:leader="none" w:pos="12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are dependent on certain distribution partners for distribution of our products and services. A loss of distribution partners could adversely affect our business.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face competition that may result in a loss of our market share and/or a decline in profitability.</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3" w:lineRule="exact"/>
        <w:rPr>
          <w:sz w:val="20"/>
          <w:szCs w:val="20"/>
          <w:color w:val="auto"/>
        </w:rPr>
      </w:pPr>
    </w:p>
    <w:p>
      <w:pPr>
        <w:ind w:left="1300" w:right="620" w:hanging="320"/>
        <w:spacing w:after="0" w:line="250"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substantial amount of indebtedness, which may limit our operating flexibility and could adversely affect our business, financial condition and results of operations.</w:t>
      </w:r>
    </w:p>
    <w:p>
      <w:pPr>
        <w:ind w:left="1300" w:right="260" w:hanging="320"/>
        <w:spacing w:after="0" w:line="250"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occurrence of an event of default relating to Holdings’ credit facility, the lenders could elect to accelerate payments due and terminate all commitments to extend further credit.</w:t>
      </w:r>
    </w:p>
    <w:p>
      <w:pPr>
        <w:jc w:val="both"/>
        <w:ind w:left="1300" w:right="40" w:hanging="320"/>
        <w:spacing w:after="0" w:line="250"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debt outstanding under Holdings’ existing credit facility has a variable rate of interest that is based on the London Interbank Offered Rate (“LIBOR”) which may have consequences for Holdings that cannot be reasonably predicted and may increase its cost of borrowing in the future.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the ownership of our Securities</w:t>
      </w:r>
    </w:p>
    <w:p>
      <w:pPr>
        <w:spacing w:after="0" w:line="9" w:lineRule="exact"/>
        <w:rPr>
          <w:rFonts w:ascii="Arial" w:cs="Arial" w:eastAsia="Arial" w:hAnsi="Arial"/>
          <w:sz w:val="18"/>
          <w:szCs w:val="18"/>
          <w:color w:val="auto"/>
        </w:rPr>
      </w:pPr>
    </w:p>
    <w:p>
      <w:pPr>
        <w:ind w:left="1300" w:right="320" w:hanging="320"/>
        <w:spacing w:after="0" w:line="281" w:lineRule="auto"/>
        <w:tabs>
          <w:tab w:leader="none" w:pos="1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only significant asset is our ownership of Holdings. If Holdings’ business is not profitably operated, we may be unable to pay us dividends or make distributions to enable us to pay any dividends on our common stock or satisfy our other financial obligations.</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in our charter and Delaware law may inhibit a takeover of us, which could limit the price investors might be willing to pay in the future for our common stock and could entrench management.</w:t>
      </w:r>
    </w:p>
    <w:p>
      <w:pPr>
        <w:ind w:left="1300" w:right="640" w:hanging="320"/>
        <w:spacing w:after="0" w:line="250"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an “emerging growth company,” we cannot be certain if the reduced disclosure requirements applicable to “emerging growth companies” will make our common stock less attractive to investors.</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performance does not meet market expectations, the price of our securities may decline.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Warrants may never be in the money, and they may expire worthless.Investing in our securities involves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12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affected the macroeconomic environment, significantly increased economic uncertainty and reduced economic activity. The pandemic has also led to governmental authorities implementing numerous measures to try to contain the virus, including travel bans and restrictions, quarantines, shelter-in-place orders, and business limitations and shutdowns. These measures and the COVID-19 pandemic have caused economic and financial disruptions that have negatively impacted, and may continue to negatively impact, our business, results of operations and financial condition. The extent to which the pandemic will continue to negatively impact our business and results of operations will depend on numerous evolving factors and future developments that we are not able to predict, including the duration and severity of the pandemic; the nature, extent and effectiveness of containment measures; the extent and duration of the effect on our customers and suppliers, the economy, unemployment, consumer confidence and consumer and business spending; and how quickly and to what extent normal economic and operating conditions resume.</w:t>
      </w:r>
    </w:p>
    <w:p>
      <w:pPr>
        <w:spacing w:after="0" w:line="20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pandemic and containment measures have caused us to modify its operations, and we may take further actions that we determine to be in the best interests of its employees, customers and business partners. If we do not respond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color w:val="auto"/>
        </w:rPr>
        <w:t>appropriately to the pandemic, or if customers or other stakeholders do not perceive our response to be adequate, we could suffer damage to our reputation and brand, which could materially adversely affect our business.</w:t>
      </w:r>
    </w:p>
    <w:p>
      <w:pPr>
        <w:spacing w:after="0" w:line="19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If the COVID-19 pandemic is prolonged, it could amplify the negative impacts on our business and results of operations, and may also heighten many of the other risks described in this “Risk Factors” section. It is also possible that any adverse effects of the pandemic and containment measures may continue once the pandemic is controlled and the containment measures are lifted. We do not yet know, nor can we predict, the full extent of how COVID-19 and the containment measures will affect our business, results of operations and financial condition, or the global economy as a whole. However, the continuing effects could have a material adverse impact on our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sales growth rate in the future.</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net revenue increased by 3% from $260.6 million in 2020 to $267.9 million in 2021, but, as an example, declined by 21% from $80.4 million during the first quarter of 2020 compared to $63.7 million during the first quarter of 2021. Accordingly, we may not continue to achieve sales growth in the future and you should not consider our sales growth in the quarter ended March 31, 2022 as indicative of its future performance. Our growth rate may slow in future periods due to a number of factors, which may include slowing demand for its products, increased competition, decreasing growth of its overall market, or its inability to engage and retain customers. If we are unable to maintain consistent sales or continue its sales growth, it may be difficult for us to maintain profitability.</w:t>
      </w:r>
    </w:p>
    <w:p>
      <w:pPr>
        <w:spacing w:after="0" w:line="2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to retain existing customers or identify and attract new customers could adversely affect our business, financial condition and results of operations.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two largest customers are American Express and JPMorgan Chase. Together, these customers represented approximately 72% of our net revenue for the years ended December 31, 2021 and 2020.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ability to maintain relationships with our customers may be impacted by several factors beyond our control, including more attractive product offerings from our competitors,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r>
        <w:rPr>
          <w:rFonts w:ascii="Arial" w:cs="Arial" w:eastAsia="Arial" w:hAnsi="Arial"/>
          <w:sz w:val="18"/>
          <w:szCs w:val="18"/>
          <w:b w:val="1"/>
          <w:bCs w:val="1"/>
          <w:color w:val="auto"/>
        </w:rPr>
        <w:t>.</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20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Additionally, it is possible that unauthorized access to sensitive customer and business data may be obtained through inadequate use of security controls by our customers, suppliers or other vendors. For example, SolarWinds, an information technology company, was recently the subject of a cyberattack that created security vulnerabilities for thousands of its clients. While we are not currently aware of any impact that the SolarWinds supply chain attack had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ind w:right="60"/>
        <w:spacing w:after="0" w:line="277" w:lineRule="auto"/>
        <w:rPr>
          <w:sz w:val="20"/>
          <w:szCs w:val="20"/>
          <w:color w:val="auto"/>
        </w:rPr>
      </w:pPr>
      <w:r>
        <w:rPr>
          <w:rFonts w:ascii="Arial" w:cs="Arial" w:eastAsia="Arial" w:hAnsi="Arial"/>
          <w:sz w:val="18"/>
          <w:szCs w:val="18"/>
          <w:color w:val="auto"/>
        </w:rPr>
        <w:t>business, we may be subject to the risk of similar cyberattacks on our customers, suppliers and other vendors in the future and there is residual risk that we may experience a security breach arising from the SolarWinds supply chain attack.</w:t>
      </w:r>
    </w:p>
    <w:p>
      <w:pPr>
        <w:spacing w:after="0" w:line="19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outages, data loss or other interruptions affecting our operations could adversely affect our business and reputation.</w:t>
      </w:r>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at our primary production facility may adversely affect our business, results of operations and/or financial condition.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sales.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interruptions or disruptions could adversely impact our business, financial condition and results of operations.</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example, government-imposed measures in response to the COVID-19 pandemic led us to temporarily limit operations at some of our facilities. As a result, our credit card production rate was negatively affected. The continuation of the COVID-19 pandemic and the containment measures instituted as a result thereof could amplify the negative impact on our credit card production and, as a result, have a material adverse effect on our business, financial condition and results of operations.</w:t>
      </w:r>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42" w:name="page43"/>
    <w:bookmarkEnd w:id="42"/>
    <w:p>
      <w:pPr>
        <w:ind w:right="60" w:firstLine="648"/>
        <w:spacing w:after="0" w:line="291" w:lineRule="auto"/>
        <w:rPr>
          <w:sz w:val="20"/>
          <w:szCs w:val="20"/>
          <w:color w:val="auto"/>
        </w:rPr>
      </w:pPr>
      <w:r>
        <w:rPr>
          <w:rFonts w:ascii="Arial" w:cs="Arial" w:eastAsia="Arial" w:hAnsi="Arial"/>
          <w:sz w:val="16"/>
          <w:szCs w:val="16"/>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In order to achieve successful technical execution of new products, we may need to undertake time-consuming and expensive research and development activities, which could negatively impact the servicing of our existing customers. We may also experience difficult market conditions that could delay or prevent the successful research and development, marketing launches and consumer deployment of such newly designed products, whereby we could incur significant additional cost and expense. In addition, competitors may develop and commercialize competing products faster and more efficiently than we are able to do so, which could further negatively impact our business.</w:t>
      </w:r>
    </w:p>
    <w:p>
      <w:pPr>
        <w:spacing w:after="0" w:line="19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19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disruption in our operations or supply chain could adversely affect our business and financial results.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for our products are metals, and EMV chips, which we source from several key suppliers. We obtain our components from multiple suppliers located in the United States and abroad, on a purchase order basis. Changes in the financial or business condition of our suppliers could subject us to losses or adversely affect our ability to bring products to market. Additionally, the failure of our suppliers to comply with applicable standards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205"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The COVID-19 pandemic and related government measures in response to the pandemic negatively affected our suppliers, which in turn negatively affected our production and business. In addition, there is an increased demand for microchips worldwide in various industries and manufacturers of chips are experiencing shortages in supply, which could adversely effect our ability to obtain sufficient chips for our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have limited experience in the Cryptocurrency industry and we may not succeed in commercializing the Arculus Platform.</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With our business operations historically focused on the Payment Card industry, we are a new entrant into the Cryptocurrency industry. The Arculus Platform was commercially launched in the third quarter of 2021. It is possible that consumers of Digital Asset storage products may not be willing to purchase or use the Arculus products, and we may not be able to establish partnerships with our existing and/or new customers to drive partner-branded versions of the Arculus Key card or other Arculus Ecosystem products or services. If we are unable to successfully establish sufficient consumer sales, commercial partnerships and/or business-to- business sales channels, that would likely have a material adverse effect on our business, financial condition and results of operations. Furthermore, a significant portion of our future growth is expected to come from our Arculus Platform business. If the Arculus Platform fails to gain market acceptance, or the Arculus Platform otherwise fails to be as successful as we expect, our ability to achieve its currently-forecasted performance will be significantly impaired.</w:t>
      </w:r>
    </w:p>
    <w:p>
      <w:pPr>
        <w:spacing w:after="0" w:line="20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we must rely on vendors and development partners for certain components of our Arculus Cold Storage Wallet products, and must source and procure NFC-enabled chips to be embedded in our Arculus Key cards, as well as other materials used in the manufacture of the Arculus Key card. The performance of our vendors and development partners, and the availability of NFC-enabled chips and other materials, is essential to the success of the Arculus Wallet and Arculus Key card. There is currently a global shortage of chips due to increased demand and interruptions of production, both resulting from the COVID-19 pandemic. If our vendors and development partners do not perform as expected, or if we are not able to source and procure sufficient quantities of NFC-enabled chips and other materials, the success of our Arculus Cold Storage Wallet and Arculus Key card could be negatively impacted, which could have a material adverse effect on our business, financial condition and results of operations. In addition, changes or delays in supply or pricing of NFC-enabled chips, or other necessary materials, could materially negatively impact the potential margins and profitability of our Arculus business.</w:t>
      </w:r>
    </w:p>
    <w:p>
      <w:pPr>
        <w:spacing w:after="0" w:line="22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Digital Asset Wallet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Blockchain-related products and services, in particular Digital Assets (including Cryptocurrencies), have the potential to be used for financial crimes or other illegal activities. Because the Blockchain platform that we are developing is novel, there are uncertainties regarding any legal and regulatory requirements for preventing Blockchain-related products and services from being put to such unlawful uses, and there are uncertainties regarding the liabilities and risks to us if we are unable to prevent such unlawful uses. Even if we comply with all laws and regulations regarding financial and Blockchain-related products and services,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Platform, including the Arculus Key card or the Arculus Wallet product could damage our reputation and such damage could be material and adverse, including to aspects of our business that are unrelated to the Arculus Platform. More generally, any negative publicity regarding unlawful uses of Blockchain technology or Digital Assets in the marketplace could materially reduce the demand for our products and services, including the Arculus Platform.</w:t>
      </w:r>
    </w:p>
    <w:p>
      <w:pPr>
        <w:spacing w:after="0" w:line="2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initial Arculus Cold Storage Wallet product is comprised of a Cold Storage device and a mobile Wallet App. A Cold Storage Wallet uses an architecture where the Private Keys needed to access Digital Assets, such as Cryptocurrencies, are stored outside of the Internet. In the Arculus Platform, the Arculus Cold Storage Wallet comprises the Arculus Key card, which stores the Private Keys on a secure NFC-enabled chip embedded in the card, and the Arculus Wallet App configured to communicate via NFC with the Arculus Key card. A user may choose to store his or her Digital Assets in a Cold Storage Wallet if such user has no immediate plan to use those Digital Assets because a Cold Storage Wallet potentially may be safer than a Hot Storage Wallet because the Hot Storage Wallet being consistently connected to the Internet makes it potentially more vulnerable to hacking. Through the use of Cold Storage Wallet technology, the Arculus Platform, with our three-factor authentication technology, may be able to increase the safety of users’ assets during storage, as compared to storing such Digital Assets in a Hot Storage Wallet. Further, Digital Assets are controllable only by the possessor of both the unique public and Private Keys relating to the local or online digital Wallet in which they are held, which Wallet’s public key or address is reflected in the network’s public Blockchain. Notwithstanding the increased security of the Cold Storage Wallet system as compared to a Hot Storage Wallet system, any loss of Private Keys, or hack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4" w:name="page45"/>
    <w:bookmarkEnd w:id="44"/>
    <w:p>
      <w:pPr>
        <w:ind w:right="380"/>
        <w:spacing w:after="0" w:line="277" w:lineRule="auto"/>
        <w:rPr>
          <w:sz w:val="20"/>
          <w:szCs w:val="20"/>
          <w:color w:val="auto"/>
        </w:rPr>
      </w:pPr>
      <w:r>
        <w:rPr>
          <w:rFonts w:ascii="Arial" w:cs="Arial" w:eastAsia="Arial" w:hAnsi="Arial"/>
          <w:sz w:val="18"/>
          <w:szCs w:val="18"/>
          <w:color w:val="auto"/>
        </w:rPr>
        <w:t>or other compromise of, the Cold Storage Wallets could materially and adversely affect our customers’ ability to access or sell their Digital Assets and could cause significant reputational harm to us and, our Arculus Platform.</w:t>
      </w:r>
    </w:p>
    <w:p>
      <w:pPr>
        <w:spacing w:after="0" w:line="19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Arculus Cold Storage Wallet employs security measures common to Blockchain technologies, and specifically includes an advanced three-factor authentication, including biometric, PIN, and key card authentication, as well as passcode storage that is separate from the private keys located on the Arculus Key card. The effectiveness of these security measures for users of the Arculus Cold Storage Wallet have not yet been determined. There is no guarantee that these security measures or any that we may develop in the future will be effective. Any failure of these security features may result in the loss of customers’ Digital Assets and cause reputational harm, which may be material to us, the occurrence of any of the foregoing could have a material adverse effect on our business, financial condition and results of operations.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Regulatory changes or actions may restrict the use of the Arculus Wallet or Digital Assets in a manner that adversely affects our business, prospects or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Uncertainty Surrounding the Digital Asset Environment, including Cryptocurrencies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Digital Assets, including cryptocurrencies, have grown in both popularity and market size, governments around the world have reacted differently to Digital Assets, with certain governments deeming them illegal and others allowing their use and trade under certain circumstances. In addition, governments or regulatory authorities may impose new or additional licensing, registration or other compliance requirements on participants in the Digital Asset industry. Ongoing and future regulatory actions may impact our ability of to develop and offer products involving the use of Digital Assets, including the Arculus Wallet, or may impose additional costs, which may be material, on us in connection with such products, and such impact may be material and adverse. For example, the Commodities Futures Trading Commission (“CFTC”) has designated bitcoin, a form of Digital Asset that frequently is referred to as a Cryptocurrency, as a commodity, and as such, trades in bitcoin are subject to the CFTC’s antifraud authority.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Risks Resulting from Potential Designation of Certain Digital Assets as Securities</w:t>
      </w:r>
    </w:p>
    <w:p>
      <w:pPr>
        <w:spacing w:after="0" w:line="25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Moreover, the Securities and Exchange Commission (“SEC”) staff has stated that bitcoin is not a security, but has asserted that certain other Digital Assets, such as XRP, are securities subject to the SEC’s substantive and antifraud authority. Further, derivatives on these Digital Assets, tokens that represent certain derivatives, and certain leveraged transactions on Digital Assets, may be subject to substantive regulation by the CFTC and/or SEC. In sum, these federal regulators, and various U.S. state and non-U.S. regulators, are still developing their frameworks for regulating Digital Assets.</w:t>
      </w:r>
    </w:p>
    <w:p>
      <w:pPr>
        <w:spacing w:after="0" w:line="1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is currently no uniformly applicable legal or regulatory regime governing Digital Assets in certain jurisdictions, including in the U.S. A particular Digital Asset’s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assess our tax treatment, we may be subject to regulatory scrutiny, investigations, fines, and other penalties, which may adversely affect our business, operating results, and financial condition. Some jurisdictions have taken a broad-based approach to classifying Digital Assets as “securities,” while other foreign jurisdictions have adopted a narrower approach. As a result, certain Digital Assets may be deemed to be a “security” under the laws of some jurisdictions but not others. In the future, jurisdictions may adopt additional heterogeneous laws, regulations, or directives that affect the characterization of Digital Assets as “securities.”</w:t>
      </w:r>
    </w:p>
    <w:p>
      <w:pPr>
        <w:spacing w:after="0" w:line="21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determine whether a particular Cryptocurrency or other Digital Asset is a security prior to supporting purchase and swap transactions on the Arculus Platform in such Cryptocurrency or other Digital Asset, we rely upon legal and regulatory analysis of legal counsel with expertise in the Digital Asset industry. This legal and regulatory analysis is informed not only by existing U.S. federal securities law, including case law, but also takes into account relevant U.S. federal and state enforcement actions, guidance and commentary of relevant U.S. regulators and staff thereof — including speeches and published securities law frameworks, other published analyses and ratings by market participants, securities litigation, those digital assets listed by what we believe to be respected Digital Asset trading platforms, published news and other data and materials that may from time to time become available to us. Accordingly, our determinations concerning which Cryptocurrencies and other Digital Assets are likely to be securities is updated regularly, in light of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5" w:name="page46"/>
    <w:bookmarkEnd w:id="45"/>
    <w:p>
      <w:pPr>
        <w:ind w:right="40"/>
        <w:spacing w:after="0" w:line="269" w:lineRule="auto"/>
        <w:rPr>
          <w:sz w:val="20"/>
          <w:szCs w:val="20"/>
          <w:color w:val="auto"/>
        </w:rPr>
      </w:pPr>
      <w:r>
        <w:rPr>
          <w:rFonts w:ascii="Arial" w:cs="Arial" w:eastAsia="Arial" w:hAnsi="Arial"/>
          <w:sz w:val="17"/>
          <w:szCs w:val="17"/>
          <w:color w:val="auto"/>
        </w:rPr>
        <w:t>developments, and we expressly reserve the right (as reflected in the Arculus Platform terms and conditions) to discontinue support for any Cryptocurrencies and other Digital Assets, should we determine that such Cryptocurrencies or other Digital Assets have a meaningful risk of being characterized as securities (i.e., that there is a current reasonable likelihood that U.S. regulators or judicial authorities definitively determine, through legislation, rulemaking, case law or enforcement activity, that a particular Cryptocurrency or other Digital Asset is a security under the federal securities laws). While the methodology we have used, and expect to continue to use, to determine if purchase and swap transactions in a Cryptocurrency or other Digital Asset will be supported in the Arculus Platform is ultimately a risk-based assessment, it does not preclude legal or regulatory action based on the presence of a security. If we are found to have supported purchase and swap transactions in the Arculus Platform for Cryptocurrencies or other Digital Assets which are subsequently determined to be securities, it is possible that we could be viewed as inadvertently acting as an unlicensed broker-dealer which could subject us to, among other things, regulatory enforcement actions, censure, monetary fines, restrictions on the conduct of the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0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Because the Arculus Platform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Platform supports purchase and swap transactions in any Digital Assets that are deemed to be securities under any of the laws of the U.S. or another jurisdiction, or in a proceeding in a court of law or otherwise, it may have adverse consequences. For instance, all purchase and swap transactions in such supported Digital Assets would have to be registered with the SEC, or conducted in accordance with an exemption from registration, which could severely limit Digital Asset liquidity, usability and transactability within the Arculus Platform. Comparable or other requirements may be imposed by authorities in other jurisdictions. Further, such limitations could result in negative publicity and a decline in the general acceptance of Digital Assets and would make it difficult for such purchase and swap transactions in such supported Digital Assets to be traded, cleared, and custodied as compared to other Digital Assets that are not considered to be securities. To counter such risks, we may have to remove Arculus Platform support for purchase and swap transactions in certain 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19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we do not presently intend to effect or otherwise facilitate trading in securities by our Arculus customers through the use of our Arculus Wallet if such activities would require the use of a registered broker-dealer or investment adviser. Although we are establishing policies and procedures to ensure that our Arculus business activities do not result in us inadvertently acting as an unregistered broker-dealer or investment adviser, there can no assurance that such policies and procedures will be effective. If we are found by relevant regulatory agencies to have inadvertently acted as an unregistered broker-dealer with respect to purchase and swap transactions in particular Cryptocurrencies, we would expect to immediately cease supporting purchase and swap transactions in those Cryptocurrencies unless and until either the Cryptocurrency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us,our business and our results of operations.</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do not believe the storage and peer-to-peer/send &amp; receive functionality provided by the Arculus WalletTM involves purchases, sales or other transactions effected by us (or any party other than the sender and the recipient). Further, we are not compensated for such user- directed activities. However, it is possible that regulators may determine that user-directed peer-to-peer transfers using the Arculus WalletTM would require registration and compliance with broker-dealer and/or securities exchange regulations.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Risks of Operating as an Unregistered Exchange or as Part of an Unregistered Exchange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6" w:name="page47"/>
    <w:bookmarkEnd w:id="46"/>
    <w:p>
      <w:pPr>
        <w:ind w:firstLine="648"/>
        <w:spacing w:after="0" w:line="285" w:lineRule="auto"/>
        <w:rPr>
          <w:sz w:val="20"/>
          <w:szCs w:val="20"/>
          <w:color w:val="auto"/>
        </w:rPr>
      </w:pPr>
      <w:r>
        <w:rPr>
          <w:rFonts w:ascii="Arial" w:cs="Arial" w:eastAsia="Arial" w:hAnsi="Arial"/>
          <w:sz w:val="16"/>
          <w:szCs w:val="16"/>
          <w:color w:val="auto"/>
        </w:rPr>
        <w:t>Any venue that brings together purchasers and sellers of Cryptocurrencies or other Digital Assets that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Platform is not so registered (or appropriately exempt), we may be unable to permit continued support for purchase and swap transactions for Cryptocurrencies or other Digital Assets that become subject to characterization as securities. While we do not believe that the Arculus Platform, which facilitates purchase and swap transactions in certain Cryptocurrencies and other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Cryptocurrencies or other Digital Assets or otherwise limit or modify Arculus Platform functionality or access. Any such discontinuation, limitation or other modification could negatively impact our business, operating results, and financial condition. In addition, to the extent other Cold Storage Wallets continue to provide access to such unregulated exchanges or are deemed to be part of an unregistered exchange mechanism, the discontinuation of access for users of the Arculus Wallet may be unpopular with users and may reduce our ability to attract and retain customers. Further, if we are found to be in violation of the Exchange Act due to operation of an unregistered exchange or as part of an unregistered exchange mechanism, we could be subject to significant monetary penalties, censure or other actions that may have a material and adverse effect on us. Notably, in September 2022, the SEC announced a proposed rule change that included, among other things, proposed amendments to Exchange Act rule 3b-16, concerning the definition of “exchange.” While it is not yet clear whether, and if so, in what form, such proposed amendments may be adopted, it is possible that a change to the definition of “exchange” could result in regulators determining that the Arculus Platform is functioning as a securities exchange or ATS or is part of an unregistered exchange mechanism, in which case, the potential registration requirements, or cessation, limitation or other modifications, in each case contemplated above, could become necessary or advisable.</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third-party partners to provide certain features of the Arculus Wallet, and any interruptions in services provided by these third parties may impair our ability to support our customers.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partner with third-party development partners and exchanges to offer customers an option to use fiat currency to purchase Cryptocurrencies, and/or to swap one Cryptocurrency for another Cryptocurrency, using the Arculus Key card and Arculus Wallet. For additional information regarding our existing Arculus Wallet partner relationships, as well as our expectations regarding future partner relationships, please see the section of this report entitled, “Business — Overview.” If these third parties experience operational interference or disruptions, breach their agreements with us, fail to perform their obligations and meet our expectations, or experience a cybersecurity incident, our operations could be disrupted or otherwise negatively affected. If we are unable to procure alternatives in a timely and efficient manner and on acceptable terms, or at all, third-party service unavailability could result in customer dissatisfaction, regulatory scrutiny, and damage to our reputation and brand, and other consequences that could materially and adversely affect our business. Furthermore, although the agreements with our existing partners contractually allocate liability to the partners for their actions, including liability relating to anti-money laundering, know your customer and other transaction-related regulatory compliance requirements, these provisions include limitations on liability. There can be no guarantee that we would not be held liable for the actions of our partners, or that the liabilities would not exceed the contractual limitations on liability. Any liabilities incurred by us for the actions of our third-party partners could have a material adverse effect on our business operations,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safeguard against misappropriation or infringement of our intellectual property may adversely affect our business.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7" w:name="page48"/>
    <w:bookmarkEnd w:id="47"/>
    <w:p>
      <w:pPr>
        <w:ind w:right="20"/>
        <w:spacing w:after="0" w:line="254" w:lineRule="auto"/>
        <w:rPr>
          <w:sz w:val="20"/>
          <w:szCs w:val="20"/>
          <w:color w:val="auto"/>
        </w:rPr>
      </w:pPr>
      <w:r>
        <w:rPr>
          <w:rFonts w:ascii="Arial" w:cs="Arial" w:eastAsia="Arial" w:hAnsi="Arial"/>
          <w:sz w:val="18"/>
          <w:szCs w:val="18"/>
          <w:color w:val="auto"/>
        </w:rPr>
        <w:t>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because of litigation or other proceedings relating to patents and other intellectual property rights.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quality and manufacturing process disruptions could adversely affect our business.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products and our technological processes are highly complex, require specialized equipment to manufacture and are subject to strict tolerances and requirements. We could experience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certain distribution partners for distribution of our products and services. A loss of distribution partners could adversely affect our business.</w:t>
      </w:r>
    </w:p>
    <w:p>
      <w:pPr>
        <w:spacing w:after="0" w:line="19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that may result in a loss of our market share and/or a decline in profitability.</w:t>
      </w:r>
    </w:p>
    <w:p>
      <w:pPr>
        <w:spacing w:after="0" w:line="25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8" w:name="page49"/>
    <w:bookmarkEnd w:id="48"/>
    <w:p>
      <w:pPr>
        <w:ind w:right="100"/>
        <w:spacing w:after="0" w:line="259" w:lineRule="auto"/>
        <w:rPr>
          <w:sz w:val="20"/>
          <w:szCs w:val="20"/>
          <w:color w:val="auto"/>
        </w:rPr>
      </w:pPr>
      <w:r>
        <w:rPr>
          <w:rFonts w:ascii="Arial" w:cs="Arial" w:eastAsia="Arial" w:hAnsi="Arial"/>
          <w:sz w:val="18"/>
          <w:szCs w:val="18"/>
          <w:color w:val="auto"/>
        </w:rPr>
        <w:t>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long-lived assets represent a significant portion of our total assets, and their full value may never be realized</w:t>
      </w:r>
      <w:r>
        <w:rPr>
          <w:rFonts w:ascii="Arial" w:cs="Arial" w:eastAsia="Arial" w:hAnsi="Arial"/>
          <w:sz w:val="18"/>
          <w:szCs w:val="18"/>
          <w:b w:val="1"/>
          <w:bCs w:val="1"/>
          <w:color w:val="auto"/>
        </w:rPr>
        <w:t>.</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long-lived assets recorded as of December 31, 2021 were $27.4 million, representing approximately 26% of our total assets, of which we have recorded plant, equipment and leasehold improvements of $22.2 million, as our operations require significant investments in machinery and equipment.</w:t>
      </w:r>
    </w:p>
    <w:p>
      <w:pPr>
        <w:spacing w:after="0" w:line="15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operate our business in compliance with the standards of the PCI Security Standards Council or other industry standards applicable to our customers, such as Payment Networks certification standards, could adversely affect our business.</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Many of our customers issue their cards on the Payment Networks that are subject to the standards of the PCI Security Standards Council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21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PCI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consumers and businesses spend less, our business, operation outcomes, and financial state may be adversely affected.</w:t>
      </w:r>
    </w:p>
    <w:p>
      <w:pPr>
        <w:spacing w:after="0" w:line="25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warranty claims and their associated costs may adversely affect our business.</w:t>
      </w:r>
    </w:p>
    <w:p>
      <w:pPr>
        <w:spacing w:after="0" w:line="252"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tariffs and other restrictions on imported goods are imposed by the U.S. government, our sales and operations may be materially and adversely affected.</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sales subject us to additional risks that can adversely affect our business, operating results and financial condition.</w:t>
      </w:r>
    </w:p>
    <w:p>
      <w:pPr>
        <w:spacing w:after="0" w:line="26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During each of 2021 and 2020, we derived approximately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international operations subject it to a variety of risks and challenges, including:</w:t>
      </w:r>
    </w:p>
    <w:p>
      <w:pPr>
        <w:spacing w:after="0" w:line="252"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and related effect on our operating results;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geopolitical conditions in each country or region;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Brexit; reduction in billings, foreign currency exchange rates, and trade with the EU;</w:t>
      </w:r>
    </w:p>
    <w:p>
      <w:pPr>
        <w:spacing w:after="0" w:line="252" w:lineRule="exact"/>
        <w:rPr>
          <w:rFonts w:ascii="Arial" w:cs="Arial" w:eastAsia="Arial" w:hAnsi="Arial"/>
          <w:sz w:val="18"/>
          <w:szCs w:val="18"/>
          <w:color w:val="auto"/>
        </w:rPr>
      </w:pPr>
    </w:p>
    <w:p>
      <w:pPr>
        <w:ind w:left="1300" w:right="60" w:hanging="320"/>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a widespread outbreak of an illness or disease, or any other public health crisis, including the COVID-19 pandemic, in each country or region;</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uncertainty around the world; and</w:t>
      </w:r>
    </w:p>
    <w:p>
      <w:pPr>
        <w:spacing w:after="0" w:line="252" w:lineRule="exact"/>
        <w:rPr>
          <w:rFonts w:ascii="Arial" w:cs="Arial" w:eastAsia="Arial" w:hAnsi="Arial"/>
          <w:sz w:val="18"/>
          <w:szCs w:val="18"/>
          <w:color w:val="auto"/>
        </w:rPr>
      </w:pPr>
    </w:p>
    <w:p>
      <w:pPr>
        <w:ind w:left="1300" w:right="160" w:hanging="320"/>
        <w:spacing w:after="0" w:line="286"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U.S. laws and regulations imposed by other countries on foreign operations, 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spacing w:after="0" w:line="1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ind w:right="580"/>
        <w:spacing w:after="0" w:line="277" w:lineRule="auto"/>
        <w:rPr>
          <w:sz w:val="20"/>
          <w:szCs w:val="20"/>
          <w:color w:val="auto"/>
        </w:rPr>
      </w:pPr>
      <w:r>
        <w:rPr>
          <w:rFonts w:ascii="Arial" w:cs="Arial" w:eastAsia="Arial" w:hAnsi="Arial"/>
          <w:sz w:val="18"/>
          <w:szCs w:val="18"/>
          <w:color w:val="auto"/>
        </w:rPr>
        <w:t>affect our international sales, reduce our international sales or increase our operating costs, adversely affecting our business, financial condition and operating results.</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licensing arrangements in production and other fields, and actions taken by any of our licensing partners could have a material adverse effect on our business.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Many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of new tax legislation could affect our financial performance.</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Related to the Tax Receivable Agreement</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required to pay certain Holders for most of the benefits relating to any additional tax depreciation or amortization deductions that we may claim.</w:t>
      </w:r>
    </w:p>
    <w:p>
      <w:pPr>
        <w:spacing w:after="0" w:line="19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connection with the Business Combination, we entered into the Tax Receivable Agreement with Holdings and the TRA Parties (as defined therein). The Tax Receivable Agreement will provide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 average state and local income tax rate to calculate tax benefits. The payment obligations under the Tax Receivable Agreement are an obligation of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51" w:name="page52"/>
    <w:bookmarkEnd w:id="51"/>
    <w:p>
      <w:pPr>
        <w:ind w:right="40"/>
        <w:spacing w:after="0" w:line="291" w:lineRule="auto"/>
        <w:rPr>
          <w:sz w:val="20"/>
          <w:szCs w:val="20"/>
          <w:color w:val="auto"/>
        </w:rPr>
      </w:pPr>
      <w:r>
        <w:rPr>
          <w:rFonts w:ascii="Arial" w:cs="Arial" w:eastAsia="Arial" w:hAnsi="Arial"/>
          <w:sz w:val="16"/>
          <w:szCs w:val="16"/>
          <w:color w:val="auto"/>
        </w:rPr>
        <w:t>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19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0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73"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ind w:right="20"/>
        <w:spacing w:after="0" w:line="293" w:lineRule="auto"/>
        <w:rPr>
          <w:sz w:val="20"/>
          <w:szCs w:val="20"/>
          <w:color w:val="auto"/>
        </w:rPr>
      </w:pPr>
      <w:r>
        <w:rPr>
          <w:rFonts w:ascii="Arial" w:cs="Arial" w:eastAsia="Arial" w:hAnsi="Arial"/>
          <w:sz w:val="16"/>
          <w:szCs w:val="16"/>
          <w:b w:val="1"/>
          <w:bCs w:val="1"/>
          <w:i w:val="1"/>
          <w:iCs w:val="1"/>
          <w:color w:val="auto"/>
        </w:rPr>
        <w:t>In certain circumstances, Holdings will be required to make pro rata distributions to us and the holders of the Class B Units of Holdings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spacing w:after="0" w:line="19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operating flexibility and could adversely affect our business, financial condition and results of operations.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had approximately $395 million of indebtedness as of December 31, 2021, consisting of amounts outstanding under our senior secured credit facility and senior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indebtedness could have important consequences to our investors, including, but not limited to:</w:t>
      </w:r>
    </w:p>
    <w:p>
      <w:pPr>
        <w:spacing w:after="0" w:line="252"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252" w:lineRule="exact"/>
        <w:rPr>
          <w:rFonts w:ascii="Arial" w:cs="Arial" w:eastAsia="Arial" w:hAnsi="Arial"/>
          <w:sz w:val="18"/>
          <w:szCs w:val="18"/>
          <w:color w:val="auto"/>
        </w:rPr>
      </w:pPr>
    </w:p>
    <w:p>
      <w:pPr>
        <w:ind w:left="1300" w:right="48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servicing debt, including interest payments and annual excess cash flow prepayment obligations;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competitive environment;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 increasing the cost of any such borrowing.</w:t>
      </w:r>
    </w:p>
    <w:p>
      <w:pPr>
        <w:spacing w:after="0" w:line="252"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interest rates in our credit facility are set based upon stated margins above lender’s base rate and the London Interbank Offered Rate, an interest rate at which banks can borrow funds, in marketable size, from other banks in the London interbank market, which is subject to fluctuation. In addition, the interest rate margin applicable to our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3" w:name="page54"/>
    <w:bookmarkEnd w:id="53"/>
    <w:p>
      <w:pPr>
        <w:ind w:right="200"/>
        <w:spacing w:after="0" w:line="277" w:lineRule="auto"/>
        <w:rPr>
          <w:sz w:val="20"/>
          <w:szCs w:val="20"/>
          <w:color w:val="auto"/>
        </w:rPr>
      </w:pPr>
      <w:r>
        <w:rPr>
          <w:rFonts w:ascii="Arial" w:cs="Arial" w:eastAsia="Arial" w:hAnsi="Arial"/>
          <w:sz w:val="18"/>
          <w:szCs w:val="18"/>
          <w:color w:val="auto"/>
        </w:rPr>
        <w:t>and revolving loans can vary by one hundred (100) basis points depending on our total leverage ratio. An increase in interest rates would adversely affect our profitability.</w:t>
      </w:r>
    </w:p>
    <w:p>
      <w:pPr>
        <w:spacing w:after="0" w:line="1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19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21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debt outstanding under our existing credit facility has a variable rate of interest that is based on the London Interbank Offered Rate (“LIBOR”) which may have consequences for us that cannot be reasonably predicted and may increase our cost of borrowing in the future.</w:t>
      </w:r>
    </w:p>
    <w:p>
      <w:pPr>
        <w:spacing w:after="0" w:line="15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debt outstanding under our existing credit facility bears interest at a variable rate per annum that is calculated based upon the LIBOR rate plus the applicable margin, ranging from 2.0% – 3.0%. The LIBOR benchmark has been the subject of national, international, and other regulatory guidance and proposals for reform. In July 2017, the U.K. Financial Conduct Authority announced that it intends to stop compelling banks to submit rates for the calculation of LIBOR after 2021. However, for U.S. dollar LIBOR, the relevant date was deferred to June 30, 2023 for certain tenors (including overnight and one, three, six and 12 months), at which time the LIBOR administrator will cease publication of U.S. dollar LIBOR. Despite this deferral, the LIBOR administrator has advised that no new contracts using U.S. dollar LIBOR should be entered into after December 31, 2021. These actions indicate that the continuation of U.S. LIBOR on the current basis cannot be guaranteed after June 30, 2023. Moreover, it is possible that U.S. LIBOR will be discontinued or modified prior to June 30, 2023. While regulators in various jurisdictions have been working to replace LIBOR, it is unclear whether new agreed-upon benchmark rates will be established. Although our credit facility provides for alternative reference rates, such alternative reference rates and the consequences of the phase-out of LIBOR cannot be entirely predicted at this time. An alternative reference rate could be higher or more volatile than LIBOR prior to its discontinuance, which could result in an increase in the cost of our indebtedness, adversely impacting our financial condition and results of operations. Additionally, the U.S. or global financial markets may be disrupted as a result of the phase-out of LIBOR, which could also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will contain restrictive covenants that may impair our ability to conduct business.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See Note 5 in Notes to Consolidated Financial Statements to the Consolidated Financial Statements of the Company in this report on Form 10-Q for additional information.</w:t>
      </w:r>
    </w:p>
    <w:p>
      <w:pPr>
        <w:spacing w:after="0" w:line="19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ind w:firstLine="648"/>
        <w:spacing w:after="0" w:line="259" w:lineRule="auto"/>
        <w:rPr>
          <w:sz w:val="20"/>
          <w:szCs w:val="20"/>
          <w:color w:val="auto"/>
        </w:rPr>
      </w:pPr>
      <w:r>
        <w:rPr>
          <w:rFonts w:ascii="Arial" w:cs="Arial" w:eastAsia="Arial" w:hAnsi="Arial"/>
          <w:sz w:val="18"/>
          <w:szCs w:val="18"/>
          <w:color w:val="auto"/>
        </w:rPr>
        <w:t>In connection with the Business Combination, Holdings issued the PIPE Senior Notes that are exchangeable into shares of our Class A Common Stock at a conversion price of $11.50 per share. The PIPE Senior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214"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52" w:lineRule="exact"/>
        <w:rPr>
          <w:rFonts w:ascii="Arial" w:cs="Arial" w:eastAsia="Arial" w:hAnsi="Arial"/>
          <w:sz w:val="18"/>
          <w:szCs w:val="18"/>
          <w:color w:val="auto"/>
        </w:rPr>
      </w:pPr>
    </w:p>
    <w:p>
      <w:pPr>
        <w:ind w:left="1300" w:right="58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guarantees of indebtedness, which reduces the amount of cash available for other purposes;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52" w:lineRule="exact"/>
        <w:rPr>
          <w:rFonts w:ascii="Arial" w:cs="Arial" w:eastAsia="Arial" w:hAnsi="Arial"/>
          <w:sz w:val="18"/>
          <w:szCs w:val="18"/>
          <w:color w:val="auto"/>
        </w:rPr>
      </w:pPr>
    </w:p>
    <w:p>
      <w:pPr>
        <w:ind w:left="1300" w:right="30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diluting the interests of our stockholders as a result of the issuance shares of our Class A Common Stock upon conversion of the PIPE Senior Notes; and</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business may not generate sufficient funds, and we may otherwise be unable to maintain sufficient cash reserves, to pay amounts that may become due under our guarantees of indebtedness, including in connection with the PIPE Senior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Risks Related to Ownership of our Securities</w:t>
      </w:r>
    </w:p>
    <w:p>
      <w:pPr>
        <w:spacing w:after="0" w:line="256"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spacing w:after="0" w:line="12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14"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ind w:left="1300" w:right="28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such time, our Board approved either the business combination or the transaction that resulted in the stockholder becoming an interested stockholder;</w:t>
      </w:r>
    </w:p>
    <w:p>
      <w:pPr>
        <w:spacing w:after="0" w:line="197" w:lineRule="exact"/>
        <w:rPr>
          <w:rFonts w:ascii="Arial" w:cs="Arial" w:eastAsia="Arial" w:hAnsi="Arial"/>
          <w:sz w:val="18"/>
          <w:szCs w:val="18"/>
          <w:color w:val="auto"/>
        </w:rPr>
      </w:pPr>
    </w:p>
    <w:p>
      <w:pPr>
        <w:ind w:left="1300" w:right="360" w:hanging="320"/>
        <w:spacing w:after="0" w:line="342" w:lineRule="auto"/>
        <w:tabs>
          <w:tab w:leader="none" w:pos="12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50" w:lineRule="exact"/>
        <w:rPr>
          <w:rFonts w:ascii="Arial" w:cs="Arial" w:eastAsia="Arial" w:hAnsi="Arial"/>
          <w:sz w:val="16"/>
          <w:szCs w:val="16"/>
          <w:color w:val="auto"/>
        </w:rPr>
      </w:pPr>
    </w:p>
    <w:p>
      <w:pPr>
        <w:ind w:left="1300" w:right="22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97"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satisfy the Nasdaq listing requirements in the future, which could limit investors’ ability to effect transactions in our securities and subject us to additional trading restrictions.</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may be unable to maintain the listing of our securities on Nasdaq in the future. If our securities are delisted from Nasdaq, there could be significant material adverse consequences, including:</w:t>
      </w:r>
    </w:p>
    <w:p>
      <w:pPr>
        <w:spacing w:after="0" w:line="197"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about the Company;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new public company, we will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1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$1.07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9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56" w:name="page57"/>
    <w:bookmarkEnd w:id="56"/>
    <w:p>
      <w:pPr>
        <w:ind w:right="380"/>
        <w:spacing w:after="0" w:line="277" w:lineRule="auto"/>
        <w:rPr>
          <w:sz w:val="20"/>
          <w:szCs w:val="20"/>
          <w:color w:val="auto"/>
        </w:rPr>
      </w:pPr>
      <w:r>
        <w:rPr>
          <w:rFonts w:ascii="Arial" w:cs="Arial" w:eastAsia="Arial" w:hAnsi="Arial"/>
          <w:sz w:val="18"/>
          <w:szCs w:val="18"/>
          <w:color w:val="auto"/>
        </w:rPr>
        <w:t>payments not previously approved. In addition, the JOBS Act provides that an emerging growth company can take advantage of an extended transition period for complying with new or revised accounting standards, which we have elected to do.</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Previously as a privately held company prior to the Business Combination, Holdings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the operating costs of the Company and could require the management of the Company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cause could impede our ability to implement our growth strategy. In addition, any such delays or deficiencies could result in our failure to meet the requirements for continued listing of our securities on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operating performance does not meet market expectations, the price of our securities may decline.</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Fluctuations in the price of our securities could contribute to the loss of all or part of your investment. Prior to the Business Combination, there was no public market for Holdings’ equity. Accordingly, the valuation that was ascribed to Holdings’ equity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52"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w:t>
      </w:r>
    </w:p>
    <w:p>
      <w:pPr>
        <w:spacing w:after="0" w:line="238"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252" w:lineRule="exact"/>
        <w:rPr>
          <w:rFonts w:ascii="Arial" w:cs="Arial" w:eastAsia="Arial" w:hAnsi="Arial"/>
          <w:sz w:val="18"/>
          <w:szCs w:val="18"/>
          <w:color w:val="auto"/>
        </w:rPr>
      </w:pPr>
    </w:p>
    <w:p>
      <w:pPr>
        <w:ind w:left="660" w:right="80" w:firstLine="320"/>
        <w:spacing w:after="0" w:line="277" w:lineRule="auto"/>
        <w:tabs>
          <w:tab w:leader="none" w:pos="13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financial payment card and Digital Asset industries and markets in general;</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7" w:name="page58"/>
    <w:bookmarkEnd w:id="57"/>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volume of shares of our securities available for public sale;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252" w:lineRule="exact"/>
        <w:rPr>
          <w:rFonts w:ascii="Arial" w:cs="Arial" w:eastAsia="Arial" w:hAnsi="Arial"/>
          <w:sz w:val="18"/>
          <w:szCs w:val="18"/>
          <w:color w:val="auto"/>
        </w:rPr>
      </w:pPr>
    </w:p>
    <w:p>
      <w:pPr>
        <w:ind w:left="660" w:right="260" w:firstLine="320"/>
        <w:spacing w:after="0" w:line="277"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substantial amounts of our securities by our directors, executive officers or significant stockholders or the perception that such sales could occur; and</w:t>
      </w:r>
    </w:p>
    <w:p>
      <w:pPr>
        <w:spacing w:after="0" w:line="197" w:lineRule="exact"/>
        <w:rPr>
          <w:rFonts w:ascii="Arial" w:cs="Arial" w:eastAsia="Arial" w:hAnsi="Arial"/>
          <w:sz w:val="18"/>
          <w:szCs w:val="18"/>
          <w:color w:val="auto"/>
        </w:rPr>
      </w:pPr>
    </w:p>
    <w:p>
      <w:pPr>
        <w:ind w:left="660" w:right="20" w:firstLine="320"/>
        <w:spacing w:after="0" w:line="277"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Public Warrants and the Resale Warrants may never be in the money, and they may expire worthless.</w:t>
      </w:r>
    </w:p>
    <w:p>
      <w:pPr>
        <w:spacing w:after="0" w:line="25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exercise price for our Public Warrants and Resale Warrants is $11.50 per share, which exceeds the market price of our Class A Common Stock, which was $7.32 per share based on the closing price on May 5, 2022. There can be no assurance that the Public Warrants and Resale Warrants will ever be in the money prior to their expiration and, as such, the Public Warrants and Resale Warrants may expire worthless.</w:t>
      </w:r>
    </w:p>
    <w:p>
      <w:pPr>
        <w:spacing w:after="0" w:line="19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7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the ability to redeem outstanding Warrants (excluding any Resale Warrants held by Roman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ind w:right="40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Outstanding Warrants to purchase an aggregate of 22,415,400 shares of our common stock are exercisable on the 30th day following the closing of the Business Combination in accordance with the terms of the warrant agreement governing those securities. These Warrants consist of 11,578,000 Public Warrants and 10,837,400 Resale Warrants originally included in the units issued in our IPO.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Commencing with this report,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9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5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1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largely depends upon the efforts of certain key personnel. The loss of such key personnel could adversely affect the operations and profitability of the post-combination business.</w:t>
      </w:r>
    </w:p>
    <w:p>
      <w:pPr>
        <w:spacing w:after="0" w:line="19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20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ind w:firstLine="648"/>
        <w:spacing w:after="0" w:line="254" w:lineRule="auto"/>
        <w:rPr>
          <w:sz w:val="20"/>
          <w:szCs w:val="20"/>
          <w:color w:val="auto"/>
        </w:rPr>
      </w:pPr>
      <w:r>
        <w:rPr>
          <w:rFonts w:ascii="Arial" w:cs="Arial" w:eastAsia="Arial" w:hAnsi="Arial"/>
          <w:sz w:val="18"/>
          <w:szCs w:val="18"/>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Future sales of our securities, including resale of securities issued to the certain stockholders, may reduce the market price of our securities that you might otherwise obtain.</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Upon expiration of the lockup period applicable to our securities held by certain of 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1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7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LLR Equity Partners IV, L.P. and LLR Equity Partners Parallel IV, L.P. (the “LLR Parties”) and Michele D. Logan and any trust, entity or other similar vehicle or account affiliated with Michele D. Logan (the “Logan Parties”) beneficially own approximately 45% and 28%,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ind w:right="380"/>
        <w:spacing w:after="0" w:line="381" w:lineRule="auto"/>
        <w:rPr>
          <w:sz w:val="20"/>
          <w:szCs w:val="20"/>
          <w:color w:val="auto"/>
        </w:rPr>
      </w:pPr>
      <w:r>
        <w:rPr>
          <w:rFonts w:ascii="Arial" w:cs="Arial" w:eastAsia="Arial" w:hAnsi="Arial"/>
          <w:sz w:val="15"/>
          <w:szCs w:val="15"/>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27"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19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1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5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exercise of registration rights may adversely affect the market price of our securities.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the Exhibit Index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7" w:right="1440" w:bottom="1440" w:gutter="0" w:footer="0" w:header="0"/>
        </w:sectPr>
      </w:pPr>
    </w:p>
    <w:bookmarkStart w:id="62" w:name="page63"/>
    <w:bookmarkEnd w:id="62"/>
    <w:p>
      <w:pPr>
        <w:jc w:val="center"/>
        <w:ind w:right="-359"/>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CompoSecure, Inc.</w:t>
      </w:r>
    </w:p>
    <w:p>
      <w:pPr>
        <w:spacing w:after="0" w:line="200" w:lineRule="exact"/>
        <w:rPr>
          <w:sz w:val="20"/>
          <w:szCs w:val="20"/>
          <w:color w:val="auto"/>
        </w:rPr>
      </w:pPr>
    </w:p>
    <w:p>
      <w:pPr>
        <w:spacing w:after="0" w:line="295"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Jonathan C. Wilk</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Timothy Fitzsimmons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27" w:right="6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6"/>
        </w:trPr>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40" w:type="dxa"/>
            <w:vAlign w:val="bottom"/>
            <w:gridSpan w:val="5"/>
          </w:tcPr>
          <w:p>
            <w:pPr>
              <w:ind w:left="2180"/>
              <w:spacing w:after="0"/>
              <w:rPr>
                <w:sz w:val="20"/>
                <w:szCs w:val="20"/>
                <w:color w:val="auto"/>
              </w:rPr>
            </w:pPr>
            <w:r>
              <w:rPr>
                <w:rFonts w:ascii="Arial" w:cs="Arial" w:eastAsia="Arial" w:hAnsi="Arial"/>
                <w:sz w:val="20"/>
                <w:szCs w:val="20"/>
                <w:b w:val="1"/>
                <w:bCs w:val="1"/>
                <w:color w:val="auto"/>
              </w:rPr>
              <w:t>EXHIBIT INDEX</w:t>
            </w:r>
          </w:p>
        </w:tc>
      </w:tr>
      <w:tr>
        <w:trPr>
          <w:trHeight w:val="503"/>
        </w:trPr>
        <w:tc>
          <w:tcPr>
            <w:tcW w:w="12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445"/>
        </w:trPr>
        <w:tc>
          <w:tcPr>
            <w:tcW w:w="260" w:type="dxa"/>
            <w:vAlign w:val="bottom"/>
            <w:tcBorders>
              <w:top w:val="single" w:sz="8" w:color="auto"/>
            </w:tcBorders>
            <w:gridSpan w:val="2"/>
          </w:tcPr>
          <w:p>
            <w:pPr>
              <w:spacing w:after="0"/>
              <w:rPr>
                <w:sz w:val="24"/>
                <w:szCs w:val="24"/>
                <w:color w:val="auto"/>
              </w:rPr>
            </w:pPr>
          </w:p>
        </w:tc>
        <w:tc>
          <w:tcPr>
            <w:tcW w:w="400" w:type="dxa"/>
            <w:vAlign w:val="bottom"/>
            <w:tcBorders>
              <w:top w:val="single" w:sz="8" w:color="auto"/>
              <w:bottom w:val="single" w:sz="8" w:color="0000FF"/>
            </w:tcBorders>
          </w:tcPr>
          <w:p>
            <w:pPr>
              <w:jc w:val="center"/>
              <w:spacing w:after="0"/>
              <w:rPr>
                <w:rFonts w:ascii="Arial" w:cs="Arial" w:eastAsia="Arial" w:hAnsi="Arial"/>
                <w:sz w:val="18"/>
                <w:szCs w:val="18"/>
                <w:color w:val="0000FF"/>
                <w:w w:val="95"/>
              </w:rPr>
            </w:pPr>
            <w:hyperlink w:anchor="page65">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40" w:type="dxa"/>
            <w:vAlign w:val="bottom"/>
            <w:tcBorders>
              <w:top w:val="single" w:sz="8" w:color="auto"/>
              <w:bottom w:val="single" w:sz="8" w:color="0000FF"/>
            </w:tcBorders>
            <w:gridSpan w:val="3"/>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Certification of Chief Executive Officer Pursuant to Section 302 of the Sarbanes-Oxley Act of 2002.</w:t>
              </w:r>
            </w:hyperlink>
          </w:p>
        </w:tc>
        <w:tc>
          <w:tcPr>
            <w:tcW w:w="2400" w:type="dxa"/>
            <w:vAlign w:val="bottom"/>
            <w:tcBorders>
              <w:top w:val="single" w:sz="8" w:color="auto"/>
            </w:tcBorders>
            <w:gridSpan w:val="3"/>
          </w:tcPr>
          <w:p>
            <w:pPr>
              <w:spacing w:after="0"/>
              <w:rPr>
                <w:sz w:val="24"/>
                <w:szCs w:val="24"/>
                <w:color w:val="auto"/>
              </w:rPr>
            </w:pPr>
          </w:p>
        </w:tc>
      </w:tr>
      <w:tr>
        <w:trPr>
          <w:trHeight w:val="493"/>
        </w:trPr>
        <w:tc>
          <w:tcPr>
            <w:tcW w:w="660" w:type="dxa"/>
            <w:vAlign w:val="bottom"/>
            <w:gridSpan w:val="3"/>
          </w:tcPr>
          <w:p>
            <w:pPr>
              <w:jc w:val="center"/>
              <w:ind w:left="170"/>
              <w:spacing w:after="0"/>
              <w:rPr>
                <w:rFonts w:ascii="Arial" w:cs="Arial" w:eastAsia="Arial" w:hAnsi="Arial"/>
                <w:sz w:val="18"/>
                <w:szCs w:val="18"/>
                <w:color w:val="0000FF"/>
                <w:w w:val="95"/>
              </w:rPr>
            </w:pPr>
            <w:hyperlink w:anchor="page66">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7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920" w:type="dxa"/>
            <w:vAlign w:val="bottom"/>
            <w:gridSpan w:val="5"/>
          </w:tcPr>
          <w:p>
            <w:pPr>
              <w:jc w:val="center"/>
              <w:spacing w:after="0"/>
              <w:rPr>
                <w:rFonts w:ascii="Arial" w:cs="Arial" w:eastAsia="Arial" w:hAnsi="Arial"/>
                <w:sz w:val="18"/>
                <w:szCs w:val="18"/>
                <w:color w:val="0000FF"/>
              </w:rPr>
            </w:pPr>
            <w:hyperlink w:anchor="page67">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6"/>
          </w:tcPr>
          <w:p>
            <w:pPr>
              <w:spacing w:after="0"/>
              <w:rPr>
                <w:rFonts w:ascii="Arial" w:cs="Arial" w:eastAsia="Arial" w:hAnsi="Arial"/>
                <w:sz w:val="18"/>
                <w:szCs w:val="18"/>
                <w:color w:val="0000FF"/>
                <w:w w:val="94"/>
              </w:rPr>
            </w:pPr>
            <w:hyperlink w:anchor="page67">
              <w:r>
                <w:rPr>
                  <w:rFonts w:ascii="Arial" w:cs="Arial" w:eastAsia="Arial" w:hAnsi="Arial"/>
                  <w:sz w:val="18"/>
                  <w:szCs w:val="18"/>
                  <w:color w:val="0000FF"/>
                  <w:w w:val="94"/>
                </w:rPr>
                <w:t>Certification of Chief Executive Officer Pursuant to 18 U.S.C. Section 1350 as adopted pursuant to Section 906 of the Sarbanes-</w:t>
              </w:r>
            </w:hyperlink>
          </w:p>
        </w:tc>
      </w:tr>
      <w:tr>
        <w:trPr>
          <w:trHeight w:val="169"/>
        </w:trPr>
        <w:tc>
          <w:tcPr>
            <w:tcW w:w="2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w:anchor="page67">
              <w:r>
                <w:rPr>
                  <w:rFonts w:ascii="Arial" w:cs="Arial" w:eastAsia="Arial" w:hAnsi="Arial"/>
                  <w:sz w:val="18"/>
                  <w:szCs w:val="18"/>
                  <w:color w:val="0000FF"/>
                  <w:w w:val="93"/>
                </w:rPr>
                <w:t>Oxley Act of 2002.</w:t>
              </w:r>
            </w:hyperlink>
          </w:p>
        </w:tc>
        <w:tc>
          <w:tcPr>
            <w:tcW w:w="7860" w:type="dxa"/>
            <w:vAlign w:val="bottom"/>
            <w:tcBorders>
              <w:top w:val="single" w:sz="8" w:color="0000FF"/>
            </w:tcBorders>
            <w:gridSpan w:val="4"/>
          </w:tcPr>
          <w:p>
            <w:pPr>
              <w:spacing w:after="0"/>
              <w:rPr>
                <w:sz w:val="14"/>
                <w:szCs w:val="14"/>
                <w:color w:val="auto"/>
              </w:rPr>
            </w:pPr>
          </w:p>
        </w:tc>
        <w:tc>
          <w:tcPr>
            <w:tcW w:w="380" w:type="dxa"/>
            <w:vAlign w:val="bottom"/>
          </w:tcPr>
          <w:p>
            <w:pPr>
              <w:spacing w:after="0"/>
              <w:rPr>
                <w:sz w:val="14"/>
                <w:szCs w:val="14"/>
                <w:color w:val="auto"/>
              </w:rPr>
            </w:pPr>
          </w:p>
        </w:tc>
      </w:tr>
      <w:tr>
        <w:trPr>
          <w:trHeight w:val="493"/>
        </w:trPr>
        <w:tc>
          <w:tcPr>
            <w:tcW w:w="920" w:type="dxa"/>
            <w:vAlign w:val="bottom"/>
            <w:gridSpan w:val="5"/>
          </w:tcPr>
          <w:p>
            <w:pPr>
              <w:jc w:val="center"/>
              <w:spacing w:after="0"/>
              <w:rPr>
                <w:rFonts w:ascii="Arial" w:cs="Arial" w:eastAsia="Arial" w:hAnsi="Arial"/>
                <w:sz w:val="18"/>
                <w:szCs w:val="18"/>
                <w:color w:val="0000FF"/>
              </w:rPr>
            </w:pPr>
            <w:hyperlink w:anchor="page68">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6"/>
          </w:tcPr>
          <w:p>
            <w:pPr>
              <w:spacing w:after="0"/>
              <w:rPr>
                <w:rFonts w:ascii="Arial" w:cs="Arial" w:eastAsia="Arial" w:hAnsi="Arial"/>
                <w:sz w:val="18"/>
                <w:szCs w:val="18"/>
                <w:color w:val="0000FF"/>
                <w:w w:val="94"/>
              </w:rPr>
            </w:pPr>
            <w:hyperlink w:anchor="page68">
              <w:r>
                <w:rPr>
                  <w:rFonts w:ascii="Arial" w:cs="Arial" w:eastAsia="Arial" w:hAnsi="Arial"/>
                  <w:sz w:val="18"/>
                  <w:szCs w:val="18"/>
                  <w:color w:val="0000FF"/>
                  <w:w w:val="94"/>
                </w:rPr>
                <w:t>Certification of Chief Financial Officer Pursuant to 18 U.S.C. Section 1350 as adopted pursuant to Section 906 of the Sarbanes-</w:t>
              </w:r>
            </w:hyperlink>
          </w:p>
        </w:tc>
      </w:tr>
      <w:tr>
        <w:trPr>
          <w:trHeight w:val="169"/>
        </w:trPr>
        <w:tc>
          <w:tcPr>
            <w:tcW w:w="2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w:anchor="page68">
              <w:r>
                <w:rPr>
                  <w:rFonts w:ascii="Arial" w:cs="Arial" w:eastAsia="Arial" w:hAnsi="Arial"/>
                  <w:sz w:val="18"/>
                  <w:szCs w:val="18"/>
                  <w:color w:val="0000FF"/>
                  <w:w w:val="93"/>
                </w:rPr>
                <w:t>Oxley Act of 2002.</w:t>
              </w:r>
            </w:hyperlink>
          </w:p>
        </w:tc>
        <w:tc>
          <w:tcPr>
            <w:tcW w:w="7800" w:type="dxa"/>
            <w:vAlign w:val="bottom"/>
            <w:tcBorders>
              <w:top w:val="single" w:sz="8" w:color="0000FF"/>
            </w:tcBorders>
            <w:gridSpan w:val="3"/>
          </w:tcPr>
          <w:p>
            <w:pPr>
              <w:spacing w:after="0"/>
              <w:rPr>
                <w:sz w:val="14"/>
                <w:szCs w:val="14"/>
                <w:color w:val="auto"/>
              </w:rPr>
            </w:pPr>
          </w:p>
        </w:tc>
        <w:tc>
          <w:tcPr>
            <w:tcW w:w="440" w:type="dxa"/>
            <w:vAlign w:val="bottom"/>
            <w:gridSpan w:val="2"/>
          </w:tcPr>
          <w:p>
            <w:pPr>
              <w:spacing w:after="0"/>
              <w:rPr>
                <w:sz w:val="14"/>
                <w:szCs w:val="14"/>
                <w:color w:val="auto"/>
              </w:rPr>
            </w:pPr>
          </w:p>
        </w:tc>
      </w:tr>
    </w:tbl>
    <w:p>
      <w:pPr>
        <w:spacing w:after="0" w:line="310" w:lineRule="exact"/>
        <w:rPr>
          <w:sz w:val="20"/>
          <w:szCs w:val="20"/>
          <w:color w:val="auto"/>
        </w:rPr>
      </w:pPr>
    </w:p>
    <w:p>
      <w:pPr>
        <w:ind w:left="1280" w:right="20" w:hanging="948"/>
        <w:spacing w:after="0" w:line="239" w:lineRule="auto"/>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following materials from CompoSecure, Inc.'s Form 10-Q for the quarter ended March 31, 2022, formatted in Extensible Business Reporting Language (XBRL): (i) Consolidated Balance Sheets as of March 31, 2022 (Unaudited) and December 31, 2021, (ii) Consolidated Statements of Operations (Unaudited) for the three months ended March 31, 2022 and March 31, 2021, (iii) Consolidated Statements of Comprehensive Income (Unaudited) for the three months ended March 31, 2022 and March 31, 2021 (iv) Consolidated Statements of Stockholders’ Equity (Unaudited) for the three months ended March 31, 2022 and March 31, 2021, as well as the year ended December 31, 2021, (v) Consolidated Statements of Cash Flows (Unaudited) for the three months ended March 31, 2022 and March 31, 2021, and (vi) Notes to Consolidated Financial Statements - Unaudited.</w:t>
      </w:r>
    </w:p>
    <w:p>
      <w:pPr>
        <w:spacing w:after="0" w:line="284" w:lineRule="exact"/>
        <w:rPr>
          <w:sz w:val="20"/>
          <w:szCs w:val="20"/>
          <w:color w:val="auto"/>
        </w:rPr>
      </w:pPr>
    </w:p>
    <w:p>
      <w:pPr>
        <w:ind w:left="1280" w:hanging="948"/>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65"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36" w:lineRule="exact"/>
        <w:rPr>
          <w:rFonts w:ascii="Arial" w:cs="Arial" w:eastAsia="Arial" w:hAnsi="Arial"/>
          <w:sz w:val="18"/>
          <w:szCs w:val="18"/>
          <w:color w:val="auto"/>
        </w:rPr>
      </w:pPr>
    </w:p>
    <w:p>
      <w:pPr>
        <w:ind w:left="260" w:hanging="234"/>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accordance with SEC Release 33-8238, Exhibits 32.1 and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0920"/>
          </w:cols>
          <w:pgMar w:left="320" w:top="927" w:right="6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Jonathan C. Wilk, certify that:</w:t>
      </w:r>
    </w:p>
    <w:p>
      <w:pPr>
        <w:spacing w:after="0" w:line="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CompoSecure, Inc.</w:t>
      </w:r>
    </w:p>
    <w:p>
      <w:pPr>
        <w:spacing w:after="0" w:line="9" w:lineRule="exact"/>
        <w:rPr>
          <w:rFonts w:ascii="Arial" w:cs="Arial" w:eastAsia="Arial" w:hAnsi="Arial"/>
          <w:sz w:val="18"/>
          <w:szCs w:val="18"/>
          <w:color w:val="auto"/>
        </w:rPr>
      </w:pPr>
    </w:p>
    <w:p>
      <w:pPr>
        <w:ind w:right="260" w:firstLine="8"/>
        <w:spacing w:after="0" w:line="281" w:lineRule="auto"/>
        <w:tabs>
          <w:tab w:leader="none" w:pos="3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20" w:firstLine="8"/>
        <w:spacing w:after="0" w:line="250"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660" w:right="60" w:hanging="4"/>
        <w:spacing w:after="0" w:line="250"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60" w:hanging="4"/>
        <w:spacing w:after="0" w:line="250" w:lineRule="auto"/>
        <w:tabs>
          <w:tab w:leader="none" w:pos="9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560" w:hanging="4"/>
        <w:spacing w:after="0" w:line="281"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660" w:right="40" w:hanging="4"/>
        <w:spacing w:after="0" w:line="250" w:lineRule="auto"/>
        <w:tabs>
          <w:tab w:leader="none" w:pos="9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right="340" w:firstLine="8"/>
        <w:spacing w:after="0" w:line="265" w:lineRule="auto"/>
        <w:tabs>
          <w:tab w:leader="none" w:pos="3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65" w:lineRule="auto"/>
        <w:tabs>
          <w:tab w:leader="none" w:pos="97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hanging="324"/>
        <w:spacing w:after="0"/>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 over financial reporting.</w:t>
      </w:r>
    </w:p>
    <w:p>
      <w:pPr>
        <w:spacing w:after="0" w:line="9"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Timothy Fitzsimmons, certify that:</w:t>
      </w:r>
    </w:p>
    <w:p>
      <w:pPr>
        <w:spacing w:after="0" w:line="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CompoSecure, Inc.</w:t>
      </w:r>
    </w:p>
    <w:p>
      <w:pPr>
        <w:spacing w:after="0" w:line="9" w:lineRule="exact"/>
        <w:rPr>
          <w:rFonts w:ascii="Arial" w:cs="Arial" w:eastAsia="Arial" w:hAnsi="Arial"/>
          <w:sz w:val="18"/>
          <w:szCs w:val="18"/>
          <w:color w:val="auto"/>
        </w:rPr>
      </w:pPr>
    </w:p>
    <w:p>
      <w:pPr>
        <w:ind w:right="260" w:firstLine="8"/>
        <w:spacing w:after="0" w:line="281" w:lineRule="auto"/>
        <w:tabs>
          <w:tab w:leader="none" w:pos="3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20" w:firstLine="8"/>
        <w:spacing w:after="0" w:line="250"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660" w:right="60" w:hanging="4"/>
        <w:spacing w:after="0" w:line="250"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60" w:hanging="4"/>
        <w:spacing w:after="0" w:line="250" w:lineRule="auto"/>
        <w:tabs>
          <w:tab w:leader="none" w:pos="9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560" w:hanging="4"/>
        <w:spacing w:after="0" w:line="281"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660" w:right="40" w:hanging="4"/>
        <w:spacing w:after="0" w:line="250" w:lineRule="auto"/>
        <w:tabs>
          <w:tab w:leader="none" w:pos="9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right="340" w:firstLine="8"/>
        <w:spacing w:after="0" w:line="265" w:lineRule="auto"/>
        <w:tabs>
          <w:tab w:leader="none" w:pos="3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65" w:lineRule="auto"/>
        <w:tabs>
          <w:tab w:leader="none" w:pos="97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hanging="324"/>
        <w:spacing w:after="0"/>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 over financial reporting.</w:t>
      </w:r>
    </w:p>
    <w:p>
      <w:pPr>
        <w:spacing w:after="0" w:line="9"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CompoSecure, Inc., a Delaware corporation (the “Company”), on Form 10-Q for the quarter ended March 31, 2022,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spacing w:after="0" w:line="21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Jonathan C. Wilk</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connection with the Quarterly Report of CompoSecure, Inc., a Delaware corporation (the “Company”), on Form 10-Q for the quarter ended March 31, 2022,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spacing w:after="0" w:line="17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Timothy Fitzsimmons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1."/>
      <w:numFmt w:val="decimal"/>
      <w:start w:val="9"/>
    </w:lvl>
  </w:abstractNum>
  <w:abstractNum w:abstractNumId="8">
    <w:nsid w:val="7C83E458"/>
    <w:multiLevelType w:val="hybridMultilevel"/>
    <w:lvl w:ilvl="0">
      <w:lvlJc w:val="left"/>
      <w:lvlText w:val="•"/>
      <w:numFmt w:val="bullet"/>
      <w:start w:val="1"/>
    </w:lvl>
    <w:lvl w:ilvl="1">
      <w:lvlJc w:val="left"/>
      <w:lvlText w:val="◦"/>
      <w:numFmt w:val="bullet"/>
      <w:start w:val="1"/>
    </w:lvl>
  </w:abstractNum>
  <w:abstractNum w:abstractNumId="9">
    <w:nsid w:val="257130A3"/>
    <w:multiLevelType w:val="hybridMultilevel"/>
    <w:lvl w:ilvl="0">
      <w:lvlJc w:val="left"/>
      <w:lvlText w:val="(%1)"/>
      <w:numFmt w:val="lowerRoman"/>
      <w:start w:val="2"/>
    </w:lvl>
  </w:abstractNum>
  <w:abstractNum w:abstractNumId="10">
    <w:nsid w:val="62BBD95A"/>
    <w:multiLevelType w:val="hybridMultilevel"/>
    <w:lvl w:ilvl="0">
      <w:lvlJc w:val="left"/>
      <w:lvlText w:val="%1."/>
      <w:numFmt w:val="decimal"/>
      <w:start w:val="14"/>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0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2022-05-10T05:20:21Z</dcterms:created>
  <dcterms:modified xsi:type="dcterms:W3CDTF">2022-05-10T05:20:21Z</dcterms:modified>
</cp:coreProperties>
</file>