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11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111" w:type="dxa"/>
            <w:tcBorders/>
            <w:vAlign w:val="center"/>
          </w:tcPr>
          <w:p>
            <w:pPr>
              <w:pStyle w:val="TableContents"/>
              <w:bidi w:val="0"/>
              <w:spacing w:before="0" w:after="0"/>
              <w:jc w:val="left"/>
              <w:rPr/>
            </w:pPr>
            <w:r>
              <w:rPr/>
              <w:t xml:space="preserve">UNDER THE SECURITIES EXCHANGE ACT OF 1934 </w:t>
            </w:r>
          </w:p>
        </w:tc>
      </w:tr>
      <w:tr>
        <w:trPr/>
        <w:tc>
          <w:tcPr>
            <w:tcW w:w="711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7111" w:type="dxa"/>
            <w:tcBorders/>
            <w:vAlign w:val="center"/>
          </w:tcPr>
          <w:p>
            <w:pPr>
              <w:pStyle w:val="TableContents"/>
              <w:bidi w:val="0"/>
              <w:spacing w:before="0" w:after="0"/>
              <w:jc w:val="center"/>
              <w:rPr>
                <w:b/>
                <w:color w:val="0000FF"/>
              </w:rPr>
            </w:pPr>
            <w:r>
              <w:rPr>
                <w:b/>
                <w:color w:val="0000FF"/>
              </w:rPr>
              <w:t>Resolute Holdings Management, Inc. ("Issuer")</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111" w:type="dxa"/>
            <w:tcBorders/>
            <w:vAlign w:val="center"/>
          </w:tcPr>
          <w:p>
            <w:pPr>
              <w:pStyle w:val="TableContents"/>
              <w:bidi w:val="0"/>
              <w:spacing w:before="0" w:after="0"/>
              <w:jc w:val="center"/>
              <w:rPr>
                <w:b/>
                <w:color w:val="0000FF"/>
              </w:rPr>
            </w:pPr>
            <w:r>
              <w:rPr>
                <w:b/>
                <w:color w:val="0000FF"/>
              </w:rPr>
              <w:t>Common Stock, par value $0.0001 per share (the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11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11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Locust Wood Capital,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172,500.00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172,500.00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172,500.00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Locust Wood Ultra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40,890.00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40,890.00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40,890.00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Locust Wood Capital Advisers,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474,146.00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720,758.00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720,758.00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 6 includes 260,756 shares of Common Stock held in certain client accounts managed by Locust Wood Capital Advisers, LLC. See Item 2 for more information. Items 8 and 9 include 507,368 shares of Common Stock held in certain client accounts managed by Locust Wood Capital Advisers, LLC. See Item 2 for more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LWCA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474,146.00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720,758.00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720,758.00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 6 includes 260,756 shares of Common Stock held in certain client accounts managed by Locust Wood Capital Advisers, LLC. See Item 2 for more information. Items 8 and 9 include 507,368 shares of Common Stock held in certain client accounts managed by Locust Wood Capital Advisers, LLC. See Item 2 for more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LWCA Partners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474,146.00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720,758.00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720,758.00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 6 includes 260,756 shares of Common Stock held in certain client accounts managed by Locust Wood Capital Advisers, LLC. See Item 2 for more information. Items 8 and 9 include 507,368 shares of Common Stock held in certain client accounts managed by Locust Wood Capital Advisers, LLC. See Item 2 for more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Errico</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474,146.00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720,758.00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720,758.00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 6 includes 260,756 shares of Common Stock held in certain client accounts managed by Locust Wood Capital Advisers, LLC. See Item 2 for more information. Items 8 and 9 include 507,368 shares of Common Stock held in certain client accounts managed by Locust Wood Capital Advisers, LLC. See Item 2 for more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Resolute Holdings Management, Inc.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445 Park Avenue, Suite 5B,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are (collectively, the "Reporting Persons"): * Locust Wood Capital, LP ("LW Capital"); * Locust Wood Ultra Fund, LP ("LW Ultra"); * Locust Wood Capital Advisers, LLC ("LW Capital Advisers"); * LWCA Partners LP ("LWCA"); * LWCA Partners GP LLC ("LWCA GP"); and * Stephen Errico, a United States citizen ("Mr. Errico"). LW Capital Advisers acts as the investment manager of LW Capital and LW Ultra and certain other managed client accounts (the "Managed Accounts"). LWCA acts as the sole member of LW Capital Advisers. LWCA GP acts as the general partner of LWCA. Mr. Errico acts as the managing member of LWCA GP. By virtue of these relationships, LW Capital Advisers, LWCA, LWCA GP and Mr. Errico may be deemed to have dispositive power with respect to shares of Common Stock (as defined below) held in LW Capital, LW Ultra and the Managed Accounts, and voting power with respect to the shares of Common Stock held in LW Capital, LW Ultra and certain of the Managed Accounts.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90 Park Avenue, 27th Floor, New York, NY 10016.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Each of LW Capital, LW Ultra and LWCA is a Delaware limited partnership. Each of LW Capital Advisers and LWCA GP is a Delaware limited liability company. Mr Errico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 (the "Common Stock")</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LW Capital beneficially owned 172,500 shares of Common Stock. As of June 30, 2026, LW Ultra beneficially owned 40,890 shares of Common Stock. LW Capital Advisers, as the investment manager of LW Capital and LW Ultra, may be deemed to have beneficially owned the 172,500 shares of Common Stock held by LW Capital and the 40,890 shares of Common Stock held by LW Ultra, as well as 507,368 shares of Common Stock held by the Managed Accounts. LWCA, as the sole member of LW Capital Advisers, may be deemed to have beneficially owned the 720,758 shares of Common Stock beneficially owned by LW Capital Advisers. LWCA GP, as the general partner of LWCA, may be deemed to have beneficially owned the 720,758 shares of Common Stock beneficially owned by LWCA. Mr. Errico, as the managing member of LWCA GP, may be deemed to have beneficially owned the 720,758 shares of Common Stock beneficially owned by LWCA GP.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 is based on 8,257,442 shares of Common Stock outstanding as of May 6, 2026, as disclosed in the Issuer's Form 10-Q filed with the Securities and Exchange Commission on May 7, 2026. As of June 30, 2026, the Reporting Persons may be deemed to have beneficially owned approximately 8.7% of the outstanding Common Stock.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A on the Schedule 13G filed by the Reporting Persons with the Securities and Exchange Commission on April 3, 2025.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Locust Wood Capital, 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01"/>
              <w:gridCol w:w="9004"/>
            </w:tblGrid>
            <w:tr>
              <w:trPr/>
              <w:tc>
                <w:tcPr>
                  <w:tcW w:w="1201" w:type="dxa"/>
                  <w:tcBorders/>
                  <w:vAlign w:val="center"/>
                </w:tcPr>
                <w:p>
                  <w:pPr>
                    <w:pStyle w:val="TableContents"/>
                    <w:bidi w:val="0"/>
                    <w:spacing w:before="0" w:after="283"/>
                    <w:jc w:val="left"/>
                    <w:rPr/>
                  </w:pPr>
                  <w:r>
                    <w:rPr/>
                    <w:t>Signature:</w:t>
                  </w:r>
                </w:p>
              </w:tc>
              <w:tc>
                <w:tcPr>
                  <w:tcW w:w="9004" w:type="dxa"/>
                  <w:tcBorders/>
                  <w:vAlign w:val="center"/>
                </w:tcPr>
                <w:p>
                  <w:pPr>
                    <w:pStyle w:val="TableContents"/>
                    <w:bidi w:val="0"/>
                    <w:spacing w:before="0" w:after="283"/>
                    <w:jc w:val="left"/>
                    <w:rPr/>
                  </w:pPr>
                  <w:r>
                    <w:rPr/>
                    <w:t>/s/ Stephen Errico</w:t>
                  </w:r>
                </w:p>
              </w:tc>
            </w:tr>
            <w:tr>
              <w:trPr/>
              <w:tc>
                <w:tcPr>
                  <w:tcW w:w="1201" w:type="dxa"/>
                  <w:tcBorders/>
                  <w:vAlign w:val="center"/>
                </w:tcPr>
                <w:p>
                  <w:pPr>
                    <w:pStyle w:val="TableContents"/>
                    <w:bidi w:val="0"/>
                    <w:spacing w:before="0" w:after="283"/>
                    <w:jc w:val="left"/>
                    <w:rPr/>
                  </w:pPr>
                  <w:r>
                    <w:rPr/>
                    <w:t>Name/Title:</w:t>
                  </w:r>
                </w:p>
              </w:tc>
              <w:tc>
                <w:tcPr>
                  <w:tcW w:w="9004" w:type="dxa"/>
                  <w:tcBorders/>
                  <w:vAlign w:val="center"/>
                </w:tcPr>
                <w:p>
                  <w:pPr>
                    <w:pStyle w:val="TableContents"/>
                    <w:bidi w:val="0"/>
                    <w:spacing w:before="0" w:after="283"/>
                    <w:jc w:val="left"/>
                    <w:rPr/>
                  </w:pPr>
                  <w:r>
                    <w:rPr/>
                    <w:t>By: Locust Wood Capital Advisers, LLC, its Inv Mgr By: LWCA Partners LP, its Sole Mbr By: LWCA Partners GP LLC, the GP By: Stephen Errico, Man Mbr</w:t>
                  </w:r>
                </w:p>
              </w:tc>
            </w:tr>
            <w:tr>
              <w:trPr/>
              <w:tc>
                <w:tcPr>
                  <w:tcW w:w="1201" w:type="dxa"/>
                  <w:tcBorders/>
                  <w:vAlign w:val="center"/>
                </w:tcPr>
                <w:p>
                  <w:pPr>
                    <w:pStyle w:val="TableContents"/>
                    <w:bidi w:val="0"/>
                    <w:spacing w:before="0" w:after="283"/>
                    <w:jc w:val="left"/>
                    <w:rPr/>
                  </w:pPr>
                  <w:r>
                    <w:rPr/>
                    <w:t>Date:</w:t>
                  </w:r>
                </w:p>
              </w:tc>
              <w:tc>
                <w:tcPr>
                  <w:tcW w:w="900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Locust Wood Ultra Fund,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01"/>
              <w:gridCol w:w="9004"/>
            </w:tblGrid>
            <w:tr>
              <w:trPr/>
              <w:tc>
                <w:tcPr>
                  <w:tcW w:w="1201" w:type="dxa"/>
                  <w:tcBorders/>
                  <w:vAlign w:val="center"/>
                </w:tcPr>
                <w:p>
                  <w:pPr>
                    <w:pStyle w:val="TableContents"/>
                    <w:bidi w:val="0"/>
                    <w:spacing w:before="0" w:after="283"/>
                    <w:jc w:val="left"/>
                    <w:rPr/>
                  </w:pPr>
                  <w:r>
                    <w:rPr/>
                    <w:t>Signature:</w:t>
                  </w:r>
                </w:p>
              </w:tc>
              <w:tc>
                <w:tcPr>
                  <w:tcW w:w="9004" w:type="dxa"/>
                  <w:tcBorders/>
                  <w:vAlign w:val="center"/>
                </w:tcPr>
                <w:p>
                  <w:pPr>
                    <w:pStyle w:val="TableContents"/>
                    <w:bidi w:val="0"/>
                    <w:spacing w:before="0" w:after="283"/>
                    <w:jc w:val="left"/>
                    <w:rPr/>
                  </w:pPr>
                  <w:r>
                    <w:rPr/>
                    <w:t>/s/ Stephen Errico</w:t>
                  </w:r>
                </w:p>
              </w:tc>
            </w:tr>
            <w:tr>
              <w:trPr/>
              <w:tc>
                <w:tcPr>
                  <w:tcW w:w="1201" w:type="dxa"/>
                  <w:tcBorders/>
                  <w:vAlign w:val="center"/>
                </w:tcPr>
                <w:p>
                  <w:pPr>
                    <w:pStyle w:val="TableContents"/>
                    <w:bidi w:val="0"/>
                    <w:spacing w:before="0" w:after="283"/>
                    <w:jc w:val="left"/>
                    <w:rPr/>
                  </w:pPr>
                  <w:r>
                    <w:rPr/>
                    <w:t>Name/Title:</w:t>
                  </w:r>
                </w:p>
              </w:tc>
              <w:tc>
                <w:tcPr>
                  <w:tcW w:w="9004" w:type="dxa"/>
                  <w:tcBorders/>
                  <w:vAlign w:val="center"/>
                </w:tcPr>
                <w:p>
                  <w:pPr>
                    <w:pStyle w:val="TableContents"/>
                    <w:bidi w:val="0"/>
                    <w:spacing w:before="0" w:after="283"/>
                    <w:jc w:val="left"/>
                    <w:rPr/>
                  </w:pPr>
                  <w:r>
                    <w:rPr/>
                    <w:t>By: Locust Wood Capital Advisers, LLC, its Inv Mgr By: LWCA Partners LP, its Sole Mbr By: LWCA Partners GP LLC, the GP By: Stephen Errico, Man Mbr</w:t>
                  </w:r>
                </w:p>
              </w:tc>
            </w:tr>
            <w:tr>
              <w:trPr/>
              <w:tc>
                <w:tcPr>
                  <w:tcW w:w="1201" w:type="dxa"/>
                  <w:tcBorders/>
                  <w:vAlign w:val="center"/>
                </w:tcPr>
                <w:p>
                  <w:pPr>
                    <w:pStyle w:val="TableContents"/>
                    <w:bidi w:val="0"/>
                    <w:spacing w:before="0" w:after="283"/>
                    <w:jc w:val="left"/>
                    <w:rPr/>
                  </w:pPr>
                  <w:r>
                    <w:rPr/>
                    <w:t>Date:</w:t>
                  </w:r>
                </w:p>
              </w:tc>
              <w:tc>
                <w:tcPr>
                  <w:tcW w:w="900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Locust Wood Capital Advisers,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Stephen Errico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LWCA Partners LP, its Sole Mbr By: LWCA Partners GP LLC, the GP By: Stephen Errico, Man Mbr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LWCA Partners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Stephen Errico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By: LWCA Partners GP LLC, the GP By: Stephen Errico, Man Mbr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LWCA Partners GP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Stephen Errico</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Stephen Errico, Man Mbr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Stephen Errico</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Stephen Errico</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Stephen Errico</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2215</Words>
  <Characters>11097</Characters>
  <CharactersWithSpaces>13202</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