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Resolute Holdings Management,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Thomas R. Knott</w:t>
              <w:br/>
              <w:t>Resolute ManCo Holdings LLC, 445 Park Avenue, Suite 5B</w:t>
              <w:br/>
              <w:t>New York, NY, 10022</w:t>
              <w:br/>
              <w:t>212-256-8405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Resolute ManCo Holdings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4,107,534.00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4,107,534.00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4,107,534.00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52.5 %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in Row (13) is based on 7,819,595 shares of Common Stock that were outstanding as of August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Tungsten 2024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4,180,864.00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4,180,864.00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4,180,864.00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53.5 %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in Row (13) is based on 7,819,595 shares of Common Stock that were outstanding as of August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Thomas R. Knott</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4,107,534.00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4,107,534.00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4,107,534.00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52.5 %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in Row (13) is based on 7,819,595 shares of Common Stock that were outstanding as of August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 323 Holdings,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4,107,534.00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4,107,534.00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4,107,534.00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52.5 %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in Row (13) is based on 7,819,595 shares of Common Stock that were outstanding as of August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John D. Cote</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125,000.00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4,180,864.00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125,000.00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4,180,864.00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4,305,864.00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55.1 %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in Row (13) is based on 7,819,595 shares of Common Stock that were outstanding as of August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14"/>
        <w:gridCol w:w="8886"/>
        <w:gridCol w:w="205"/>
      </w:tblGrid>
      <w:tr>
        <w:trPr/>
        <w:tc>
          <w:tcPr>
            <w:tcW w:w="111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Security and Issuer</w:t>
            </w:r>
          </w:p>
        </w:tc>
        <w:tc>
          <w:tcPr>
            <w:tcW w:w="20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20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Resolute Holdings Management, Inc.</w:t>
            </w:r>
          </w:p>
        </w:tc>
        <w:tc>
          <w:tcPr>
            <w:tcW w:w="20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445 Park Avenue, Suite 5B, New York, NEW YORK , 10022.</w:t>
            </w:r>
          </w:p>
        </w:tc>
        <w:tc>
          <w:tcPr>
            <w:tcW w:w="20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(this "Amendment") to Schedule 13D (as amended, the "Schedule 13D") relates to the Common Stock, par value $0.0001 per share (the "Common Stock"), of Resolute Holdings Management, Inc., a Delaware corporation (the "Issuer"). The percentage change in Row 13 of each table above reflects the effect of a decrease in the aggregate number of shares of Common Stock outstanding, and is not the result of any transaction by the Reporting Persons.</w:t>
            </w:r>
          </w:p>
        </w:tc>
      </w:tr>
      <w:tr>
        <w:trPr/>
        <w:tc>
          <w:tcPr>
            <w:tcW w:w="111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Identity and Background</w:t>
            </w:r>
          </w:p>
        </w:tc>
        <w:tc>
          <w:tcPr>
            <w:tcW w:w="20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0"/>
              <w:jc w:val="left"/>
              <w:rPr/>
            </w:pPr>
            <w:r>
              <w:rPr/>
              <w:t>See Row (1) of each Reporting Person's cover page.</w:t>
            </w:r>
          </w:p>
        </w:tc>
        <w:tc>
          <w:tcPr>
            <w:tcW w:w="20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0"/>
              <w:jc w:val="left"/>
              <w:rPr/>
            </w:pPr>
            <w:r>
              <w:rPr/>
              <w:t>The principal business office of the Reporting Persons is 445 Park Avenue, Suite 5B, New York, NY 10022.</w:t>
            </w:r>
          </w:p>
        </w:tc>
        <w:tc>
          <w:tcPr>
            <w:tcW w:w="20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Source and Amount of Funds or Other Consideration</w:t>
            </w:r>
          </w:p>
        </w:tc>
        <w:tc>
          <w:tcPr>
            <w:tcW w:w="20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Item 3 is hereby amended and supplemented as specified in Annex A.</w:t>
            </w:r>
          </w:p>
        </w:tc>
        <w:tc>
          <w:tcPr>
            <w:tcW w:w="20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Interest in Securities of the Issuer</w:t>
            </w:r>
          </w:p>
        </w:tc>
        <w:tc>
          <w:tcPr>
            <w:tcW w:w="20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0"/>
              <w:jc w:val="left"/>
              <w:rPr/>
            </w:pPr>
            <w:r>
              <w:rPr/>
              <w:t>Item 5(a) is hereby amended and restated to read in its entirety as found in Annex A.</w:t>
            </w:r>
          </w:p>
        </w:tc>
        <w:tc>
          <w:tcPr>
            <w:tcW w:w="20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0"/>
              <w:jc w:val="left"/>
              <w:rPr/>
            </w:pPr>
            <w:r>
              <w:rPr/>
              <w:t>Item 5(a) is hereby amended and restated to read in its entirety as found in Annex A.</w:t>
            </w:r>
          </w:p>
        </w:tc>
        <w:tc>
          <w:tcPr>
            <w:tcW w:w="20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0"/>
              <w:jc w:val="left"/>
              <w:rPr/>
            </w:pPr>
            <w:r>
              <w:rPr/>
              <w:t>None.</w:t>
            </w:r>
          </w:p>
        </w:tc>
        <w:tc>
          <w:tcPr>
            <w:tcW w:w="20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0"/>
              <w:jc w:val="left"/>
              <w:rPr/>
            </w:pPr>
            <w:r>
              <w:rPr/>
              <w:t>None.</w:t>
            </w:r>
          </w:p>
        </w:tc>
        <w:tc>
          <w:tcPr>
            <w:tcW w:w="20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0"/>
              <w:jc w:val="left"/>
              <w:rPr/>
            </w:pPr>
            <w:r>
              <w:rPr/>
              <w:t>Not applicable.</w:t>
            </w:r>
          </w:p>
        </w:tc>
        <w:tc>
          <w:tcPr>
            <w:tcW w:w="20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Material to be Filed as Exhibits.</w:t>
            </w:r>
          </w:p>
        </w:tc>
        <w:tc>
          <w:tcPr>
            <w:tcW w:w="20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Exhibit 3: Joint Filing Agreement, dated as of August 5, 2026, by and among the Reporting Persons. Exhibit 4: Power of Attorney, dated as of August 5, 2026.</w:t>
            </w:r>
          </w:p>
        </w:tc>
        <w:tc>
          <w:tcPr>
            <w:tcW w:w="20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Resolute ManCo Holdings LLC</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John D. Cote, Manager, Tungsten 2024 LLC, managing member of Resolute ManCo Holdings LLC</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Tungsten 2024 LLC</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2"/>
        <w:gridCol w:w="4513"/>
      </w:tblGrid>
      <w:tr>
        <w:trPr/>
        <w:tc>
          <w:tcPr>
            <w:tcW w:w="56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John D. Cote, Manager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513"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Thomas R. Knott</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Thomas R. Knott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Thomas R. Knott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C 323 Holdings, LLC</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5"/>
        <w:gridCol w:w="4410"/>
      </w:tblGrid>
      <w:tr>
        <w:trPr/>
        <w:tc>
          <w:tcPr>
            <w:tcW w:w="57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Thomas R. Knott</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Thomas R. Knott, Manager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410" w:type="dxa"/>
            <w:tcBorders/>
            <w:vAlign w:val="center"/>
          </w:tcPr>
          <w:p>
            <w:pPr>
              <w:pStyle w:val="TableContents"/>
              <w:bidi w:val="0"/>
              <w:spacing w:before="0" w:after="283"/>
              <w:jc w:val="left"/>
              <w:rPr>
                <w:sz w:val="4"/>
                <w:szCs w:val="4"/>
              </w:rPr>
            </w:pPr>
            <w:r>
              <w:rPr>
                <w:sz w:val="4"/>
                <w:szCs w:val="4"/>
              </w:rPr>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John D. Cote</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79"/>
        <w:gridCol w:w="4526"/>
      </w:tblGrid>
      <w:tr>
        <w:trPr/>
        <w:tc>
          <w:tcPr>
            <w:tcW w:w="56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John D. Cote</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526" w:type="dxa"/>
            <w:tcBorders/>
            <w:vAlign w:val="center"/>
          </w:tcPr>
          <w:p>
            <w:pPr>
              <w:pStyle w:val="TableContents"/>
              <w:bidi w:val="0"/>
              <w:spacing w:before="0" w:after="283"/>
              <w:jc w:val="left"/>
              <w:rPr>
                <w:sz w:val="4"/>
                <w:szCs w:val="4"/>
              </w:rPr>
            </w:pPr>
            <w:r>
              <w:rPr>
                <w:sz w:val="4"/>
                <w:szCs w:val="4"/>
              </w:rPr>
            </w:r>
          </w:p>
        </w:tc>
      </w:tr>
    </w:tbl>
    <w:tbl>
      <w:tblPr>
        <w:tblW w:w="4306" w:type="dxa"/>
        <w:jc w:val="left"/>
        <w:tblInd w:w="0" w:type="dxa"/>
        <w:tblLayout w:type="fixed"/>
        <w:tblCellMar>
          <w:top w:w="28" w:type="dxa"/>
          <w:left w:w="28" w:type="dxa"/>
          <w:bottom w:w="28" w:type="dxa"/>
          <w:right w:w="28" w:type="dxa"/>
        </w:tblCellMar>
      </w:tblPr>
      <w:tblGrid>
        <w:gridCol w:w="4306"/>
      </w:tblGrid>
      <w:tr>
        <w:trPr/>
        <w:tc>
          <w:tcPr>
            <w:tcW w:w="4306"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 By: /s/ Thomas R. Knott, Attorney-in-fact</w:t>
            </w:r>
          </w:p>
        </w:tc>
      </w:tr>
    </w:tbl>
    <w:p>
      <w:pPr>
        <w:pStyle w:val="TextBody"/>
        <w:bidi w:val="0"/>
        <w:spacing w:before="0" w:after="240"/>
        <w:ind w:left="0" w:right="0" w:firstLine="600"/>
        <w:jc w:val="right"/>
        <w:rPr>
          <w:rFonts w:ascii="Times New Roman;Times;Serif" w:hAnsi="Times New Roman;Times;Serif"/>
          <w:b/>
          <w:i w:val="false"/>
          <w:caps w:val="false"/>
          <w:smallCaps w:val="false"/>
          <w:sz w:val="20"/>
        </w:rPr>
      </w:pPr>
      <w:bookmarkStart w:id="30" w:name="eh260817299_annexa.htm"/>
      <w:bookmarkStart w:id="31" w:name="kseh260817299_annexa"/>
      <w:bookmarkEnd w:id="30"/>
      <w:bookmarkEnd w:id="31"/>
      <w:r>
        <w:rPr>
          <w:rFonts w:ascii="Times New Roman;Times;Serif" w:hAnsi="Times New Roman;Times;Serif"/>
          <w:b/>
          <w:i w:val="false"/>
          <w:caps w:val="false"/>
          <w:smallCaps w:val="false"/>
          <w:sz w:val="20"/>
        </w:rPr>
        <w:t>ANNEX A</w:t>
      </w:r>
      <w:r>
        <w:br w:type="page"/>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with respect to the ownership of the Common Stock of the Issuer by the persons filing this Amendment No. 2 is provided as of August 6, 2026:</w:t>
      </w:r>
    </w:p>
    <w:p>
      <w:pPr>
        <w:pStyle w:val="TextBody"/>
        <w:bidi w:val="0"/>
        <w:jc w:val="left"/>
        <w:rPr>
          <w:caps w:val="false"/>
          <w:smallCaps w:val="false"/>
        </w:rPr>
      </w:pPr>
      <w:r>
        <w:rPr>
          <w:caps w:val="false"/>
          <w:smallCaps w:val="false"/>
        </w:rPr>
        <w:t> </w:t>
      </w:r>
    </w:p>
    <w:tbl>
      <w:tblPr>
        <w:tblW w:w="10100" w:type="dxa"/>
        <w:jc w:val="left"/>
        <w:tblInd w:w="0" w:type="dxa"/>
        <w:tblLayout w:type="fixed"/>
        <w:tblCellMar>
          <w:top w:w="0" w:type="dxa"/>
          <w:left w:w="0" w:type="dxa"/>
          <w:bottom w:w="28" w:type="dxa"/>
          <w:right w:w="0" w:type="dxa"/>
        </w:tblCellMar>
      </w:tblPr>
      <w:tblGrid>
        <w:gridCol w:w="2840"/>
        <w:gridCol w:w="60"/>
        <w:gridCol w:w="60"/>
        <w:gridCol w:w="845"/>
        <w:gridCol w:w="60"/>
        <w:gridCol w:w="60"/>
        <w:gridCol w:w="60"/>
        <w:gridCol w:w="695"/>
        <w:gridCol w:w="245"/>
        <w:gridCol w:w="60"/>
        <w:gridCol w:w="60"/>
        <w:gridCol w:w="845"/>
        <w:gridCol w:w="60"/>
        <w:gridCol w:w="60"/>
        <w:gridCol w:w="60"/>
        <w:gridCol w:w="695"/>
        <w:gridCol w:w="245"/>
        <w:gridCol w:w="60"/>
        <w:gridCol w:w="60"/>
        <w:gridCol w:w="845"/>
        <w:gridCol w:w="60"/>
        <w:gridCol w:w="60"/>
        <w:gridCol w:w="60"/>
        <w:gridCol w:w="845"/>
        <w:gridCol w:w="60"/>
        <w:gridCol w:w="60"/>
        <w:gridCol w:w="91"/>
        <w:gridCol w:w="581"/>
        <w:gridCol w:w="308"/>
      </w:tblGrid>
      <w:tr>
        <w:trPr/>
        <w:tc>
          <w:tcPr>
            <w:tcW w:w="2840" w:type="dxa"/>
            <w:tcBorders>
              <w:bottom w:val="single" w:sz="8" w:space="0" w:color="000000"/>
            </w:tcBorders>
            <w:vAlign w:val="center"/>
          </w:tcPr>
          <w:p>
            <w:pPr>
              <w:pStyle w:val="TableContents"/>
              <w:bidi w:val="0"/>
              <w:spacing w:before="0" w:after="283"/>
              <w:jc w:val="left"/>
              <w:rPr>
                <w:b/>
                <w:sz w:val="20"/>
              </w:rPr>
            </w:pPr>
            <w:r>
              <w:rPr>
                <w:b/>
                <w:sz w:val="20"/>
              </w:rPr>
              <w:t>Reporting Persons</w:t>
            </w:r>
          </w:p>
        </w:tc>
        <w:tc>
          <w:tcPr>
            <w:tcW w:w="60" w:type="dxa"/>
            <w:tcBorders/>
            <w:tcMar>
              <w:bottom w:w="0" w:type="dxa"/>
            </w:tcMar>
            <w:vAlign w:val="center"/>
          </w:tcPr>
          <w:p>
            <w:pPr>
              <w:pStyle w:val="TableContents"/>
              <w:bidi w:val="0"/>
              <w:spacing w:before="0" w:after="283"/>
              <w:jc w:val="left"/>
              <w:rPr/>
            </w:pPr>
            <w:r>
              <w:rPr/>
              <w:t> </w:t>
            </w:r>
          </w:p>
        </w:tc>
        <w:tc>
          <w:tcPr>
            <w:tcW w:w="965" w:type="dxa"/>
            <w:gridSpan w:val="3"/>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Held</w:t>
              <w:br/>
              <w:t>Directly</w:t>
            </w:r>
          </w:p>
        </w:tc>
        <w:tc>
          <w:tcPr>
            <w:tcW w:w="60" w:type="dxa"/>
            <w:tcBorders/>
            <w:tcMar>
              <w:bottom w:w="0" w:type="dxa"/>
            </w:tcMar>
            <w:vAlign w:val="center"/>
          </w:tcPr>
          <w:p>
            <w:pPr>
              <w:pStyle w:val="TableContents"/>
              <w:bidi w:val="0"/>
              <w:spacing w:before="0" w:after="283"/>
              <w:jc w:val="left"/>
              <w:rPr/>
            </w:pPr>
            <w:r>
              <w:rPr/>
              <w:t> </w:t>
            </w:r>
          </w:p>
        </w:tc>
        <w:tc>
          <w:tcPr>
            <w:tcW w:w="1000" w:type="dxa"/>
            <w:gridSpan w:val="3"/>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br/>
              <w:t>Power</w:t>
            </w:r>
          </w:p>
        </w:tc>
        <w:tc>
          <w:tcPr>
            <w:tcW w:w="60" w:type="dxa"/>
            <w:tcBorders/>
            <w:tcMar>
              <w:bottom w:w="0" w:type="dxa"/>
            </w:tcMar>
            <w:vAlign w:val="center"/>
          </w:tcPr>
          <w:p>
            <w:pPr>
              <w:pStyle w:val="TableContents"/>
              <w:bidi w:val="0"/>
              <w:spacing w:before="0" w:after="283"/>
              <w:jc w:val="left"/>
              <w:rPr/>
            </w:pPr>
            <w:r>
              <w:rPr/>
              <w:t> </w:t>
            </w:r>
          </w:p>
        </w:tc>
        <w:tc>
          <w:tcPr>
            <w:tcW w:w="965" w:type="dxa"/>
            <w:gridSpan w:val="3"/>
            <w:tcBorders>
              <w:bottom w:val="single" w:sz="8" w:space="0" w:color="000000"/>
            </w:tcBorders>
            <w:vAlign w:val="center"/>
          </w:tcPr>
          <w:p>
            <w:pPr>
              <w:pStyle w:val="TableContents"/>
              <w:bidi w:val="0"/>
              <w:spacing w:before="0" w:after="283"/>
              <w:jc w:val="center"/>
              <w:rPr>
                <w:b/>
                <w:sz w:val="20"/>
              </w:rPr>
            </w:pPr>
            <w:r>
              <w:rPr>
                <w:b/>
                <w:sz w:val="20"/>
              </w:rPr>
              <w:t>Shared</w:t>
              <w:br/>
              <w:t>Voting</w:t>
              <w:br/>
              <w:t>Power</w:t>
            </w:r>
          </w:p>
        </w:tc>
        <w:tc>
          <w:tcPr>
            <w:tcW w:w="60" w:type="dxa"/>
            <w:tcBorders/>
            <w:tcMar>
              <w:bottom w:w="0" w:type="dxa"/>
            </w:tcMar>
            <w:vAlign w:val="center"/>
          </w:tcPr>
          <w:p>
            <w:pPr>
              <w:pStyle w:val="TableContents"/>
              <w:bidi w:val="0"/>
              <w:spacing w:before="0" w:after="283"/>
              <w:jc w:val="left"/>
              <w:rPr/>
            </w:pPr>
            <w:r>
              <w:rPr/>
              <w:t> </w:t>
            </w:r>
          </w:p>
        </w:tc>
        <w:tc>
          <w:tcPr>
            <w:tcW w:w="1000" w:type="dxa"/>
            <w:gridSpan w:val="3"/>
            <w:tcBorders>
              <w:bottom w:val="single" w:sz="8" w:space="0" w:color="000000"/>
            </w:tcBorders>
            <w:vAlign w:val="center"/>
          </w:tcPr>
          <w:p>
            <w:pPr>
              <w:pStyle w:val="TableContents"/>
              <w:bidi w:val="0"/>
              <w:spacing w:before="0" w:after="283"/>
              <w:jc w:val="center"/>
              <w:rPr>
                <w:b/>
                <w:sz w:val="20"/>
              </w:rPr>
            </w:pPr>
            <w:r>
              <w:rPr>
                <w:b/>
                <w:sz w:val="20"/>
              </w:rPr>
              <w:t>Sole</w:t>
              <w:br/>
              <w:t>Dispositive</w:t>
              <w:br/>
              <w:t>Power</w:t>
            </w:r>
          </w:p>
        </w:tc>
        <w:tc>
          <w:tcPr>
            <w:tcW w:w="60" w:type="dxa"/>
            <w:tcBorders/>
            <w:tcMar>
              <w:bottom w:w="0" w:type="dxa"/>
            </w:tcMar>
            <w:vAlign w:val="center"/>
          </w:tcPr>
          <w:p>
            <w:pPr>
              <w:pStyle w:val="TableContents"/>
              <w:bidi w:val="0"/>
              <w:spacing w:before="0" w:after="283"/>
              <w:jc w:val="left"/>
              <w:rPr/>
            </w:pPr>
            <w:r>
              <w:rPr/>
              <w:t> </w:t>
            </w:r>
          </w:p>
        </w:tc>
        <w:tc>
          <w:tcPr>
            <w:tcW w:w="965" w:type="dxa"/>
            <w:gridSpan w:val="3"/>
            <w:tcBorders>
              <w:bottom w:val="single" w:sz="8" w:space="0" w:color="000000"/>
            </w:tcBorders>
            <w:vAlign w:val="center"/>
          </w:tcPr>
          <w:p>
            <w:pPr>
              <w:pStyle w:val="TableContents"/>
              <w:bidi w:val="0"/>
              <w:spacing w:before="0" w:after="283"/>
              <w:jc w:val="center"/>
              <w:rPr>
                <w:b/>
                <w:sz w:val="20"/>
              </w:rPr>
            </w:pPr>
            <w:r>
              <w:rPr>
                <w:b/>
                <w:sz w:val="20"/>
              </w:rPr>
              <w:t>Shared</w:t>
              <w:br/>
              <w:t>Dispositive</w:t>
              <w:br/>
              <w:t>Power</w:t>
            </w:r>
          </w:p>
        </w:tc>
        <w:tc>
          <w:tcPr>
            <w:tcW w:w="60" w:type="dxa"/>
            <w:tcBorders/>
            <w:tcMar>
              <w:bottom w:w="0" w:type="dxa"/>
            </w:tcMar>
            <w:vAlign w:val="center"/>
          </w:tcPr>
          <w:p>
            <w:pPr>
              <w:pStyle w:val="TableContents"/>
              <w:bidi w:val="0"/>
              <w:spacing w:before="0" w:after="283"/>
              <w:jc w:val="left"/>
              <w:rPr/>
            </w:pPr>
            <w:r>
              <w:rPr/>
              <w:t> </w:t>
            </w:r>
          </w:p>
        </w:tc>
        <w:tc>
          <w:tcPr>
            <w:tcW w:w="965" w:type="dxa"/>
            <w:gridSpan w:val="3"/>
            <w:tcBorders>
              <w:bottom w:val="single" w:sz="8" w:space="0" w:color="000000"/>
            </w:tcBorders>
            <w:vAlign w:val="center"/>
          </w:tcPr>
          <w:p>
            <w:pPr>
              <w:pStyle w:val="TableContents"/>
              <w:bidi w:val="0"/>
              <w:spacing w:before="0" w:after="283"/>
              <w:jc w:val="center"/>
              <w:rPr>
                <w:b/>
                <w:sz w:val="20"/>
              </w:rPr>
            </w:pPr>
            <w:r>
              <w:rPr>
                <w:b/>
                <w:sz w:val="20"/>
              </w:rPr>
              <w:t>Beneficial</w:t>
              <w:br/>
              <w:t>Ownership</w:t>
            </w:r>
          </w:p>
        </w:tc>
        <w:tc>
          <w:tcPr>
            <w:tcW w:w="60" w:type="dxa"/>
            <w:tcBorders/>
            <w:tcMar>
              <w:bottom w:w="0" w:type="dxa"/>
            </w:tcMar>
            <w:vAlign w:val="center"/>
          </w:tcPr>
          <w:p>
            <w:pPr>
              <w:pStyle w:val="TableContents"/>
              <w:bidi w:val="0"/>
              <w:spacing w:before="0" w:after="283"/>
              <w:jc w:val="left"/>
              <w:rPr/>
            </w:pPr>
            <w:r>
              <w:rPr/>
              <w:t> </w:t>
            </w:r>
          </w:p>
        </w:tc>
        <w:tc>
          <w:tcPr>
            <w:tcW w:w="980" w:type="dxa"/>
            <w:gridSpan w:val="3"/>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br/>
              <w:t>of Class</w:t>
            </w:r>
          </w:p>
          <w:p>
            <w:pPr>
              <w:pStyle w:val="TableContents"/>
              <w:bidi w:val="0"/>
              <w:spacing w:before="0" w:after="283"/>
              <w:jc w:val="center"/>
              <w:rPr>
                <w:rFonts w:ascii="Times New Roman;Times;Serif" w:hAnsi="Times New Roman;Times;Serif"/>
                <w:b/>
                <w:i w:val="false"/>
                <w:caps w:val="false"/>
                <w:smallCaps w:val="false"/>
                <w:position w:val="7"/>
                <w:sz w:val="16"/>
                <w:sz w:val="20"/>
              </w:rPr>
            </w:pPr>
            <w:r>
              <w:rPr>
                <w:rFonts w:ascii="Times New Roman;Times;Serif" w:hAnsi="Times New Roman;Times;Serif"/>
                <w:b/>
                <w:i w:val="false"/>
                <w:caps w:val="false"/>
                <w:smallCaps w:val="false"/>
                <w:position w:val="7"/>
                <w:sz w:val="16"/>
                <w:sz w:val="20"/>
              </w:rPr>
              <w:t>(3)</w:t>
            </w:r>
          </w:p>
        </w:tc>
      </w:tr>
      <w:tr>
        <w:trPr/>
        <w:tc>
          <w:tcPr>
            <w:tcW w:w="2840" w:type="dxa"/>
            <w:tcBorders/>
            <w:shd w:fill="C6F4F9" w:val="clear"/>
            <w:tcMar>
              <w:bottom w:w="0" w:type="dxa"/>
            </w:tcMar>
            <w:vAlign w:val="center"/>
          </w:tcPr>
          <w:p>
            <w:pPr>
              <w:pStyle w:val="TableContents"/>
              <w:bidi w:val="0"/>
              <w:spacing w:before="0" w:after="283"/>
              <w:jc w:val="left"/>
              <w:rPr>
                <w:sz w:val="20"/>
              </w:rPr>
            </w:pPr>
            <w:r>
              <w:rPr>
                <w:sz w:val="20"/>
              </w:rPr>
              <w:t>Resolute ManCo Holdings LLC</w:t>
            </w:r>
            <w:r>
              <w:rPr>
                <w:position w:val="7"/>
                <w:sz w:val="16"/>
                <w:sz w:val="20"/>
              </w:rPr>
              <w:t>(1)</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845" w:type="dxa"/>
            <w:tcBorders/>
            <w:shd w:fill="C6F4F9" w:val="clear"/>
            <w:tcMar>
              <w:bottom w:w="0" w:type="dxa"/>
            </w:tcMar>
            <w:vAlign w:val="center"/>
          </w:tcPr>
          <w:p>
            <w:pPr>
              <w:pStyle w:val="TableContents"/>
              <w:bidi w:val="0"/>
              <w:spacing w:before="0" w:after="283"/>
              <w:jc w:val="right"/>
              <w:rPr>
                <w:sz w:val="20"/>
              </w:rPr>
            </w:pPr>
            <w:r>
              <w:rPr>
                <w:sz w:val="20"/>
              </w:rPr>
              <w:t>4,107,534</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695" w:type="dxa"/>
            <w:tcBorders/>
            <w:shd w:fill="C6F4F9" w:val="clear"/>
            <w:tcMar>
              <w:bottom w:w="0" w:type="dxa"/>
            </w:tcMar>
            <w:vAlign w:val="center"/>
          </w:tcPr>
          <w:p>
            <w:pPr>
              <w:pStyle w:val="TableContents"/>
              <w:bidi w:val="0"/>
              <w:spacing w:before="0" w:after="283"/>
              <w:jc w:val="right"/>
              <w:rPr>
                <w:sz w:val="20"/>
              </w:rPr>
            </w:pPr>
            <w:r>
              <w:rPr>
                <w:sz w:val="20"/>
              </w:rPr>
              <w:t>0</w:t>
            </w:r>
          </w:p>
        </w:tc>
        <w:tc>
          <w:tcPr>
            <w:tcW w:w="245"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845" w:type="dxa"/>
            <w:tcBorders/>
            <w:shd w:fill="C6F4F9" w:val="clear"/>
            <w:tcMar>
              <w:bottom w:w="0" w:type="dxa"/>
            </w:tcMar>
            <w:vAlign w:val="center"/>
          </w:tcPr>
          <w:p>
            <w:pPr>
              <w:pStyle w:val="TableContents"/>
              <w:bidi w:val="0"/>
              <w:spacing w:before="0" w:after="283"/>
              <w:jc w:val="right"/>
              <w:rPr>
                <w:sz w:val="20"/>
              </w:rPr>
            </w:pPr>
            <w:r>
              <w:rPr>
                <w:sz w:val="20"/>
              </w:rPr>
              <w:t>4,107,534</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695" w:type="dxa"/>
            <w:tcBorders/>
            <w:shd w:fill="C6F4F9" w:val="clear"/>
            <w:tcMar>
              <w:bottom w:w="0" w:type="dxa"/>
            </w:tcMar>
            <w:vAlign w:val="center"/>
          </w:tcPr>
          <w:p>
            <w:pPr>
              <w:pStyle w:val="TableContents"/>
              <w:bidi w:val="0"/>
              <w:spacing w:before="0" w:after="283"/>
              <w:jc w:val="right"/>
              <w:rPr>
                <w:sz w:val="20"/>
              </w:rPr>
            </w:pPr>
            <w:r>
              <w:rPr>
                <w:sz w:val="20"/>
              </w:rPr>
              <w:t>0</w:t>
            </w:r>
          </w:p>
        </w:tc>
        <w:tc>
          <w:tcPr>
            <w:tcW w:w="245"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845" w:type="dxa"/>
            <w:tcBorders/>
            <w:shd w:fill="C6F4F9" w:val="clear"/>
            <w:tcMar>
              <w:bottom w:w="0" w:type="dxa"/>
            </w:tcMar>
            <w:vAlign w:val="center"/>
          </w:tcPr>
          <w:p>
            <w:pPr>
              <w:pStyle w:val="TableContents"/>
              <w:bidi w:val="0"/>
              <w:spacing w:before="0" w:after="283"/>
              <w:jc w:val="right"/>
              <w:rPr>
                <w:sz w:val="20"/>
              </w:rPr>
            </w:pPr>
            <w:r>
              <w:rPr>
                <w:sz w:val="20"/>
              </w:rPr>
              <w:t>4,107,534</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845" w:type="dxa"/>
            <w:tcBorders/>
            <w:shd w:fill="C6F4F9" w:val="clear"/>
            <w:tcMar>
              <w:bottom w:w="0" w:type="dxa"/>
            </w:tcMar>
            <w:vAlign w:val="center"/>
          </w:tcPr>
          <w:p>
            <w:pPr>
              <w:pStyle w:val="TableContents"/>
              <w:bidi w:val="0"/>
              <w:spacing w:before="0" w:after="283"/>
              <w:jc w:val="right"/>
              <w:rPr>
                <w:sz w:val="20"/>
              </w:rPr>
            </w:pPr>
            <w:r>
              <w:rPr>
                <w:sz w:val="20"/>
              </w:rPr>
              <w:t>4,107,534</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91" w:type="dxa"/>
            <w:tcBorders/>
            <w:shd w:fill="C6F4F9" w:val="clear"/>
            <w:tcMar>
              <w:bottom w:w="0" w:type="dxa"/>
            </w:tcMar>
            <w:vAlign w:val="center"/>
          </w:tcPr>
          <w:p>
            <w:pPr>
              <w:pStyle w:val="TableContents"/>
              <w:bidi w:val="0"/>
              <w:spacing w:before="0" w:after="283"/>
              <w:jc w:val="left"/>
              <w:rPr/>
            </w:pPr>
            <w:r>
              <w:rPr/>
              <w:t> </w:t>
            </w:r>
          </w:p>
        </w:tc>
        <w:tc>
          <w:tcPr>
            <w:tcW w:w="581" w:type="dxa"/>
            <w:tcBorders/>
            <w:shd w:fill="C6F4F9" w:val="clear"/>
            <w:tcMar>
              <w:bottom w:w="0" w:type="dxa"/>
            </w:tcMar>
            <w:vAlign w:val="center"/>
          </w:tcPr>
          <w:p>
            <w:pPr>
              <w:pStyle w:val="TableContents"/>
              <w:bidi w:val="0"/>
              <w:spacing w:before="0" w:after="283"/>
              <w:jc w:val="right"/>
              <w:rPr>
                <w:sz w:val="20"/>
              </w:rPr>
            </w:pPr>
            <w:r>
              <w:rPr>
                <w:sz w:val="20"/>
              </w:rPr>
              <w:t>52.5</w:t>
            </w:r>
          </w:p>
        </w:tc>
        <w:tc>
          <w:tcPr>
            <w:tcW w:w="308" w:type="dxa"/>
            <w:tcBorders/>
            <w:shd w:fill="C6F4F9" w:val="clear"/>
            <w:tcMar>
              <w:bottom w:w="0" w:type="dxa"/>
            </w:tcMar>
            <w:vAlign w:val="center"/>
          </w:tcPr>
          <w:p>
            <w:pPr>
              <w:pStyle w:val="TableContents"/>
              <w:bidi w:val="0"/>
              <w:spacing w:before="0" w:after="283"/>
              <w:jc w:val="left"/>
              <w:rPr>
                <w:sz w:val="20"/>
              </w:rPr>
            </w:pPr>
            <w:r>
              <w:rPr>
                <w:sz w:val="20"/>
              </w:rPr>
              <w:t>%</w:t>
            </w:r>
          </w:p>
        </w:tc>
      </w:tr>
      <w:tr>
        <w:trPr/>
        <w:tc>
          <w:tcPr>
            <w:tcW w:w="2840" w:type="dxa"/>
            <w:tcBorders/>
            <w:shd w:fill="FFFFFF" w:val="clear"/>
            <w:tcMar>
              <w:bottom w:w="0" w:type="dxa"/>
            </w:tcMar>
            <w:vAlign w:val="center"/>
          </w:tcPr>
          <w:p>
            <w:pPr>
              <w:pStyle w:val="TableContents"/>
              <w:bidi w:val="0"/>
              <w:spacing w:before="0" w:after="283"/>
              <w:jc w:val="left"/>
              <w:rPr>
                <w:sz w:val="20"/>
              </w:rPr>
            </w:pPr>
            <w:r>
              <w:rPr>
                <w:sz w:val="20"/>
              </w:rPr>
              <w:t>Tungsten 2024 LLC</w:t>
            </w:r>
            <w:r>
              <w:rPr>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73,330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0</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4,180,864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0</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4,180,864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4,180,864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581" w:type="dxa"/>
            <w:tcBorders/>
            <w:shd w:fill="FFFFFF" w:val="clear"/>
            <w:tcMar>
              <w:bottom w:w="0" w:type="dxa"/>
            </w:tcMar>
            <w:vAlign w:val="center"/>
          </w:tcPr>
          <w:p>
            <w:pPr>
              <w:pStyle w:val="TableContents"/>
              <w:bidi w:val="0"/>
              <w:spacing w:before="0" w:after="283"/>
              <w:jc w:val="right"/>
              <w:rPr>
                <w:sz w:val="20"/>
              </w:rPr>
            </w:pPr>
            <w:r>
              <w:rPr>
                <w:sz w:val="20"/>
              </w:rPr>
              <w:t>53.5</w:t>
            </w:r>
          </w:p>
        </w:tc>
        <w:tc>
          <w:tcPr>
            <w:tcW w:w="308"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840" w:type="dxa"/>
            <w:tcBorders/>
            <w:shd w:fill="C6F4F9" w:val="clear"/>
            <w:tcMar>
              <w:bottom w:w="0" w:type="dxa"/>
            </w:tcMar>
            <w:vAlign w:val="center"/>
          </w:tcPr>
          <w:p>
            <w:pPr>
              <w:pStyle w:val="TableContents"/>
              <w:bidi w:val="0"/>
              <w:spacing w:before="0" w:after="283"/>
              <w:jc w:val="left"/>
              <w:rPr>
                <w:sz w:val="20"/>
              </w:rPr>
            </w:pPr>
            <w:r>
              <w:rPr>
                <w:sz w:val="20"/>
              </w:rPr>
              <w:t>Thomas Knott</w:t>
            </w:r>
            <w:r>
              <w:rPr>
                <w:position w:val="7"/>
                <w:sz w:val="16"/>
                <w:sz w:val="20"/>
              </w:rPr>
              <w:t>(1)</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845" w:type="dxa"/>
            <w:tcBorders/>
            <w:shd w:fill="C6F4F9" w:val="clear"/>
            <w:tcMar>
              <w:bottom w:w="0" w:type="dxa"/>
            </w:tcMar>
            <w:vAlign w:val="center"/>
          </w:tcPr>
          <w:p>
            <w:pPr>
              <w:pStyle w:val="TableContents"/>
              <w:bidi w:val="0"/>
              <w:spacing w:before="0" w:after="283"/>
              <w:jc w:val="right"/>
              <w:rPr>
                <w:sz w:val="20"/>
              </w:rPr>
            </w:pPr>
            <w:r>
              <w:rPr>
                <w:sz w:val="20"/>
              </w:rPr>
              <w:t>0</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695" w:type="dxa"/>
            <w:tcBorders/>
            <w:shd w:fill="C6F4F9" w:val="clear"/>
            <w:tcMar>
              <w:bottom w:w="0" w:type="dxa"/>
            </w:tcMar>
            <w:vAlign w:val="center"/>
          </w:tcPr>
          <w:p>
            <w:pPr>
              <w:pStyle w:val="TableContents"/>
              <w:bidi w:val="0"/>
              <w:spacing w:before="0" w:after="283"/>
              <w:jc w:val="right"/>
              <w:rPr>
                <w:sz w:val="20"/>
              </w:rPr>
            </w:pPr>
            <w:r>
              <w:rPr>
                <w:sz w:val="20"/>
              </w:rPr>
              <w:t>0</w:t>
            </w:r>
          </w:p>
        </w:tc>
        <w:tc>
          <w:tcPr>
            <w:tcW w:w="245"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845" w:type="dxa"/>
            <w:tcBorders/>
            <w:shd w:fill="C6F4F9" w:val="clear"/>
            <w:tcMar>
              <w:bottom w:w="0" w:type="dxa"/>
            </w:tcMar>
            <w:vAlign w:val="center"/>
          </w:tcPr>
          <w:p>
            <w:pPr>
              <w:pStyle w:val="TableContents"/>
              <w:bidi w:val="0"/>
              <w:spacing w:before="0" w:after="283"/>
              <w:jc w:val="right"/>
              <w:rPr>
                <w:sz w:val="20"/>
              </w:rPr>
            </w:pPr>
            <w:r>
              <w:rPr>
                <w:sz w:val="20"/>
              </w:rPr>
              <w:t>4,107,534</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695" w:type="dxa"/>
            <w:tcBorders/>
            <w:shd w:fill="C6F4F9" w:val="clear"/>
            <w:tcMar>
              <w:bottom w:w="0" w:type="dxa"/>
            </w:tcMar>
            <w:vAlign w:val="center"/>
          </w:tcPr>
          <w:p>
            <w:pPr>
              <w:pStyle w:val="TableContents"/>
              <w:bidi w:val="0"/>
              <w:spacing w:before="0" w:after="283"/>
              <w:jc w:val="right"/>
              <w:rPr>
                <w:sz w:val="20"/>
              </w:rPr>
            </w:pPr>
            <w:r>
              <w:rPr>
                <w:sz w:val="20"/>
              </w:rPr>
              <w:t>0</w:t>
            </w:r>
          </w:p>
        </w:tc>
        <w:tc>
          <w:tcPr>
            <w:tcW w:w="245"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845" w:type="dxa"/>
            <w:tcBorders/>
            <w:shd w:fill="C6F4F9" w:val="clear"/>
            <w:tcMar>
              <w:bottom w:w="0" w:type="dxa"/>
            </w:tcMar>
            <w:vAlign w:val="center"/>
          </w:tcPr>
          <w:p>
            <w:pPr>
              <w:pStyle w:val="TableContents"/>
              <w:bidi w:val="0"/>
              <w:spacing w:before="0" w:after="283"/>
              <w:jc w:val="right"/>
              <w:rPr>
                <w:sz w:val="20"/>
              </w:rPr>
            </w:pPr>
            <w:r>
              <w:rPr>
                <w:sz w:val="20"/>
              </w:rPr>
              <w:t>4,107,534</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845" w:type="dxa"/>
            <w:tcBorders/>
            <w:shd w:fill="C6F4F9" w:val="clear"/>
            <w:tcMar>
              <w:bottom w:w="0" w:type="dxa"/>
            </w:tcMar>
            <w:vAlign w:val="center"/>
          </w:tcPr>
          <w:p>
            <w:pPr>
              <w:pStyle w:val="TableContents"/>
              <w:bidi w:val="0"/>
              <w:spacing w:before="0" w:after="283"/>
              <w:jc w:val="right"/>
              <w:rPr>
                <w:sz w:val="20"/>
              </w:rPr>
            </w:pPr>
            <w:r>
              <w:rPr>
                <w:sz w:val="20"/>
              </w:rPr>
              <w:t>4,107,534</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91" w:type="dxa"/>
            <w:tcBorders/>
            <w:shd w:fill="C6F4F9" w:val="clear"/>
            <w:tcMar>
              <w:bottom w:w="0" w:type="dxa"/>
            </w:tcMar>
            <w:vAlign w:val="center"/>
          </w:tcPr>
          <w:p>
            <w:pPr>
              <w:pStyle w:val="TableContents"/>
              <w:bidi w:val="0"/>
              <w:spacing w:before="0" w:after="283"/>
              <w:jc w:val="left"/>
              <w:rPr/>
            </w:pPr>
            <w:r>
              <w:rPr/>
              <w:t> </w:t>
            </w:r>
          </w:p>
        </w:tc>
        <w:tc>
          <w:tcPr>
            <w:tcW w:w="581" w:type="dxa"/>
            <w:tcBorders/>
            <w:shd w:fill="C6F4F9" w:val="clear"/>
            <w:tcMar>
              <w:bottom w:w="0" w:type="dxa"/>
            </w:tcMar>
            <w:vAlign w:val="center"/>
          </w:tcPr>
          <w:p>
            <w:pPr>
              <w:pStyle w:val="TableContents"/>
              <w:bidi w:val="0"/>
              <w:spacing w:before="0" w:after="283"/>
              <w:jc w:val="right"/>
              <w:rPr>
                <w:sz w:val="20"/>
              </w:rPr>
            </w:pPr>
            <w:r>
              <w:rPr>
                <w:sz w:val="20"/>
              </w:rPr>
              <w:t>52.5</w:t>
            </w:r>
          </w:p>
        </w:tc>
        <w:tc>
          <w:tcPr>
            <w:tcW w:w="308" w:type="dxa"/>
            <w:tcBorders/>
            <w:shd w:fill="C6F4F9" w:val="clear"/>
            <w:tcMar>
              <w:bottom w:w="0" w:type="dxa"/>
            </w:tcMar>
            <w:vAlign w:val="center"/>
          </w:tcPr>
          <w:p>
            <w:pPr>
              <w:pStyle w:val="TableContents"/>
              <w:bidi w:val="0"/>
              <w:spacing w:before="0" w:after="283"/>
              <w:jc w:val="left"/>
              <w:rPr>
                <w:sz w:val="20"/>
              </w:rPr>
            </w:pPr>
            <w:r>
              <w:rPr>
                <w:sz w:val="20"/>
              </w:rPr>
              <w:t>%</w:t>
            </w:r>
          </w:p>
        </w:tc>
      </w:tr>
      <w:tr>
        <w:trPr/>
        <w:tc>
          <w:tcPr>
            <w:tcW w:w="2840" w:type="dxa"/>
            <w:tcBorders/>
            <w:shd w:fill="FFFFFF" w:val="clear"/>
            <w:tcMar>
              <w:bottom w:w="0" w:type="dxa"/>
            </w:tcMar>
            <w:vAlign w:val="center"/>
          </w:tcPr>
          <w:p>
            <w:pPr>
              <w:pStyle w:val="TableContents"/>
              <w:bidi w:val="0"/>
              <w:spacing w:before="0" w:after="283"/>
              <w:jc w:val="left"/>
              <w:rPr>
                <w:sz w:val="20"/>
              </w:rPr>
            </w:pPr>
            <w:r>
              <w:rPr>
                <w:sz w:val="20"/>
              </w:rPr>
              <w:t>C 323 Holdings</w:t>
            </w:r>
            <w:r>
              <w:rPr>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0</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4,107,534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0</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4,107,534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4,107,534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581" w:type="dxa"/>
            <w:tcBorders/>
            <w:shd w:fill="FFFFFF" w:val="clear"/>
            <w:tcMar>
              <w:bottom w:w="0" w:type="dxa"/>
            </w:tcMar>
            <w:vAlign w:val="center"/>
          </w:tcPr>
          <w:p>
            <w:pPr>
              <w:pStyle w:val="TableContents"/>
              <w:bidi w:val="0"/>
              <w:spacing w:before="0" w:after="283"/>
              <w:jc w:val="right"/>
              <w:rPr>
                <w:sz w:val="20"/>
              </w:rPr>
            </w:pPr>
            <w:r>
              <w:rPr>
                <w:sz w:val="20"/>
              </w:rPr>
              <w:t>52.5</w:t>
            </w:r>
          </w:p>
        </w:tc>
        <w:tc>
          <w:tcPr>
            <w:tcW w:w="308"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840" w:type="dxa"/>
            <w:tcBorders/>
            <w:shd w:fill="C6F4F9" w:val="clear"/>
            <w:tcMar>
              <w:bottom w:w="0" w:type="dxa"/>
            </w:tcMar>
            <w:vAlign w:val="center"/>
          </w:tcPr>
          <w:p>
            <w:pPr>
              <w:pStyle w:val="TableContents"/>
              <w:bidi w:val="0"/>
              <w:spacing w:before="0" w:after="283"/>
              <w:jc w:val="left"/>
              <w:rPr>
                <w:sz w:val="20"/>
              </w:rPr>
            </w:pPr>
            <w:r>
              <w:rPr>
                <w:sz w:val="20"/>
              </w:rPr>
              <w:t>John Cote</w:t>
            </w:r>
            <w:r>
              <w:rPr>
                <w:position w:val="7"/>
                <w:sz w:val="16"/>
                <w:sz w:val="20"/>
              </w:rPr>
              <w:t>(1)</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845" w:type="dxa"/>
            <w:tcBorders/>
            <w:shd w:fill="C6F4F9" w:val="clear"/>
            <w:tcMar>
              <w:bottom w:w="0" w:type="dxa"/>
            </w:tcMar>
            <w:vAlign w:val="center"/>
          </w:tcPr>
          <w:p>
            <w:pPr>
              <w:pStyle w:val="TableContents"/>
              <w:bidi w:val="0"/>
              <w:spacing w:before="0" w:after="283"/>
              <w:jc w:val="right"/>
              <w:rPr>
                <w:sz w:val="20"/>
              </w:rPr>
            </w:pPr>
            <w:r>
              <w:rPr>
                <w:sz w:val="20"/>
              </w:rPr>
              <w:t>0</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695" w:type="dxa"/>
            <w:tcBorders/>
            <w:shd w:fill="C6F4F9" w:val="clear"/>
            <w:tcMar>
              <w:bottom w:w="0" w:type="dxa"/>
            </w:tcMar>
            <w:vAlign w:val="center"/>
          </w:tcPr>
          <w:p>
            <w:pPr>
              <w:pStyle w:val="TableContents"/>
              <w:bidi w:val="0"/>
              <w:spacing w:before="0" w:after="283"/>
              <w:jc w:val="right"/>
              <w:rPr>
                <w:sz w:val="20"/>
              </w:rPr>
            </w:pPr>
            <w:r>
              <w:rPr>
                <w:sz w:val="20"/>
              </w:rPr>
              <w:t>125,000</w:t>
            </w:r>
          </w:p>
        </w:tc>
        <w:tc>
          <w:tcPr>
            <w:tcW w:w="245" w:type="dxa"/>
            <w:tcBorders/>
            <w:shd w:fill="C6F4F9" w:val="clear"/>
            <w:tcMar>
              <w:bottom w:w="0" w:type="dxa"/>
            </w:tcMar>
            <w:vAlign w:val="center"/>
          </w:tcPr>
          <w:p>
            <w:pPr>
              <w:pStyle w:val="TableContents"/>
              <w:bidi w:val="0"/>
              <w:spacing w:before="0" w:after="283"/>
              <w:jc w:val="left"/>
              <w:rPr>
                <w:sz w:val="20"/>
              </w:rPr>
            </w:pPr>
            <w:r>
              <w:rPr>
                <w:sz w:val="20"/>
              </w:rPr>
              <w:t>(2)</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845" w:type="dxa"/>
            <w:tcBorders/>
            <w:shd w:fill="C6F4F9" w:val="clear"/>
            <w:tcMar>
              <w:bottom w:w="0" w:type="dxa"/>
            </w:tcMar>
            <w:vAlign w:val="center"/>
          </w:tcPr>
          <w:p>
            <w:pPr>
              <w:pStyle w:val="TableContents"/>
              <w:bidi w:val="0"/>
              <w:spacing w:before="0" w:after="283"/>
              <w:jc w:val="right"/>
              <w:rPr>
                <w:sz w:val="20"/>
              </w:rPr>
            </w:pPr>
            <w:r>
              <w:rPr>
                <w:sz w:val="20"/>
              </w:rPr>
              <w:t>4,180,864</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695" w:type="dxa"/>
            <w:tcBorders/>
            <w:shd w:fill="C6F4F9" w:val="clear"/>
            <w:tcMar>
              <w:bottom w:w="0" w:type="dxa"/>
            </w:tcMar>
            <w:vAlign w:val="center"/>
          </w:tcPr>
          <w:p>
            <w:pPr>
              <w:pStyle w:val="TableContents"/>
              <w:bidi w:val="0"/>
              <w:spacing w:before="0" w:after="283"/>
              <w:jc w:val="right"/>
              <w:rPr>
                <w:sz w:val="20"/>
              </w:rPr>
            </w:pPr>
            <w:r>
              <w:rPr>
                <w:sz w:val="20"/>
              </w:rPr>
              <w:t>125,000</w:t>
            </w:r>
          </w:p>
        </w:tc>
        <w:tc>
          <w:tcPr>
            <w:tcW w:w="245" w:type="dxa"/>
            <w:tcBorders/>
            <w:shd w:fill="C6F4F9" w:val="clear"/>
            <w:tcMar>
              <w:bottom w:w="0" w:type="dxa"/>
            </w:tcMar>
            <w:vAlign w:val="center"/>
          </w:tcPr>
          <w:p>
            <w:pPr>
              <w:pStyle w:val="TableContents"/>
              <w:bidi w:val="0"/>
              <w:spacing w:before="0" w:after="283"/>
              <w:jc w:val="left"/>
              <w:rPr>
                <w:sz w:val="20"/>
              </w:rPr>
            </w:pPr>
            <w:r>
              <w:rPr>
                <w:sz w:val="20"/>
              </w:rPr>
              <w:t>(2)</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845" w:type="dxa"/>
            <w:tcBorders/>
            <w:shd w:fill="C6F4F9" w:val="clear"/>
            <w:tcMar>
              <w:bottom w:w="0" w:type="dxa"/>
            </w:tcMar>
            <w:vAlign w:val="center"/>
          </w:tcPr>
          <w:p>
            <w:pPr>
              <w:pStyle w:val="TableContents"/>
              <w:bidi w:val="0"/>
              <w:spacing w:before="0" w:after="283"/>
              <w:jc w:val="right"/>
              <w:rPr>
                <w:sz w:val="20"/>
              </w:rPr>
            </w:pPr>
            <w:r>
              <w:rPr>
                <w:sz w:val="20"/>
              </w:rPr>
              <w:t>4,180,864</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845" w:type="dxa"/>
            <w:tcBorders/>
            <w:shd w:fill="C6F4F9" w:val="clear"/>
            <w:tcMar>
              <w:bottom w:w="0" w:type="dxa"/>
            </w:tcMar>
            <w:vAlign w:val="center"/>
          </w:tcPr>
          <w:p>
            <w:pPr>
              <w:pStyle w:val="TableContents"/>
              <w:bidi w:val="0"/>
              <w:spacing w:before="0" w:after="283"/>
              <w:jc w:val="right"/>
              <w:rPr>
                <w:sz w:val="20"/>
              </w:rPr>
            </w:pPr>
            <w:r>
              <w:rPr>
                <w:sz w:val="20"/>
              </w:rPr>
              <w:t>4,305,864</w:t>
            </w:r>
          </w:p>
        </w:tc>
        <w:tc>
          <w:tcPr>
            <w:tcW w:w="60" w:type="dxa"/>
            <w:tcBorders/>
            <w:shd w:fill="C6F4F9" w:val="clear"/>
            <w:tcMar>
              <w:bottom w:w="0" w:type="dxa"/>
            </w:tcMar>
            <w:vAlign w:val="center"/>
          </w:tcPr>
          <w:p>
            <w:pPr>
              <w:pStyle w:val="TableContents"/>
              <w:bidi w:val="0"/>
              <w:spacing w:before="0" w:after="283"/>
              <w:jc w:val="left"/>
              <w:rPr/>
            </w:pPr>
            <w:r>
              <w:rPr/>
              <w:t> </w:t>
            </w:r>
          </w:p>
        </w:tc>
        <w:tc>
          <w:tcPr>
            <w:tcW w:w="60" w:type="dxa"/>
            <w:tcBorders/>
            <w:shd w:fill="C6F4F9" w:val="clear"/>
            <w:tcMar>
              <w:bottom w:w="0" w:type="dxa"/>
            </w:tcMar>
            <w:vAlign w:val="center"/>
          </w:tcPr>
          <w:p>
            <w:pPr>
              <w:pStyle w:val="TableContents"/>
              <w:bidi w:val="0"/>
              <w:spacing w:before="0" w:after="283"/>
              <w:jc w:val="left"/>
              <w:rPr/>
            </w:pPr>
            <w:r>
              <w:rPr/>
              <w:t> </w:t>
            </w:r>
          </w:p>
        </w:tc>
        <w:tc>
          <w:tcPr>
            <w:tcW w:w="91" w:type="dxa"/>
            <w:tcBorders/>
            <w:shd w:fill="C6F4F9" w:val="clear"/>
            <w:tcMar>
              <w:bottom w:w="0" w:type="dxa"/>
            </w:tcMar>
            <w:vAlign w:val="center"/>
          </w:tcPr>
          <w:p>
            <w:pPr>
              <w:pStyle w:val="TableContents"/>
              <w:bidi w:val="0"/>
              <w:spacing w:before="0" w:after="283"/>
              <w:jc w:val="left"/>
              <w:rPr/>
            </w:pPr>
            <w:r>
              <w:rPr/>
              <w:t> </w:t>
            </w:r>
          </w:p>
        </w:tc>
        <w:tc>
          <w:tcPr>
            <w:tcW w:w="581" w:type="dxa"/>
            <w:tcBorders/>
            <w:shd w:fill="C6F4F9" w:val="clear"/>
            <w:tcMar>
              <w:bottom w:w="0" w:type="dxa"/>
            </w:tcMar>
            <w:vAlign w:val="center"/>
          </w:tcPr>
          <w:p>
            <w:pPr>
              <w:pStyle w:val="TableContents"/>
              <w:bidi w:val="0"/>
              <w:spacing w:before="0" w:after="283"/>
              <w:jc w:val="right"/>
              <w:rPr>
                <w:sz w:val="20"/>
              </w:rPr>
            </w:pPr>
            <w:r>
              <w:rPr>
                <w:sz w:val="20"/>
              </w:rPr>
              <w:t>55.1</w:t>
            </w:r>
          </w:p>
        </w:tc>
        <w:tc>
          <w:tcPr>
            <w:tcW w:w="308" w:type="dxa"/>
            <w:tcBorders/>
            <w:shd w:fill="C6F4F9" w:val="clear"/>
            <w:tcMar>
              <w:bottom w:w="0" w:type="dxa"/>
            </w:tcMar>
            <w:vAlign w:val="center"/>
          </w:tcPr>
          <w:p>
            <w:pPr>
              <w:pStyle w:val="TableContents"/>
              <w:bidi w:val="0"/>
              <w:spacing w:before="0" w:after="283"/>
              <w:jc w:val="left"/>
              <w:rPr>
                <w:sz w:val="20"/>
              </w:rPr>
            </w:pPr>
            <w:r>
              <w:rPr>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sz w:val="20"/>
              </w:rPr>
            </w:pPr>
            <w:r>
              <w:rPr>
                <w:sz w:val="20"/>
              </w:rPr>
              <w:t>(1)</w:t>
            </w:r>
          </w:p>
        </w:tc>
        <w:tc>
          <w:tcPr>
            <w:tcW w:w="9939" w:type="dxa"/>
            <w:tcBorders/>
            <w:vAlign w:val="center"/>
          </w:tcPr>
          <w:p>
            <w:pPr>
              <w:pStyle w:val="TableContents"/>
              <w:bidi w:val="0"/>
              <w:spacing w:before="0" w:after="283"/>
              <w:jc w:val="left"/>
              <w:rPr>
                <w:sz w:val="20"/>
              </w:rPr>
            </w:pPr>
            <w:r>
              <w:rPr>
                <w:sz w:val="20"/>
              </w:rPr>
              <w:t>Tungsten is the record holder of 73,330 shares of Common Stock. Resolute ManCo Holdings is the record holder of 4,107,534 shares of Common Stock. Tungsten is the managing member of Resolute ManCo Holdings. Mr. John Cote is the manager of Tungsten. Mr. Knott is the sole member and manager of C 323 Holdings. C 323 Holdings is a member of Resolute ManCo Holdings. Tungsten has the right to vote and dispose of the shares of Common Stock it holds of record and, as the managing member of Resolute ManCo Holdings, has the right to vote and dispose of the shares of Common Stock held of record by Resolute ManCo Holdings, subject to certain consultation rights held by C 323 Holdings. Accordingly, each of Tungsten and Mr. John Cote may be deemed to share beneficial ownership of the shares of Common Stock held of record by Tungsten, and each of Resolute ManCo Holdings, Tungsten, Mr. John Cote, C 323 Holdings and Mr. Knott may be deemed to share beneficial ownership of the shares of Common Stock held of record by Resolute ManCo Holdings.</w:t>
            </w:r>
          </w:p>
        </w:tc>
      </w:tr>
    </w:tbl>
    <w:p>
      <w:pPr>
        <w:pStyle w:val="TextBody"/>
        <w:bidi w:val="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245"/>
        <w:gridCol w:w="67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(2)</w:t>
            </w:r>
          </w:p>
        </w:tc>
        <w:tc>
          <w:tcPr>
            <w:tcW w:w="6725" w:type="dxa"/>
            <w:tcBorders/>
            <w:vAlign w:val="center"/>
          </w:tcPr>
          <w:p>
            <w:pPr>
              <w:pStyle w:val="TableContents"/>
              <w:bidi w:val="0"/>
              <w:spacing w:before="0" w:after="283"/>
              <w:jc w:val="left"/>
              <w:rPr>
                <w:sz w:val="20"/>
              </w:rPr>
            </w:pPr>
            <w:r>
              <w:rPr>
                <w:sz w:val="20"/>
              </w:rPr>
              <w:t>Shares held through Ridge Valley LLC, of which Mr. John Cote serves as manager.</w:t>
            </w:r>
          </w:p>
        </w:tc>
      </w:tr>
    </w:tbl>
    <w:p>
      <w:pPr>
        <w:pStyle w:val="TextBody"/>
        <w:bidi w:val="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5"/>
        <w:gridCol w:w="245"/>
        <w:gridCol w:w="726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(3)</w:t>
            </w:r>
          </w:p>
        </w:tc>
        <w:tc>
          <w:tcPr>
            <w:tcW w:w="7265" w:type="dxa"/>
            <w:tcBorders/>
            <w:vAlign w:val="center"/>
          </w:tcPr>
          <w:p>
            <w:pPr>
              <w:pStyle w:val="TableContents"/>
              <w:bidi w:val="0"/>
              <w:spacing w:before="0" w:after="283"/>
              <w:jc w:val="left"/>
              <w:rPr>
                <w:sz w:val="20"/>
              </w:rPr>
            </w:pPr>
            <w:r>
              <w:rPr>
                <w:sz w:val="20"/>
              </w:rPr>
              <w:t>Based on 7,819,595 shares of Common Stock that were outstanding as of August 5, 2026.</w:t>
            </w:r>
          </w:p>
        </w:tc>
      </w:tr>
    </w:tbl>
    <w:p>
      <w:pPr>
        <w:pStyle w:val="TextBody"/>
        <w:bidi w:val="0"/>
        <w:ind w:left="0" w:right="0" w:firstLine="72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ind w:left="0" w:right="0" w:firstLine="6"/>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32" w:name="eh260817299_ex9903.htm"/>
      <w:bookmarkStart w:id="33" w:name="kseh260817299_ex9903"/>
      <w:bookmarkEnd w:id="32"/>
      <w:bookmarkEnd w:id="33"/>
      <w:r>
        <w:rPr>
          <w:rFonts w:ascii="Times New Roman;Times;Serif" w:hAnsi="Times New Roman;Times;Serif"/>
          <w:b/>
          <w:i w:val="false"/>
          <w:caps w:val="false"/>
          <w:smallCaps w:val="false"/>
          <w:sz w:val="20"/>
        </w:rPr>
        <w:t>EXHIBIT 3</w:t>
      </w:r>
      <w:r>
        <w:br w:type="page"/>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they are filing this statement on Schedule 13D jointly pursuant to Rule 13d-1(k)(1). Each of them is responsible for the timely filing of such Schedule 13D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promulgated under the Securities Exchange Act of 1934, as amended, the undersigned hereby agree to the joint filing with each other on behalf of each of them of such a statement on Schedule 13D (and any amendments thereto) with respect to the shares of Common Stock of Resolute Holdings Management, Inc. beneficially owned by each of them. This Joint Filing Agreement shall be included as an exhibit to such Schedule 13D.</w:t>
      </w:r>
    </w:p>
    <w:p>
      <w:pPr>
        <w:pStyle w:val="TextBody"/>
        <w:bidi w:val="0"/>
        <w:spacing w:before="0" w:after="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Signatures on the next page</w:t>
      </w:r>
      <w:r>
        <w:rPr>
          <w:rFonts w:ascii="Times New Roman;Times;Serif" w:hAnsi="Times New Roman;Times;Serif"/>
          <w:b w:val="false"/>
          <w:i w:val="false"/>
          <w:caps w:val="false"/>
          <w:smallCaps w:val="false"/>
          <w:sz w:val="20"/>
        </w:rPr>
        <w:t>]</w:t>
      </w:r>
    </w:p>
    <w:p>
      <w:pPr>
        <w:pStyle w:val="TextBody"/>
        <w:bidi w:val="0"/>
        <w:spacing w:before="0" w:after="120"/>
        <w:jc w:val="center"/>
        <w:rPr>
          <w:caps w:val="false"/>
          <w:smallCaps w:val="false"/>
        </w:rPr>
      </w:pPr>
      <w:r>
        <w:rPr>
          <w:caps w:val="false"/>
          <w:smallCaps w:val="false"/>
        </w:rPr>
        <w:t> </w:t>
      </w:r>
    </w:p>
    <w:p>
      <w:pPr>
        <w:pStyle w:val="TextBody"/>
        <w:bidi w:val="0"/>
        <w:spacing w:before="0" w:after="120"/>
        <w:jc w:val="center"/>
        <w:rPr>
          <w:caps w:val="false"/>
          <w:smallCaps w:val="false"/>
        </w:rPr>
      </w:pPr>
      <w:r>
        <w:rPr>
          <w:caps w:val="false"/>
          <w:smallCaps w:val="false"/>
        </w:rPr>
        <w:t> </w:t>
      </w:r>
    </w:p>
    <w:p>
      <w:pPr>
        <w:pStyle w:val="TextBody"/>
        <w:bidi w:val="0"/>
        <w:spacing w:before="0" w:after="12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Joint Filing Agreement as of the 5th day of August, 2026.</w:t>
      </w:r>
    </w:p>
    <w:p>
      <w:pPr>
        <w:pStyle w:val="TextBody"/>
        <w:bidi w:val="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320"/>
        <w:gridCol w:w="3545"/>
        <w:gridCol w:w="75"/>
      </w:tblGrid>
      <w:tr>
        <w:trPr/>
        <w:tc>
          <w:tcPr>
            <w:tcW w:w="75" w:type="dxa"/>
            <w:tcBorders/>
            <w:vAlign w:val="center"/>
          </w:tcPr>
          <w:p>
            <w:pPr>
              <w:pStyle w:val="TableContents"/>
              <w:bidi w:val="0"/>
              <w:spacing w:before="0" w:after="283"/>
              <w:jc w:val="left"/>
              <w:rPr/>
            </w:pPr>
            <w:r>
              <w:rPr/>
              <w:t> </w:t>
            </w:r>
          </w:p>
        </w:tc>
        <w:tc>
          <w:tcPr>
            <w:tcW w:w="3865" w:type="dxa"/>
            <w:gridSpan w:val="2"/>
            <w:tcBorders/>
            <w:vAlign w:val="center"/>
          </w:tcPr>
          <w:p>
            <w:pPr>
              <w:pStyle w:val="TableContents"/>
              <w:bidi w:val="0"/>
              <w:spacing w:before="0" w:after="283"/>
              <w:jc w:val="left"/>
              <w:rPr>
                <w:b/>
                <w:sz w:val="20"/>
              </w:rPr>
            </w:pPr>
            <w:r>
              <w:rPr>
                <w:b/>
                <w:sz w:val="20"/>
              </w:rPr>
              <w:t>RESOLUTE MANCO HOLDINGS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545" w:type="dxa"/>
            <w:tcBorders/>
            <w:vAlign w:val="center"/>
          </w:tcPr>
          <w:p>
            <w:pPr>
              <w:pStyle w:val="TableContents"/>
              <w:bidi w:val="0"/>
              <w:spacing w:before="0" w:after="283"/>
              <w:jc w:val="left"/>
              <w:rPr>
                <w:sz w:val="20"/>
              </w:rPr>
            </w:pPr>
            <w:r>
              <w:rPr>
                <w:sz w:val="20"/>
              </w:rPr>
              <w:t>Tungsten 2024, LLC, its managing member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54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sz w:val="20"/>
              </w:rPr>
            </w:pPr>
            <w:r>
              <w:rPr>
                <w:sz w:val="20"/>
              </w:rPr>
              <w:t>Name: John D. Cote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sz w:val="20"/>
              </w:rPr>
            </w:pPr>
            <w:r>
              <w:rPr>
                <w:sz w:val="20"/>
              </w:rPr>
              <w:t>Title: Manager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365"/>
        <w:gridCol w:w="1970"/>
        <w:gridCol w:w="75"/>
      </w:tblGrid>
      <w:tr>
        <w:trPr/>
        <w:tc>
          <w:tcPr>
            <w:tcW w:w="75"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left"/>
              <w:rPr>
                <w:b/>
                <w:sz w:val="20"/>
              </w:rPr>
            </w:pPr>
            <w:r>
              <w:rPr>
                <w:b/>
                <w:sz w:val="20"/>
              </w:rPr>
              <w:t>TUNGSTEN 2024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197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20"/>
              </w:rPr>
            </w:pPr>
            <w:r>
              <w:rPr>
                <w:sz w:val="20"/>
              </w:rPr>
              <w:t>Name: John D. Cote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20"/>
              </w:rPr>
            </w:pPr>
            <w:r>
              <w:rPr>
                <w:sz w:val="20"/>
              </w:rPr>
              <w:t>Title: Manager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left"/>
              <w:rPr>
                <w:b/>
                <w:sz w:val="20"/>
              </w:rPr>
            </w:pPr>
            <w:r>
              <w:rPr>
                <w:b/>
                <w:sz w:val="20"/>
              </w:rPr>
              <w:t>THOMAS R. KNOTT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3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Thomas R. Knott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left"/>
              <w:rPr>
                <w:sz w:val="20"/>
              </w:rPr>
            </w:pPr>
            <w:r>
              <w:rPr>
                <w:sz w:val="20"/>
              </w:rPr>
              <w:t>Thomas R. Knott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left"/>
              <w:rPr>
                <w:b/>
                <w:sz w:val="20"/>
              </w:rPr>
            </w:pPr>
            <w:r>
              <w:rPr>
                <w:b/>
                <w:sz w:val="20"/>
              </w:rPr>
              <w:t>C 323 HOLDINGS,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By:</w:t>
            </w:r>
          </w:p>
        </w:tc>
        <w:tc>
          <w:tcPr>
            <w:tcW w:w="197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Thomas R. Knott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20"/>
              </w:rPr>
            </w:pPr>
            <w:r>
              <w:rPr>
                <w:sz w:val="20"/>
              </w:rPr>
              <w:t>Name: Thomas R. Knott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20"/>
              </w:rPr>
            </w:pPr>
            <w:r>
              <w:rPr>
                <w:sz w:val="20"/>
              </w:rPr>
              <w:t>Title: Manager</w:t>
            </w:r>
          </w:p>
        </w:tc>
        <w:tc>
          <w:tcPr>
            <w:tcW w:w="75" w:type="dxa"/>
            <w:tcBorders/>
            <w:vAlign w:val="center"/>
          </w:tcPr>
          <w:p>
            <w:pPr>
              <w:pStyle w:val="TableContents"/>
              <w:bidi w:val="0"/>
              <w:spacing w:before="0" w:after="283"/>
              <w:jc w:val="left"/>
              <w:rPr/>
            </w:pPr>
            <w:r>
              <w:rPr/>
              <w:t> </w:t>
            </w:r>
          </w:p>
        </w:tc>
      </w:tr>
    </w:tbl>
    <w:tbl>
      <w:tblPr>
        <w:tblW w:w="1534" w:type="dxa"/>
        <w:jc w:val="left"/>
        <w:tblInd w:w="0" w:type="dxa"/>
        <w:tblLayout w:type="fixed"/>
        <w:tblCellMar>
          <w:top w:w="0" w:type="dxa"/>
          <w:left w:w="0" w:type="dxa"/>
          <w:bottom w:w="0" w:type="dxa"/>
          <w:right w:w="0" w:type="dxa"/>
        </w:tblCellMar>
      </w:tblPr>
      <w:tblGrid>
        <w:gridCol w:w="75"/>
        <w:gridCol w:w="691"/>
        <w:gridCol w:w="693"/>
        <w:gridCol w:w="75"/>
      </w:tblGrid>
      <w:tr>
        <w:trPr/>
        <w:tc>
          <w:tcPr>
            <w:tcW w:w="75"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left"/>
              <w:rPr>
                <w:b/>
                <w:sz w:val="20"/>
              </w:rPr>
            </w:pPr>
            <w:r>
              <w:rPr>
                <w:b/>
                <w:sz w:val="20"/>
              </w:rPr>
              <w:t>JOHN D. COTE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left"/>
              <w:rPr>
                <w:sz w:val="20"/>
              </w:rPr>
            </w:pPr>
            <w:r>
              <w:rPr>
                <w:sz w:val="20"/>
              </w:rPr>
              <w:t>John D. Cote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By /s/ Thomas R. Knott, as Attorney-in-Fact</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right"/>
        <w:rPr>
          <w:b/>
        </w:rPr>
      </w:pPr>
      <w:bookmarkStart w:id="34" w:name="eh260817299_ex9904.htm"/>
      <w:bookmarkStart w:id="35" w:name="kseh260817299_ex9904"/>
      <w:bookmarkEnd w:id="34"/>
      <w:bookmarkEnd w:id="35"/>
      <w:r>
        <w:rPr>
          <w:b/>
        </w:rPr>
        <w:t>EXHIBIT 4</w:t>
      </w:r>
      <w:r>
        <w:br w:type="page"/>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POWER OF ATTORNEY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KNOW ALL MEN BY THESE PRESENTS, that each of the undersigned hereby constitutes and appoints Thomas R. Knott, and his successors and assigns from time to time, as such person’s true and lawful attorney-in-fact and agent for such person and in such person’s name, place and stead, in any and all capacities, to sign individually and not collectively, (i) any and all amendments to a Schedule 13D with regard to the undersigned’s beneficial ownership of securities of Resolute Holdings Management, Inc. (“Schedule 13D”), and to file the same, with all exhibits thereto and other documents in connection therewith, with the Securities and Exchange Commission, and (ii) any and all other instruments which any of such attorneys-in-fact and agents deems necessary or advisable to comply with all applicable laws, rules and regulations in connection with the matters authorized by clause (i), and does hereby grant unto each such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each said attorney-in-fact and agent may lawfully do or cause to be done by virtue hereof. The authority granted under this Power of Attorney shall continue with respect to an undersigned party until such party is no longer required to file amendments to the Schedule 13D, except that such authority shall be terminated with respect to such person whose signature appears below when such person revokes in writing the authority granted hereby. This Power of Attorney does not revoke any prior powers of attorney.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Date: August 5, 2026</w:t>
      </w:r>
    </w:p>
    <w:p>
      <w:pPr>
        <w:pStyle w:val="TextBody"/>
        <w:bidi w:val="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545"/>
        <w:gridCol w:w="3545"/>
        <w:gridCol w:w="75"/>
      </w:tblGrid>
      <w:tr>
        <w:trPr/>
        <w:tc>
          <w:tcPr>
            <w:tcW w:w="7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b/>
                <w:sz w:val="20"/>
              </w:rPr>
            </w:pPr>
            <w:r>
              <w:rPr>
                <w:b/>
                <w:sz w:val="20"/>
              </w:rPr>
              <w:t>RESOLUTE MANCO HOLDINGS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3545" w:type="dxa"/>
            <w:tcBorders/>
            <w:vAlign w:val="center"/>
          </w:tcPr>
          <w:p>
            <w:pPr>
              <w:pStyle w:val="TableContents"/>
              <w:bidi w:val="0"/>
              <w:spacing w:before="0" w:after="283"/>
              <w:jc w:val="left"/>
              <w:rPr>
                <w:sz w:val="20"/>
              </w:rPr>
            </w:pPr>
            <w:r>
              <w:rPr>
                <w:sz w:val="20"/>
              </w:rPr>
              <w:t>Tungsten 2024, LLC, its managing member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354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John D. Cote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545" w:type="dxa"/>
            <w:tcBorders/>
            <w:vAlign w:val="center"/>
          </w:tcPr>
          <w:p>
            <w:pPr>
              <w:pStyle w:val="TableContents"/>
              <w:bidi w:val="0"/>
              <w:spacing w:before="0" w:after="283"/>
              <w:jc w:val="left"/>
              <w:rPr>
                <w:sz w:val="20"/>
              </w:rPr>
            </w:pPr>
            <w:r>
              <w:rPr>
                <w:sz w:val="20"/>
              </w:rPr>
              <w:t>John D. Cote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545" w:type="dxa"/>
            <w:tcBorders/>
            <w:vAlign w:val="center"/>
          </w:tcPr>
          <w:p>
            <w:pPr>
              <w:pStyle w:val="TableContents"/>
              <w:bidi w:val="0"/>
              <w:spacing w:before="0" w:after="283"/>
              <w:jc w:val="left"/>
              <w:rPr>
                <w:sz w:val="20"/>
              </w:rPr>
            </w:pPr>
            <w:r>
              <w:rPr>
                <w:sz w:val="20"/>
              </w:rPr>
              <w:t>Manager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b/>
                <w:sz w:val="20"/>
              </w:rPr>
            </w:pPr>
            <w:r>
              <w:rPr>
                <w:b/>
                <w:sz w:val="20"/>
              </w:rPr>
              <w:t>TUNGSTEN 2024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354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John D. Cote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545" w:type="dxa"/>
            <w:tcBorders/>
            <w:vAlign w:val="center"/>
          </w:tcPr>
          <w:p>
            <w:pPr>
              <w:pStyle w:val="TableContents"/>
              <w:bidi w:val="0"/>
              <w:spacing w:before="0" w:after="283"/>
              <w:jc w:val="left"/>
              <w:rPr>
                <w:sz w:val="20"/>
              </w:rPr>
            </w:pPr>
            <w:r>
              <w:rPr>
                <w:sz w:val="20"/>
              </w:rPr>
              <w:t>John D. Cote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545" w:type="dxa"/>
            <w:tcBorders/>
            <w:vAlign w:val="center"/>
          </w:tcPr>
          <w:p>
            <w:pPr>
              <w:pStyle w:val="TableContents"/>
              <w:bidi w:val="0"/>
              <w:spacing w:before="0" w:after="283"/>
              <w:jc w:val="left"/>
              <w:rPr>
                <w:sz w:val="20"/>
              </w:rPr>
            </w:pPr>
            <w:r>
              <w:rPr>
                <w:sz w:val="20"/>
              </w:rPr>
              <w:t>Manager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b/>
                <w:sz w:val="20"/>
              </w:rPr>
            </w:pPr>
            <w:r>
              <w:rPr>
                <w:b/>
                <w:sz w:val="20"/>
              </w:rPr>
              <w:t>JOHN D. COTE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9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John D. Cote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sz w:val="20"/>
              </w:rPr>
            </w:pPr>
            <w:r>
              <w:rPr>
                <w:sz w:val="20"/>
              </w:rPr>
              <w:t>John D. Cote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2289</Words>
  <Characters>11441</Characters>
  <CharactersWithSpaces>13747</CharactersWithSpaces>
  <Paragraphs>726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