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Resolute Holdings Management,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5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001-42458</w:t>
            </w:r>
          </w:p>
        </w:tc>
        <w:tc>
          <w:tcPr>
            <w:tcW w:w="21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33-1246734</w:t>
            </w:r>
          </w:p>
        </w:tc>
      </w:tr>
      <w:tr>
        <w:trPr>
          <w:trHeight w:val="216"/>
        </w:trPr>
        <w:tc>
          <w:tcPr>
            <w:tcW w:w="2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1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80" w:type="dxa"/>
            <w:vAlign w:val="bottom"/>
          </w:tcPr>
          <w:p>
            <w:pPr>
              <w:spacing w:after="0"/>
              <w:rPr>
                <w:sz w:val="20"/>
                <w:szCs w:val="20"/>
                <w:color w:val="auto"/>
              </w:rPr>
            </w:pPr>
          </w:p>
        </w:tc>
        <w:tc>
          <w:tcPr>
            <w:tcW w:w="21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580" w:type="dxa"/>
            <w:vAlign w:val="bottom"/>
          </w:tcPr>
          <w:p>
            <w:pPr>
              <w:spacing w:after="0"/>
              <w:rPr>
                <w:sz w:val="24"/>
                <w:szCs w:val="24"/>
                <w:color w:val="auto"/>
              </w:rPr>
            </w:pPr>
          </w:p>
        </w:tc>
        <w:tc>
          <w:tcPr>
            <w:tcW w:w="4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445 Park Ave, Suite 5B</w:t>
            </w:r>
          </w:p>
        </w:tc>
        <w:tc>
          <w:tcPr>
            <w:tcW w:w="2180" w:type="dxa"/>
            <w:vAlign w:val="bottom"/>
          </w:tcPr>
          <w:p>
            <w:pPr>
              <w:spacing w:after="0"/>
              <w:rPr>
                <w:sz w:val="24"/>
                <w:szCs w:val="24"/>
                <w:color w:val="auto"/>
              </w:rPr>
            </w:pPr>
          </w:p>
        </w:tc>
      </w:tr>
      <w:tr>
        <w:trPr>
          <w:trHeight w:val="220"/>
        </w:trPr>
        <w:tc>
          <w:tcPr>
            <w:tcW w:w="2580" w:type="dxa"/>
            <w:vAlign w:val="bottom"/>
          </w:tcPr>
          <w:p>
            <w:pPr>
              <w:spacing w:after="0"/>
              <w:rPr>
                <w:sz w:val="19"/>
                <w:szCs w:val="19"/>
                <w:color w:val="auto"/>
              </w:rPr>
            </w:pPr>
          </w:p>
        </w:tc>
        <w:tc>
          <w:tcPr>
            <w:tcW w:w="4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NY 10022</w:t>
            </w:r>
          </w:p>
        </w:tc>
        <w:tc>
          <w:tcPr>
            <w:tcW w:w="2180" w:type="dxa"/>
            <w:vAlign w:val="bottom"/>
          </w:tcPr>
          <w:p>
            <w:pPr>
              <w:spacing w:after="0"/>
              <w:rPr>
                <w:sz w:val="19"/>
                <w:szCs w:val="19"/>
                <w:color w:val="auto"/>
              </w:rPr>
            </w:pPr>
          </w:p>
        </w:tc>
      </w:tr>
      <w:tr>
        <w:trPr>
          <w:trHeight w:val="234"/>
        </w:trPr>
        <w:tc>
          <w:tcPr>
            <w:tcW w:w="2580" w:type="dxa"/>
            <w:vAlign w:val="bottom"/>
          </w:tcPr>
          <w:p>
            <w:pPr>
              <w:spacing w:after="0"/>
              <w:rPr>
                <w:sz w:val="20"/>
                <w:szCs w:val="20"/>
                <w:color w:val="auto"/>
              </w:rPr>
            </w:pPr>
          </w:p>
        </w:tc>
        <w:tc>
          <w:tcPr>
            <w:tcW w:w="4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8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A.P. Marshall</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Counsel &amp;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256-8405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report.)</w:t>
      </w:r>
    </w:p>
    <w:p>
      <w:pPr>
        <w:spacing w:after="0" w:line="200" w:lineRule="exact"/>
        <w:rPr>
          <w:sz w:val="24"/>
          <w:szCs w:val="24"/>
          <w:color w:val="auto"/>
        </w:rPr>
      </w:pPr>
    </w:p>
    <w:p>
      <w:pPr>
        <w:spacing w:after="0" w:line="2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right="1500" w:firstLine="8"/>
        <w:spacing w:after="0" w:line="239" w:lineRule="exact"/>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TO BE INCLUDED IN THE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Specialized Disclosure Report on Form SD (the “Form SD”) has been prepared pursuant to Rule 13p-1 under the Securities Exchange Act of 1934, as amended, for the reporting period from January 1 to December 31, 2025 (the “Reporting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filing this Form SD, Resolute Holdings Management, Inc. (the “Company,” and together with our managed businesses, “we,” “us,” or “our”) is relying on the “</w:t>
      </w:r>
      <w:r>
        <w:rPr>
          <w:rFonts w:ascii="Times New Roman" w:cs="Times New Roman" w:eastAsia="Times New Roman" w:hAnsi="Times New Roman"/>
          <w:sz w:val="18"/>
          <w:szCs w:val="18"/>
          <w:i w:val="1"/>
          <w:iCs w:val="1"/>
          <w:color w:val="auto"/>
        </w:rPr>
        <w:t>Updated Statement on the Effect of the Court of Appeals Decision on the Conflict Minerals Rule</w:t>
      </w:r>
      <w:r>
        <w:rPr>
          <w:rFonts w:ascii="Times New Roman" w:cs="Times New Roman" w:eastAsia="Times New Roman" w:hAnsi="Times New Roman"/>
          <w:sz w:val="18"/>
          <w:szCs w:val="18"/>
          <w:color w:val="auto"/>
        </w:rPr>
        <w:t>” issued on April 7, 2017, by the Division of Corporation Finance of the Securities and Exchange Commission (the “2017 SEC Statement”). As permitted by the 2017 SEC Statement, the Company is providing disclosure in this Form SD responsive to Item 1.01 of Form SD but is not filing a Conflict Minerals Report or providing other disclosures under the provisions of paragraph (c) of Item 1.01 of Form SD.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than through its managed businesses, the Company does not manufacture or contract to manufacture any products. During the Reporting Period, the Company’s sole managed business consisted of CompoSecure, Inc. and its subsidiaries (collectively, “CompoSecure”). CompoSecure creates innovative, highly differentiated and customized financial payment card products for banks and other payment card issuers to support and increase their customer acquisition, customer retention and organic customer spend. CompoSecure’s customers consist primarily of leading international and domestic banks and other payment card issuers primarily within the United States (“U.S.”), with additional direct and indirect customers in Europe, Asia, Latin America, Canada, and the Middle East. CompoSecure is a platform for next generation payment technology, security, and authentication solutions. Most of CompoSecure’s payment card products contain dual interface functionality through incorporation of a secure chip module (collectively, “Modules”) into the body of the payment card. CompoSecure’s supply chain for Modules has several key suppliers which have product association with tin, tantalum, tungsten, and gold (“3TG”). CompoSecure is typically many tiers removed from smelters or refiners that would have information on mines supplying 3TG. Moreover, to the extent 3TG are present in Modules incorporated into CompoSecure’s products, the content is at trace levels.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managed businesses seek to meet the expectations for responsible sourcing of primary minerals and recycled materials outlined in the Organisation for Economic Co-operation and Development (“OECD”) </w:t>
      </w:r>
      <w:r>
        <w:rPr>
          <w:rFonts w:ascii="Times New Roman" w:cs="Times New Roman" w:eastAsia="Times New Roman" w:hAnsi="Times New Roman"/>
          <w:sz w:val="18"/>
          <w:szCs w:val="18"/>
          <w:i w:val="1"/>
          <w:iCs w:val="1"/>
          <w:color w:val="auto"/>
        </w:rPr>
        <w:t xml:space="preserve">Due Diligence Guidance for Responsible Supply Chains of Minerals from Conflict-Affected and High-Risk Areas (2016) </w:t>
      </w:r>
      <w:r>
        <w:rPr>
          <w:rFonts w:ascii="Times New Roman" w:cs="Times New Roman" w:eastAsia="Times New Roman" w:hAnsi="Times New Roman"/>
          <w:sz w:val="18"/>
          <w:szCs w:val="18"/>
          <w:color w:val="auto"/>
        </w:rPr>
        <w:t>and related Supplements (“OECD Due Diligence Guidance”) and the United Nations</w:t>
      </w:r>
      <w:r>
        <w:rPr>
          <w:rFonts w:ascii="Times New Roman" w:cs="Times New Roman" w:eastAsia="Times New Roman" w:hAnsi="Times New Roman"/>
          <w:sz w:val="18"/>
          <w:szCs w:val="18"/>
          <w:i w:val="1"/>
          <w:iCs w:val="1"/>
          <w:color w:val="auto"/>
        </w:rPr>
        <w:t xml:space="preserve"> Guiding Principles on Business and Human Rights </w:t>
      </w:r>
      <w:r>
        <w:rPr>
          <w:rFonts w:ascii="Times New Roman" w:cs="Times New Roman" w:eastAsia="Times New Roman" w:hAnsi="Times New Roman"/>
          <w:sz w:val="18"/>
          <w:szCs w:val="18"/>
          <w:color w:val="auto"/>
        </w:rPr>
        <w:t>(“UN Guiding Principles”). The Company’s managed businesses are committed to sourcing, using, and recycling the materials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rely in a way that meets their high standards for labor, human rights, and environmental stewardship, including so as to not support conflict or human rights abuses in the Covered Countries (as defined below) while avoiding de facto embargoes.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CompoSecure is several steps away in the supply chain from smelters and refiners that process the Conflict Minerals used in the Modules incorporated into its products, does not have any direct relationships with such smelters or refiners and did not obtain from a third party or perform a direct audit of smelters and refiners within its supply chain. Instead, we have relied on conflict-free designations based on the activities of other organizations such as the Responsible Minerals Initiative (“RMI”), through the Responsible Minerals Assurance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elements of our Reasonable Country of Origin Inquiry (“RCOI”) are identification and prioritization of suppliers, supplier data collection, and an assessment of supplier data to determine whether further due diligence is required. In view of CompoSecure’s supply chain, we determined that a reasonably designed and good faith inquiry should focus on higher priority and relevant suppliers consistent with the </w:t>
      </w:r>
      <w:r>
        <w:rPr>
          <w:rFonts w:ascii="Times New Roman" w:cs="Times New Roman" w:eastAsia="Times New Roman" w:hAnsi="Times New Roman"/>
          <w:sz w:val="18"/>
          <w:szCs w:val="18"/>
          <w:i w:val="1"/>
          <w:iCs w:val="1"/>
          <w:color w:val="auto"/>
        </w:rPr>
        <w:t>Five Practical Steps to Support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from the RMI. Products containing 3TG necessary to the functionality or production of our managed businesses’ products (“Necessary 3TG”)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suppliers of those products or of the components used in those products are identified. For the Reporting Period, CompoSecure determined that its products incorporating Modules may contain Necessary 3TG in the form of trace amounts of gold. Once the suppliers (“Supplier Group”) were identified as set forth above, CompoSecure requested that each supplier in the Supplier Group provide information about the Necessary 3TG in their products or components based on each such supplier’s responses to the industry standard RMI Conflict Minerals Reporting Template.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smelters and refiners report their country of origin information at an aggregate level for all 3TG material processed by them on behalf of all of their customers, and not specifically for 3TG material used or processed for our managed businesses’ supply chains, our managed businesses cannot always determine the countries of origin of the 3TG actually contained in the specific products manufactured by them. Accordingly, based on the information provided for the reporting period by the suppliers, smelters, and refiners to the CompoSecure business, the Company does not have sufficient information to effectively determine whether the 3TG used in the Modules incorporated in CompoSecure’s products during calendar 2025 originated in the Covered Countries. We expect that our managed businesses will continue to work with suppliers to give preference to suppliers (and their downstream smelters) who do not utilize Conflict Minerals originating from Covered Countries.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involve risks, uncertainties, and other important factors. Forward-looking statements provide current expectations of future events based on certain assumptions and include statements about our and our managed companies’ expectations, plans and commitments with respect to the use of certain materials for their products, the sources of such materials, the timing thereof, and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materially from the results expressed or implied in the forward-looking statements. Factors that might cause such differences include, but are not limited to, effects of global or regional economic conditions, any failure to meet stated targets, goals, and commitments, and execute our strategies in the time frame expected or at all. More information on risks, uncertainties, and other important factors that could affect our business and performance is included in our filings with the U.S. Securities and Exchange Commission, including in the “Risk Factors” and “Management’s Discussion and Analysis of Financial Condition and Results of Operations” sections of the Company’s most recently filed periodic reports on Form 10-K and Form 10-Q and subsequent 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2017 SEC Statement, no exhibit is filed as part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2017 SEC Statement, no exhibit is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Resolute Holdings Management, Inc.</w:t>
            </w:r>
          </w:p>
        </w:tc>
        <w:tc>
          <w:tcPr>
            <w:tcW w:w="1120" w:type="dxa"/>
            <w:vAlign w:val="bottom"/>
          </w:tcPr>
          <w:p>
            <w:pPr>
              <w:spacing w:after="0"/>
              <w:rPr>
                <w:sz w:val="20"/>
                <w:szCs w:val="20"/>
                <w:color w:val="auto"/>
              </w:rPr>
            </w:pPr>
          </w:p>
        </w:tc>
      </w:tr>
      <w:tr>
        <w:trPr>
          <w:trHeight w:val="51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A.P. Marshall</w:t>
            </w:r>
          </w:p>
        </w:tc>
        <w:tc>
          <w:tcPr>
            <w:tcW w:w="112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A.P. Marshall</w:t>
            </w:r>
          </w:p>
        </w:tc>
        <w:tc>
          <w:tcPr>
            <w:tcW w:w="112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Counsel &amp; Corporate Secretary</w:t>
            </w:r>
          </w:p>
        </w:tc>
        <w:tc>
          <w:tcPr>
            <w:tcW w:w="1120" w:type="dxa"/>
            <w:vAlign w:val="bottom"/>
          </w:tcPr>
          <w:p>
            <w:pPr>
              <w:spacing w:after="0"/>
              <w:rPr>
                <w:sz w:val="20"/>
                <w:szCs w:val="20"/>
                <w:color w:val="auto"/>
              </w:rPr>
            </w:pPr>
          </w:p>
        </w:tc>
      </w:tr>
      <w:tr>
        <w:trPr>
          <w:trHeight w:val="119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2026-06-30T17:44:42Z</dcterms:created>
  <dcterms:modified xsi:type="dcterms:W3CDTF">2026-06-30T17:44:42Z</dcterms:modified>
</cp:coreProperties>
</file>